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BF1DE" w:themeColor="accent3" w:themeTint="33"/>
  <w:body>
    <w:p>
      <w:pPr>
        <w:spacing w:line="480" w:lineRule="auto"/>
        <w:ind w:firstLine="0" w:firstLineChars="0"/>
        <w:rPr>
          <w:rFonts w:hint="default" w:ascii="Times New Roman" w:hAnsi="Times New Roman" w:eastAsia="仿宋_GB2312" w:cs="Times New Roman"/>
          <w:b/>
          <w:color w:val="auto"/>
          <w:sz w:val="28"/>
          <w:szCs w:val="28"/>
          <w:highlight w:val="none"/>
        </w:rPr>
      </w:pPr>
      <w:bookmarkStart w:id="0" w:name="_Toc417412289"/>
      <w:bookmarkStart w:id="1" w:name="_Toc417412299"/>
    </w:p>
    <w:p>
      <w:pPr>
        <w:overflowPunct w:val="0"/>
        <w:autoSpaceDE w:val="0"/>
        <w:autoSpaceDN w:val="0"/>
        <w:ind w:firstLine="0" w:firstLineChars="0"/>
        <w:jc w:val="center"/>
        <w:rPr>
          <w:rFonts w:hint="default" w:ascii="Times New Roman" w:hAnsi="Times New Roman" w:eastAsia="仿宋_GB2312" w:cs="Times New Roman"/>
          <w:color w:val="auto"/>
          <w:spacing w:val="-8"/>
          <w:sz w:val="36"/>
          <w:szCs w:val="36"/>
          <w:highlight w:val="none"/>
        </w:rPr>
      </w:pPr>
    </w:p>
    <w:p>
      <w:pPr>
        <w:overflowPunct w:val="0"/>
        <w:autoSpaceDE w:val="0"/>
        <w:autoSpaceDN w:val="0"/>
        <w:ind w:firstLine="0" w:firstLineChars="0"/>
        <w:jc w:val="center"/>
        <w:rPr>
          <w:rFonts w:hint="default" w:ascii="Times New Roman" w:hAnsi="Times New Roman" w:eastAsia="仿宋_GB2312" w:cs="Times New Roman"/>
          <w:color w:val="auto"/>
          <w:spacing w:val="-8"/>
          <w:sz w:val="36"/>
          <w:szCs w:val="36"/>
          <w:highlight w:val="none"/>
        </w:rPr>
      </w:pPr>
    </w:p>
    <w:p>
      <w:pPr>
        <w:pStyle w:val="2"/>
        <w:pBdr>
          <w:bottom w:val="none" w:color="auto" w:sz="0" w:space="0"/>
        </w:pBdr>
        <w:spacing w:line="360" w:lineRule="auto"/>
        <w:ind w:firstLine="360"/>
        <w:rPr>
          <w:rFonts w:hint="default" w:ascii="Times New Roman" w:hAnsi="Times New Roman" w:eastAsia="仿宋_GB2312" w:cs="Times New Roman"/>
          <w:color w:val="auto"/>
          <w:highlight w:val="none"/>
        </w:rPr>
      </w:pPr>
    </w:p>
    <w:p>
      <w:pPr>
        <w:pStyle w:val="2"/>
        <w:pBdr>
          <w:bottom w:val="none" w:color="auto" w:sz="0" w:space="0"/>
        </w:pBdr>
        <w:spacing w:line="360" w:lineRule="auto"/>
        <w:ind w:firstLine="360"/>
        <w:rPr>
          <w:rFonts w:hint="default" w:ascii="Times New Roman" w:hAnsi="Times New Roman" w:eastAsia="仿宋_GB2312" w:cs="Times New Roman"/>
          <w:color w:val="auto"/>
          <w:highlight w:val="none"/>
        </w:rPr>
      </w:pPr>
    </w:p>
    <w:p>
      <w:pPr>
        <w:overflowPunct w:val="0"/>
        <w:autoSpaceDE w:val="0"/>
        <w:autoSpaceDN w:val="0"/>
        <w:ind w:firstLine="0" w:firstLineChars="0"/>
        <w:jc w:val="center"/>
        <w:rPr>
          <w:rFonts w:hint="default" w:ascii="Times New Roman" w:hAnsi="Times New Roman" w:eastAsia="仿宋_GB2312" w:cs="Times New Roman"/>
          <w:color w:val="auto"/>
          <w:spacing w:val="-8"/>
          <w:sz w:val="36"/>
          <w:szCs w:val="36"/>
          <w:highlight w:val="none"/>
        </w:rPr>
      </w:pPr>
    </w:p>
    <w:p>
      <w:pPr>
        <w:overflowPunct w:val="0"/>
        <w:autoSpaceDE w:val="0"/>
        <w:autoSpaceDN w:val="0"/>
        <w:ind w:firstLine="0" w:firstLineChars="0"/>
        <w:jc w:val="center"/>
        <w:rPr>
          <w:rFonts w:hint="eastAsia" w:ascii="Times New Roman" w:hAnsi="Times New Roman" w:cs="Times New Roman"/>
          <w:b/>
          <w:color w:val="auto"/>
          <w:sz w:val="44"/>
          <w:szCs w:val="44"/>
          <w:highlight w:val="none"/>
          <w:lang w:eastAsia="zh-CN"/>
        </w:rPr>
      </w:pPr>
      <w:r>
        <w:rPr>
          <w:rFonts w:hint="eastAsia" w:ascii="Times New Roman" w:hAnsi="Times New Roman" w:cs="Times New Roman"/>
          <w:b/>
          <w:color w:val="auto"/>
          <w:sz w:val="44"/>
          <w:szCs w:val="44"/>
          <w:highlight w:val="none"/>
          <w:lang w:eastAsia="zh-CN"/>
        </w:rPr>
        <w:t>策勒县城东加油站项目</w:t>
      </w:r>
    </w:p>
    <w:p>
      <w:pPr>
        <w:overflowPunct w:val="0"/>
        <w:autoSpaceDE w:val="0"/>
        <w:autoSpaceDN w:val="0"/>
        <w:spacing w:beforeLines="150" w:line="1100" w:lineRule="exact"/>
        <w:ind w:firstLine="0" w:firstLineChars="0"/>
        <w:jc w:val="center"/>
        <w:rPr>
          <w:rFonts w:hint="default" w:ascii="Times New Roman" w:hAnsi="Times New Roman" w:eastAsia="黑体" w:cs="Times New Roman"/>
          <w:bCs/>
          <w:color w:val="auto"/>
          <w:sz w:val="88"/>
          <w:szCs w:val="88"/>
          <w:highlight w:val="none"/>
        </w:rPr>
      </w:pPr>
      <w:r>
        <w:rPr>
          <w:rFonts w:hint="default" w:ascii="Times New Roman" w:hAnsi="Times New Roman" w:eastAsia="黑体" w:cs="Times New Roman"/>
          <w:bCs/>
          <w:color w:val="auto"/>
          <w:sz w:val="84"/>
          <w:szCs w:val="84"/>
          <w:highlight w:val="none"/>
        </w:rPr>
        <w:t>水土保持方</w:t>
      </w:r>
      <w:bookmarkStart w:id="151" w:name="_GoBack"/>
      <w:bookmarkEnd w:id="151"/>
      <w:r>
        <w:rPr>
          <w:rFonts w:hint="default" w:ascii="Times New Roman" w:hAnsi="Times New Roman" w:eastAsia="黑体" w:cs="Times New Roman"/>
          <w:bCs/>
          <w:color w:val="auto"/>
          <w:sz w:val="84"/>
          <w:szCs w:val="84"/>
          <w:highlight w:val="none"/>
        </w:rPr>
        <w:t>案报告表</w:t>
      </w:r>
    </w:p>
    <w:p>
      <w:pPr>
        <w:overflowPunct w:val="0"/>
        <w:autoSpaceDE w:val="0"/>
        <w:autoSpaceDN w:val="0"/>
        <w:ind w:firstLine="0" w:firstLineChars="0"/>
        <w:jc w:val="center"/>
        <w:rPr>
          <w:rFonts w:hint="eastAsia" w:ascii="Times New Roman" w:hAnsi="Times New Roman" w:eastAsia="宋体" w:cs="Times New Roman"/>
          <w:b/>
          <w:color w:val="auto"/>
          <w:sz w:val="44"/>
          <w:szCs w:val="44"/>
          <w:highlight w:val="none"/>
          <w:lang w:eastAsia="zh-CN"/>
        </w:rPr>
      </w:pPr>
      <w:r>
        <w:rPr>
          <w:rFonts w:hint="eastAsia" w:cs="Times New Roman"/>
          <w:b/>
          <w:color w:val="auto"/>
          <w:sz w:val="44"/>
          <w:szCs w:val="44"/>
          <w:highlight w:val="none"/>
          <w:lang w:eastAsia="zh-CN"/>
        </w:rPr>
        <w:t>（报批稿）</w:t>
      </w:r>
    </w:p>
    <w:p>
      <w:pPr>
        <w:pStyle w:val="2"/>
        <w:pBdr>
          <w:bottom w:val="none" w:color="auto" w:sz="0" w:space="0"/>
        </w:pBdr>
        <w:spacing w:line="360" w:lineRule="auto"/>
        <w:ind w:firstLine="360"/>
        <w:rPr>
          <w:rFonts w:hint="default" w:ascii="Times New Roman" w:hAnsi="Times New Roman" w:eastAsia="仿宋_GB2312" w:cs="Times New Roman"/>
          <w:color w:val="auto"/>
          <w:highlight w:val="none"/>
        </w:rPr>
      </w:pPr>
    </w:p>
    <w:p>
      <w:pPr>
        <w:pStyle w:val="2"/>
        <w:pBdr>
          <w:bottom w:val="none" w:color="auto" w:sz="0" w:space="0"/>
        </w:pBdr>
        <w:spacing w:line="360" w:lineRule="auto"/>
        <w:ind w:firstLine="360"/>
        <w:rPr>
          <w:rFonts w:hint="default" w:ascii="Times New Roman" w:hAnsi="Times New Roman" w:eastAsia="仿宋_GB2312" w:cs="Times New Roman"/>
          <w:color w:val="auto"/>
          <w:highlight w:val="none"/>
        </w:rPr>
      </w:pPr>
    </w:p>
    <w:p>
      <w:pPr>
        <w:pStyle w:val="2"/>
        <w:pBdr>
          <w:bottom w:val="none" w:color="auto" w:sz="0" w:space="0"/>
        </w:pBdr>
        <w:spacing w:line="360" w:lineRule="auto"/>
        <w:ind w:firstLine="360"/>
        <w:rPr>
          <w:rFonts w:hint="default" w:ascii="Times New Roman" w:hAnsi="Times New Roman" w:eastAsia="仿宋_GB2312" w:cs="Times New Roman"/>
          <w:color w:val="auto"/>
          <w:highlight w:val="none"/>
        </w:rPr>
      </w:pPr>
    </w:p>
    <w:p>
      <w:pPr>
        <w:pStyle w:val="2"/>
        <w:pBdr>
          <w:bottom w:val="none" w:color="auto" w:sz="0" w:space="0"/>
        </w:pBdr>
        <w:spacing w:line="360" w:lineRule="auto"/>
        <w:ind w:firstLine="360"/>
        <w:rPr>
          <w:rFonts w:hint="default" w:ascii="Times New Roman" w:hAnsi="Times New Roman" w:eastAsia="仿宋_GB2312" w:cs="Times New Roman"/>
          <w:color w:val="auto"/>
          <w:highlight w:val="none"/>
        </w:rPr>
      </w:pPr>
    </w:p>
    <w:p>
      <w:pPr>
        <w:pStyle w:val="2"/>
        <w:pBdr>
          <w:bottom w:val="none" w:color="auto" w:sz="0" w:space="0"/>
        </w:pBdr>
        <w:spacing w:line="360" w:lineRule="auto"/>
        <w:ind w:firstLine="360"/>
        <w:rPr>
          <w:rFonts w:hint="default" w:ascii="Times New Roman" w:hAnsi="Times New Roman" w:eastAsia="仿宋_GB2312" w:cs="Times New Roman"/>
          <w:color w:val="auto"/>
          <w:highlight w:val="none"/>
        </w:rPr>
      </w:pPr>
    </w:p>
    <w:p>
      <w:pPr>
        <w:overflowPunct w:val="0"/>
        <w:autoSpaceDE w:val="0"/>
        <w:autoSpaceDN w:val="0"/>
        <w:ind w:firstLine="0" w:firstLineChars="0"/>
        <w:rPr>
          <w:rFonts w:hint="default" w:ascii="Times New Roman" w:hAnsi="Times New Roman" w:eastAsia="仿宋_GB2312" w:cs="Times New Roman"/>
          <w:color w:val="auto"/>
          <w:sz w:val="36"/>
          <w:szCs w:val="36"/>
          <w:highlight w:val="none"/>
        </w:rPr>
      </w:pPr>
    </w:p>
    <w:p>
      <w:pPr>
        <w:overflowPunct w:val="0"/>
        <w:autoSpaceDE w:val="0"/>
        <w:autoSpaceDN w:val="0"/>
        <w:ind w:firstLine="0" w:firstLineChars="0"/>
        <w:rPr>
          <w:rFonts w:hint="default" w:ascii="Times New Roman" w:hAnsi="Times New Roman" w:eastAsia="仿宋_GB2312" w:cs="Times New Roman"/>
          <w:color w:val="auto"/>
          <w:sz w:val="36"/>
          <w:szCs w:val="36"/>
          <w:highlight w:val="none"/>
        </w:rPr>
      </w:pPr>
    </w:p>
    <w:p>
      <w:pPr>
        <w:overflowPunct w:val="0"/>
        <w:autoSpaceDE w:val="0"/>
        <w:autoSpaceDN w:val="0"/>
        <w:ind w:firstLine="1084" w:firstLineChars="300"/>
        <w:rPr>
          <w:rFonts w:hint="default" w:ascii="Times New Roman" w:hAnsi="Times New Roman" w:cs="Times New Roman" w:eastAsiaTheme="minorEastAsia"/>
          <w:b/>
          <w:color w:val="auto"/>
          <w:sz w:val="36"/>
          <w:szCs w:val="36"/>
          <w:highlight w:val="none"/>
        </w:rPr>
      </w:pPr>
    </w:p>
    <w:p>
      <w:pPr>
        <w:overflowPunct w:val="0"/>
        <w:autoSpaceDE w:val="0"/>
        <w:autoSpaceDN w:val="0"/>
        <w:ind w:firstLine="0" w:firstLineChars="0"/>
        <w:jc w:val="center"/>
        <w:rPr>
          <w:rFonts w:hint="eastAsia" w:cs="Times New Roman" w:eastAsiaTheme="minorEastAsia"/>
          <w:b w:val="0"/>
          <w:bCs/>
          <w:color w:val="auto"/>
          <w:sz w:val="36"/>
          <w:szCs w:val="36"/>
          <w:highlight w:val="none"/>
          <w:lang w:eastAsia="zh-CN"/>
        </w:rPr>
      </w:pPr>
      <w:r>
        <w:rPr>
          <w:rFonts w:hint="default" w:ascii="Times New Roman" w:hAnsi="Times New Roman" w:cs="Times New Roman" w:eastAsiaTheme="minorEastAsia"/>
          <w:b w:val="0"/>
          <w:bCs/>
          <w:color w:val="auto"/>
          <w:sz w:val="36"/>
          <w:szCs w:val="36"/>
          <w:highlight w:val="none"/>
        </w:rPr>
        <w:t>建设单位：</w:t>
      </w:r>
      <w:r>
        <w:rPr>
          <w:rFonts w:hint="eastAsia" w:cs="Times New Roman" w:eastAsiaTheme="minorEastAsia"/>
          <w:b w:val="0"/>
          <w:bCs/>
          <w:color w:val="auto"/>
          <w:sz w:val="36"/>
          <w:szCs w:val="36"/>
          <w:highlight w:val="none"/>
          <w:lang w:eastAsia="zh-CN"/>
        </w:rPr>
        <w:t>中国石化销售股份有限公司</w:t>
      </w:r>
    </w:p>
    <w:p>
      <w:pPr>
        <w:overflowPunct w:val="0"/>
        <w:autoSpaceDE w:val="0"/>
        <w:autoSpaceDN w:val="0"/>
        <w:ind w:firstLine="0" w:firstLineChars="0"/>
        <w:jc w:val="center"/>
        <w:rPr>
          <w:rFonts w:hint="eastAsia" w:ascii="Times New Roman" w:hAnsi="Times New Roman" w:cs="Times New Roman" w:eastAsiaTheme="minorEastAsia"/>
          <w:b w:val="0"/>
          <w:bCs/>
          <w:color w:val="auto"/>
          <w:sz w:val="36"/>
          <w:szCs w:val="36"/>
          <w:highlight w:val="none"/>
          <w:lang w:eastAsia="zh-CN"/>
        </w:rPr>
      </w:pPr>
      <w:r>
        <w:rPr>
          <w:rFonts w:hint="eastAsia" w:cs="Times New Roman" w:eastAsiaTheme="minorEastAsia"/>
          <w:b w:val="0"/>
          <w:bCs/>
          <w:color w:val="auto"/>
          <w:sz w:val="36"/>
          <w:szCs w:val="36"/>
          <w:highlight w:val="none"/>
          <w:lang w:val="en-US" w:eastAsia="zh-CN"/>
        </w:rPr>
        <w:t xml:space="preserve">          </w:t>
      </w:r>
      <w:r>
        <w:rPr>
          <w:rFonts w:hint="eastAsia" w:cs="Times New Roman" w:eastAsiaTheme="minorEastAsia"/>
          <w:b w:val="0"/>
          <w:bCs/>
          <w:color w:val="auto"/>
          <w:sz w:val="36"/>
          <w:szCs w:val="36"/>
          <w:highlight w:val="none"/>
          <w:lang w:eastAsia="zh-CN"/>
        </w:rPr>
        <w:t>新疆和田石油分公司</w:t>
      </w:r>
    </w:p>
    <w:p>
      <w:pPr>
        <w:overflowPunct w:val="0"/>
        <w:autoSpaceDE w:val="0"/>
        <w:autoSpaceDN w:val="0"/>
        <w:ind w:firstLine="1080" w:firstLineChars="300"/>
        <w:rPr>
          <w:rFonts w:hint="default" w:ascii="Times New Roman" w:hAnsi="Times New Roman" w:cs="Times New Roman" w:eastAsiaTheme="minorEastAsia"/>
          <w:b w:val="0"/>
          <w:bCs/>
          <w:color w:val="auto"/>
          <w:sz w:val="36"/>
          <w:szCs w:val="36"/>
          <w:highlight w:val="none"/>
        </w:rPr>
      </w:pPr>
      <w:r>
        <w:rPr>
          <w:rFonts w:hint="default" w:ascii="Times New Roman" w:hAnsi="Times New Roman" w:cs="Times New Roman" w:eastAsiaTheme="minorEastAsia"/>
          <w:b w:val="0"/>
          <w:bCs/>
          <w:color w:val="auto"/>
          <w:sz w:val="36"/>
          <w:szCs w:val="36"/>
          <w:highlight w:val="none"/>
        </w:rPr>
        <w:t>编制单位：新疆万汇工程项目管理有限公司</w:t>
      </w:r>
    </w:p>
    <w:p>
      <w:pPr>
        <w:overflowPunct w:val="0"/>
        <w:autoSpaceDE w:val="0"/>
        <w:autoSpaceDN w:val="0"/>
        <w:ind w:firstLine="0" w:firstLineChars="0"/>
        <w:jc w:val="center"/>
        <w:rPr>
          <w:rFonts w:hint="default" w:ascii="Times New Roman" w:hAnsi="Times New Roman" w:cs="Times New Roman" w:eastAsiaTheme="minorEastAsia"/>
          <w:b/>
          <w:color w:val="auto"/>
          <w:sz w:val="36"/>
          <w:szCs w:val="36"/>
          <w:highlight w:val="none"/>
        </w:rPr>
      </w:pPr>
      <w:r>
        <w:rPr>
          <w:rFonts w:hint="default" w:ascii="Times New Roman" w:hAnsi="Times New Roman" w:cs="Times New Roman" w:eastAsiaTheme="minorEastAsia"/>
          <w:b w:val="0"/>
          <w:bCs/>
          <w:color w:val="auto"/>
          <w:sz w:val="36"/>
          <w:szCs w:val="36"/>
          <w:highlight w:val="none"/>
        </w:rPr>
        <w:t>202</w:t>
      </w:r>
      <w:r>
        <w:rPr>
          <w:rFonts w:hint="eastAsia" w:cs="Times New Roman" w:eastAsiaTheme="minorEastAsia"/>
          <w:b w:val="0"/>
          <w:bCs/>
          <w:color w:val="auto"/>
          <w:sz w:val="36"/>
          <w:szCs w:val="36"/>
          <w:highlight w:val="none"/>
          <w:lang w:val="en-US" w:eastAsia="zh-CN"/>
        </w:rPr>
        <w:t>1</w:t>
      </w:r>
      <w:r>
        <w:rPr>
          <w:rFonts w:hint="default" w:ascii="Times New Roman" w:hAnsi="Times New Roman" w:cs="Times New Roman" w:eastAsiaTheme="minorEastAsia"/>
          <w:b w:val="0"/>
          <w:bCs/>
          <w:color w:val="auto"/>
          <w:sz w:val="36"/>
          <w:szCs w:val="36"/>
          <w:highlight w:val="none"/>
        </w:rPr>
        <w:t>年</w:t>
      </w:r>
      <w:r>
        <w:rPr>
          <w:rFonts w:hint="eastAsia" w:cs="Times New Roman" w:eastAsiaTheme="minorEastAsia"/>
          <w:b w:val="0"/>
          <w:bCs/>
          <w:color w:val="auto"/>
          <w:sz w:val="36"/>
          <w:szCs w:val="36"/>
          <w:highlight w:val="none"/>
          <w:lang w:val="en-US" w:eastAsia="zh-CN"/>
        </w:rPr>
        <w:t>7</w:t>
      </w:r>
      <w:r>
        <w:rPr>
          <w:rFonts w:hint="default" w:ascii="Times New Roman" w:hAnsi="Times New Roman" w:cs="Times New Roman" w:eastAsiaTheme="minorEastAsia"/>
          <w:b w:val="0"/>
          <w:bCs/>
          <w:color w:val="auto"/>
          <w:sz w:val="36"/>
          <w:szCs w:val="36"/>
          <w:highlight w:val="none"/>
        </w:rPr>
        <w:t>月</w:t>
      </w:r>
    </w:p>
    <w:p>
      <w:pPr>
        <w:pStyle w:val="2"/>
        <w:pBdr>
          <w:bottom w:val="none" w:color="auto" w:sz="0" w:space="0"/>
        </w:pBdr>
        <w:spacing w:line="360" w:lineRule="auto"/>
        <w:ind w:firstLine="360"/>
        <w:rPr>
          <w:rFonts w:hint="default" w:ascii="Times New Roman" w:hAnsi="Times New Roman" w:eastAsia="仿宋_GB2312" w:cs="Times New Roman"/>
          <w:color w:val="auto"/>
          <w:highlight w:val="none"/>
        </w:rPr>
      </w:pPr>
    </w:p>
    <w:p>
      <w:pPr>
        <w:overflowPunct w:val="0"/>
        <w:autoSpaceDE w:val="0"/>
        <w:autoSpaceDN w:val="0"/>
        <w:ind w:firstLine="0" w:firstLineChars="0"/>
        <w:rPr>
          <w:rFonts w:hint="default" w:ascii="Times New Roman" w:hAnsi="Times New Roman" w:eastAsia="仿宋_GB2312" w:cs="Times New Roman"/>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520" w:bottom="1497" w:left="1520" w:header="851" w:footer="992" w:gutter="0"/>
          <w:pgBorders>
            <w:top w:val="none" w:sz="0" w:space="0"/>
            <w:left w:val="none" w:sz="0" w:space="0"/>
            <w:bottom w:val="none" w:sz="0" w:space="0"/>
            <w:right w:val="none" w:sz="0" w:space="0"/>
          </w:pgBorders>
          <w:pgNumType w:fmt="lowerRoman" w:start="1"/>
          <w:cols w:space="720" w:num="1"/>
          <w:docGrid w:linePitch="326" w:charSpace="0"/>
        </w:sectPr>
      </w:pPr>
    </w:p>
    <w:p>
      <w:pPr>
        <w:ind w:firstLine="0" w:firstLineChars="0"/>
        <w:contextualSpacing/>
        <w:rPr>
          <w:rFonts w:hint="default" w:ascii="Times New Roman" w:hAnsi="Times New Roman" w:eastAsia="仿宋_GB2312" w:cs="Times New Roman"/>
          <w:color w:val="auto"/>
          <w:highlight w:val="none"/>
        </w:rPr>
      </w:pPr>
    </w:p>
    <w:p>
      <w:pPr>
        <w:ind w:firstLine="0" w:firstLineChars="0"/>
        <w:contextualSpacing/>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567055</wp:posOffset>
                </wp:positionH>
                <wp:positionV relativeFrom="paragraph">
                  <wp:posOffset>1459230</wp:posOffset>
                </wp:positionV>
                <wp:extent cx="4901565" cy="809625"/>
                <wp:effectExtent l="0" t="0" r="0" b="0"/>
                <wp:wrapNone/>
                <wp:docPr id="13" name="文本框 2290"/>
                <wp:cNvGraphicFramePr/>
                <a:graphic xmlns:a="http://schemas.openxmlformats.org/drawingml/2006/main">
                  <a:graphicData uri="http://schemas.microsoft.com/office/word/2010/wordprocessingShape">
                    <wps:wsp>
                      <wps:cNvSpPr txBox="1"/>
                      <wps:spPr>
                        <a:xfrm>
                          <a:off x="0" y="0"/>
                          <a:ext cx="4901565" cy="809625"/>
                        </a:xfrm>
                        <a:prstGeom prst="rect">
                          <a:avLst/>
                        </a:prstGeom>
                        <a:noFill/>
                        <a:ln>
                          <a:noFill/>
                        </a:ln>
                      </wps:spPr>
                      <wps:txbx>
                        <w:txbxContent>
                          <w:p>
                            <w:pPr>
                              <w:overflowPunct w:val="0"/>
                              <w:autoSpaceDE w:val="0"/>
                              <w:autoSpaceDN w:val="0"/>
                              <w:ind w:firstLine="0" w:firstLineChars="0"/>
                              <w:jc w:val="center"/>
                              <w:rPr>
                                <w:rFonts w:hint="eastAsia" w:ascii="华文中宋" w:hAnsi="华文中宋" w:eastAsia="华文中宋"/>
                                <w:b/>
                                <w:color w:val="0000FF"/>
                                <w:sz w:val="32"/>
                                <w:szCs w:val="28"/>
                                <w:lang w:val="en-US" w:eastAsia="zh-CN"/>
                              </w:rPr>
                            </w:pPr>
                            <w:r>
                              <w:rPr>
                                <w:rFonts w:hint="eastAsia" w:ascii="华文中宋" w:hAnsi="华文中宋" w:eastAsia="华文中宋"/>
                                <w:b/>
                                <w:color w:val="0000FF"/>
                                <w:sz w:val="32"/>
                                <w:szCs w:val="28"/>
                              </w:rPr>
                              <w:t>仅用于</w:t>
                            </w:r>
                            <w:r>
                              <w:rPr>
                                <w:rFonts w:hint="eastAsia" w:ascii="华文中宋" w:hAnsi="华文中宋" w:eastAsia="华文中宋"/>
                                <w:b/>
                                <w:color w:val="0000FF"/>
                                <w:sz w:val="32"/>
                                <w:szCs w:val="28"/>
                                <w:lang w:eastAsia="zh-CN"/>
                              </w:rPr>
                              <w:t>策勒县城东加油站项目</w:t>
                            </w:r>
                            <w:r>
                              <w:rPr>
                                <w:rFonts w:hint="eastAsia" w:ascii="华文中宋" w:hAnsi="华文中宋" w:eastAsia="华文中宋"/>
                                <w:b/>
                                <w:color w:val="0000FF"/>
                                <w:sz w:val="32"/>
                                <w:szCs w:val="28"/>
                              </w:rPr>
                              <w:t>,否则无效</w:t>
                            </w:r>
                            <w:r>
                              <w:rPr>
                                <w:rFonts w:hint="eastAsia" w:ascii="华文中宋" w:hAnsi="华文中宋" w:eastAsia="华文中宋"/>
                                <w:b/>
                                <w:color w:val="0000FF"/>
                                <w:sz w:val="32"/>
                                <w:szCs w:val="28"/>
                                <w:lang w:eastAsia="zh-CN"/>
                              </w:rPr>
                              <w:t>。</w:t>
                            </w:r>
                          </w:p>
                        </w:txbxContent>
                      </wps:txbx>
                      <wps:bodyPr lIns="18000" tIns="36000" rIns="18000" bIns="36000" upright="1"/>
                    </wps:wsp>
                  </a:graphicData>
                </a:graphic>
              </wp:anchor>
            </w:drawing>
          </mc:Choice>
          <mc:Fallback>
            <w:pict>
              <v:shape id="文本框 2290" o:spid="_x0000_s1026" o:spt="202" type="#_x0000_t202" style="position:absolute;left:0pt;margin-left:44.65pt;margin-top:114.9pt;height:63.75pt;width:385.95pt;z-index:251660288;mso-width-relative:page;mso-height-relative:page;" filled="f" stroked="f" coordsize="21600,21600" o:gfxdata="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rhPpZ2AAAAAoBAAAPAAAAAAAAAAEAIAAAACIAAABkcnMvZG93bnJl&#10;di54bWxQSwECFAAUAAAACACHTuJAA7MOusQBAACGAwAADgAAAAAAAAABACAAAAAnAQAAZHJzL2Uy&#10;b0RvYy54bWxQSwUGAAAAAAYABgBZAQAAXQUAAAAA&#10;">
                <v:fill on="f" focussize="0,0"/>
                <v:stroke on="f"/>
                <v:imagedata o:title=""/>
                <o:lock v:ext="edit" aspectratio="f"/>
                <v:textbox inset="0.5mm,1mm,0.5mm,1mm">
                  <w:txbxContent>
                    <w:p>
                      <w:pPr>
                        <w:overflowPunct w:val="0"/>
                        <w:autoSpaceDE w:val="0"/>
                        <w:autoSpaceDN w:val="0"/>
                        <w:ind w:firstLine="0" w:firstLineChars="0"/>
                        <w:jc w:val="center"/>
                        <w:rPr>
                          <w:rFonts w:hint="eastAsia" w:ascii="华文中宋" w:hAnsi="华文中宋" w:eastAsia="华文中宋"/>
                          <w:b/>
                          <w:color w:val="0000FF"/>
                          <w:sz w:val="32"/>
                          <w:szCs w:val="28"/>
                          <w:lang w:val="en-US" w:eastAsia="zh-CN"/>
                        </w:rPr>
                      </w:pPr>
                      <w:r>
                        <w:rPr>
                          <w:rFonts w:hint="eastAsia" w:ascii="华文中宋" w:hAnsi="华文中宋" w:eastAsia="华文中宋"/>
                          <w:b/>
                          <w:color w:val="0000FF"/>
                          <w:sz w:val="32"/>
                          <w:szCs w:val="28"/>
                        </w:rPr>
                        <w:t>仅用于</w:t>
                      </w:r>
                      <w:r>
                        <w:rPr>
                          <w:rFonts w:hint="eastAsia" w:ascii="华文中宋" w:hAnsi="华文中宋" w:eastAsia="华文中宋"/>
                          <w:b/>
                          <w:color w:val="0000FF"/>
                          <w:sz w:val="32"/>
                          <w:szCs w:val="28"/>
                          <w:lang w:eastAsia="zh-CN"/>
                        </w:rPr>
                        <w:t>策勒县城东加油站项目</w:t>
                      </w:r>
                      <w:r>
                        <w:rPr>
                          <w:rFonts w:hint="eastAsia" w:ascii="华文中宋" w:hAnsi="华文中宋" w:eastAsia="华文中宋"/>
                          <w:b/>
                          <w:color w:val="0000FF"/>
                          <w:sz w:val="32"/>
                          <w:szCs w:val="28"/>
                        </w:rPr>
                        <w:t>,否则无效</w:t>
                      </w:r>
                      <w:r>
                        <w:rPr>
                          <w:rFonts w:hint="eastAsia" w:ascii="华文中宋" w:hAnsi="华文中宋" w:eastAsia="华文中宋"/>
                          <w:b/>
                          <w:color w:val="0000FF"/>
                          <w:sz w:val="32"/>
                          <w:szCs w:val="28"/>
                          <w:lang w:eastAsia="zh-CN"/>
                        </w:rPr>
                        <w:t>。</w:t>
                      </w:r>
                    </w:p>
                  </w:txbxContent>
                </v:textbox>
              </v:shape>
            </w:pict>
          </mc:Fallback>
        </mc:AlternateContent>
      </w:r>
      <w:r>
        <w:rPr>
          <w:rFonts w:hint="default" w:ascii="Times New Roman" w:hAnsi="Times New Roman" w:eastAsia="仿宋_GB2312" w:cs="Times New Roman"/>
          <w:color w:val="auto"/>
          <w:highlight w:val="none"/>
        </w:rPr>
        <w:drawing>
          <wp:inline distT="0" distB="0" distL="114300" distR="114300">
            <wp:extent cx="5688330" cy="4102735"/>
            <wp:effectExtent l="0" t="0" r="1270" b="12065"/>
            <wp:docPr id="23" name="图片 23" descr="微信图片_2019102217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191022170552"/>
                    <pic:cNvPicPr>
                      <a:picLocks noChangeAspect="1"/>
                    </pic:cNvPicPr>
                  </pic:nvPicPr>
                  <pic:blipFill>
                    <a:blip r:embed="rId34"/>
                    <a:stretch>
                      <a:fillRect/>
                    </a:stretch>
                  </pic:blipFill>
                  <pic:spPr>
                    <a:xfrm>
                      <a:off x="0" y="0"/>
                      <a:ext cx="5688330" cy="4102735"/>
                    </a:xfrm>
                    <a:prstGeom prst="rect">
                      <a:avLst/>
                    </a:prstGeom>
                  </pic:spPr>
                </pic:pic>
              </a:graphicData>
            </a:graphic>
          </wp:inline>
        </w:drawing>
      </w:r>
    </w:p>
    <w:p>
      <w:pPr>
        <w:ind w:firstLine="0" w:firstLineChars="0"/>
        <w:contextualSpacing/>
        <w:rPr>
          <w:rFonts w:hint="default" w:ascii="Times New Roman" w:hAnsi="Times New Roman" w:eastAsia="仿宋_GB2312" w:cs="Times New Roman"/>
          <w:color w:val="auto"/>
          <w:highlight w:val="none"/>
        </w:rPr>
      </w:pPr>
    </w:p>
    <w:p>
      <w:pPr>
        <w:ind w:firstLine="0" w:firstLineChars="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pacing w:val="40"/>
          <w:sz w:val="32"/>
          <w:szCs w:val="32"/>
          <w:highlight w:val="none"/>
        </w:rPr>
        <w:t>设计单位</w:t>
      </w:r>
      <w:r>
        <w:rPr>
          <w:rFonts w:hint="default" w:ascii="Times New Roman" w:hAnsi="Times New Roman" w:eastAsia="仿宋_GB2312" w:cs="Times New Roman"/>
          <w:color w:val="auto"/>
          <w:sz w:val="32"/>
          <w:szCs w:val="32"/>
          <w:highlight w:val="none"/>
        </w:rPr>
        <w:t>：新疆万汇工程项目管理有限公司</w:t>
      </w:r>
    </w:p>
    <w:p>
      <w:pPr>
        <w:ind w:firstLine="0" w:firstLineChars="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通讯地址：新疆乌鲁木齐经济技术开发区（头屯河区）凤凰山街353号亚欧贸易中心2号商务综合楼1910室</w:t>
      </w:r>
    </w:p>
    <w:p>
      <w:pPr>
        <w:ind w:firstLine="0" w:firstLineChars="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邮政编码：830000</w:t>
      </w:r>
    </w:p>
    <w:p>
      <w:pPr>
        <w:ind w:firstLine="0" w:firstLineChars="0"/>
        <w:rPr>
          <w:rFonts w:hint="eastAsia"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项目联系人：</w:t>
      </w:r>
      <w:r>
        <w:rPr>
          <w:rFonts w:hint="eastAsia" w:eastAsia="仿宋_GB2312" w:cs="Times New Roman"/>
          <w:color w:val="auto"/>
          <w:sz w:val="32"/>
          <w:szCs w:val="32"/>
          <w:highlight w:val="none"/>
          <w:lang w:eastAsia="zh-CN"/>
        </w:rPr>
        <w:t>杨霄</w:t>
      </w:r>
    </w:p>
    <w:p>
      <w:pPr>
        <w:ind w:firstLine="0" w:firstLineChars="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pacing w:val="38"/>
          <w:sz w:val="32"/>
          <w:szCs w:val="32"/>
          <w:highlight w:val="none"/>
        </w:rPr>
        <w:t>联系电话</w:t>
      </w:r>
      <w:r>
        <w:rPr>
          <w:rFonts w:hint="default" w:ascii="Times New Roman" w:hAnsi="Times New Roman" w:eastAsia="仿宋_GB2312" w:cs="Times New Roman"/>
          <w:color w:val="auto"/>
          <w:sz w:val="32"/>
          <w:szCs w:val="32"/>
          <w:highlight w:val="none"/>
        </w:rPr>
        <w:t>：</w:t>
      </w:r>
      <w:r>
        <w:rPr>
          <w:rFonts w:hint="eastAsia" w:eastAsia="仿宋_GB2312" w:cs="Times New Roman"/>
          <w:color w:val="auto"/>
          <w:sz w:val="32"/>
          <w:szCs w:val="32"/>
          <w:highlight w:val="none"/>
          <w:lang w:val="en-US" w:eastAsia="zh-CN"/>
        </w:rPr>
        <w:t>18083906790</w:t>
      </w:r>
    </w:p>
    <w:p>
      <w:pPr>
        <w:ind w:firstLine="0" w:firstLineChars="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邮      箱：</w:t>
      </w:r>
      <w:r>
        <w:rPr>
          <w:rFonts w:hint="eastAsia" w:eastAsia="仿宋_GB2312" w:cs="Times New Roman"/>
          <w:color w:val="auto"/>
          <w:sz w:val="32"/>
          <w:szCs w:val="32"/>
          <w:highlight w:val="none"/>
          <w:lang w:val="en-US" w:eastAsia="zh-CN"/>
        </w:rPr>
        <w:t>1718399344@qq.com</w:t>
      </w:r>
    </w:p>
    <w:p>
      <w:pPr>
        <w:ind w:firstLine="0" w:firstLineChars="0"/>
        <w:contextualSpacing/>
        <w:rPr>
          <w:rFonts w:hint="default" w:ascii="Times New Roman" w:hAnsi="Times New Roman" w:eastAsia="仿宋_GB2312" w:cs="Times New Roman"/>
          <w:color w:val="auto"/>
          <w:highlight w:val="none"/>
        </w:rPr>
      </w:pPr>
    </w:p>
    <w:p>
      <w:pPr>
        <w:ind w:firstLine="0" w:firstLineChars="0"/>
        <w:contextualSpacing/>
        <w:rPr>
          <w:rFonts w:hint="default" w:ascii="Times New Roman" w:hAnsi="Times New Roman" w:eastAsia="仿宋_GB2312" w:cs="Times New Roman"/>
          <w:color w:val="auto"/>
          <w:highlight w:val="none"/>
        </w:rPr>
      </w:pPr>
    </w:p>
    <w:p>
      <w:pPr>
        <w:ind w:firstLine="0" w:firstLineChars="0"/>
        <w:contextualSpacing/>
        <w:rPr>
          <w:rFonts w:hint="default" w:ascii="Times New Roman" w:hAnsi="Times New Roman" w:eastAsia="仿宋_GB2312" w:cs="Times New Roman"/>
          <w:color w:val="auto"/>
          <w:highlight w:val="none"/>
        </w:rPr>
      </w:pPr>
    </w:p>
    <w:p>
      <w:pPr>
        <w:ind w:firstLine="0" w:firstLineChars="0"/>
        <w:contextualSpacing/>
        <w:rPr>
          <w:rFonts w:hint="default" w:ascii="Times New Roman" w:hAnsi="Times New Roman" w:eastAsia="仿宋_GB2312" w:cs="Times New Roman"/>
          <w:color w:val="auto"/>
          <w:highlight w:val="none"/>
        </w:rPr>
      </w:pPr>
    </w:p>
    <w:p>
      <w:pPr>
        <w:ind w:firstLine="0" w:firstLineChars="0"/>
        <w:contextualSpacing/>
        <w:rPr>
          <w:rFonts w:hint="default" w:ascii="Times New Roman" w:hAnsi="Times New Roman" w:eastAsia="仿宋_GB2312" w:cs="Times New Roman"/>
          <w:color w:val="auto"/>
          <w:highlight w:val="none"/>
        </w:rPr>
        <w:sectPr>
          <w:pgSz w:w="11906" w:h="16838"/>
          <w:pgMar w:top="1440" w:right="1520" w:bottom="1440" w:left="1520" w:header="851" w:footer="992" w:gutter="0"/>
          <w:pgBorders>
            <w:top w:val="none" w:sz="0" w:space="0"/>
            <w:left w:val="none" w:sz="0" w:space="0"/>
            <w:bottom w:val="none" w:sz="0" w:space="0"/>
            <w:right w:val="none" w:sz="0" w:space="0"/>
          </w:pgBorders>
          <w:pgNumType w:fmt="lowerRoman" w:start="1"/>
          <w:cols w:space="720" w:num="1"/>
          <w:docGrid w:linePitch="326" w:charSpace="0"/>
        </w:sectPr>
      </w:pPr>
    </w:p>
    <w:p>
      <w:pPr>
        <w:overflowPunct w:val="0"/>
        <w:autoSpaceDE w:val="0"/>
        <w:autoSpaceDN w:val="0"/>
        <w:ind w:firstLine="0" w:firstLineChars="0"/>
        <w:jc w:val="center"/>
        <w:rPr>
          <w:rFonts w:hint="eastAsia" w:ascii="Times New Roman" w:hAnsi="Times New Roman" w:eastAsia="仿宋_GB2312" w:cs="Times New Roman"/>
          <w:b/>
          <w:color w:val="auto"/>
          <w:sz w:val="32"/>
          <w:szCs w:val="32"/>
          <w:highlight w:val="none"/>
          <w:lang w:eastAsia="zh-CN"/>
        </w:rPr>
      </w:pPr>
      <w:r>
        <w:rPr>
          <w:rFonts w:hint="eastAsia" w:eastAsia="仿宋_GB2312" w:cs="Times New Roman"/>
          <w:b/>
          <w:color w:val="auto"/>
          <w:sz w:val="32"/>
          <w:szCs w:val="32"/>
          <w:highlight w:val="none"/>
          <w:lang w:eastAsia="zh-CN"/>
        </w:rPr>
        <w:t>策勒县城东加油站项目</w:t>
      </w:r>
    </w:p>
    <w:p>
      <w:pPr>
        <w:ind w:firstLine="0" w:firstLineChars="0"/>
        <w:jc w:val="center"/>
        <w:rPr>
          <w:rFonts w:hint="default" w:ascii="Times New Roman" w:hAnsi="Times New Roman" w:eastAsia="仿宋_GB2312" w:cs="Times New Roman"/>
          <w:b/>
          <w:color w:val="auto"/>
          <w:sz w:val="32"/>
          <w:szCs w:val="32"/>
          <w:highlight w:val="none"/>
        </w:rPr>
      </w:pPr>
      <w:r>
        <w:rPr>
          <w:rFonts w:hint="default" w:ascii="Times New Roman" w:hAnsi="Times New Roman" w:eastAsia="仿宋_GB2312" w:cs="Times New Roman"/>
          <w:b/>
          <w:color w:val="auto"/>
          <w:sz w:val="32"/>
          <w:szCs w:val="32"/>
          <w:highlight w:val="none"/>
        </w:rPr>
        <w:t>水土保持方案报告表</w:t>
      </w:r>
    </w:p>
    <w:p>
      <w:pPr>
        <w:pStyle w:val="2"/>
        <w:pBdr>
          <w:bottom w:val="none" w:color="auto" w:sz="0" w:space="0"/>
        </w:pBdr>
        <w:spacing w:beforeLines="50" w:line="360" w:lineRule="auto"/>
        <w:ind w:firstLine="643"/>
        <w:rPr>
          <w:rFonts w:hint="default" w:ascii="Times New Roman" w:hAnsi="Times New Roman" w:eastAsia="仿宋_GB2312" w:cs="Times New Roman"/>
          <w:b/>
          <w:color w:val="auto"/>
          <w:kern w:val="2"/>
          <w:sz w:val="32"/>
          <w:szCs w:val="32"/>
          <w:highlight w:val="none"/>
        </w:rPr>
      </w:pPr>
      <w:r>
        <w:rPr>
          <w:rFonts w:hint="default" w:ascii="Times New Roman" w:hAnsi="Times New Roman" w:eastAsia="仿宋_GB2312" w:cs="Times New Roman"/>
          <w:b/>
          <w:color w:val="auto"/>
          <w:kern w:val="2"/>
          <w:sz w:val="32"/>
          <w:szCs w:val="32"/>
          <w:highlight w:val="none"/>
        </w:rPr>
        <w:t>责任页</w:t>
      </w:r>
    </w:p>
    <w:p>
      <w:pPr>
        <w:pStyle w:val="2"/>
        <w:pBdr>
          <w:bottom w:val="none" w:color="auto" w:sz="0" w:space="0"/>
        </w:pBdr>
        <w:spacing w:line="360" w:lineRule="auto"/>
        <w:ind w:firstLine="643"/>
        <w:rPr>
          <w:rFonts w:hint="default" w:ascii="Times New Roman" w:hAnsi="Times New Roman" w:eastAsia="仿宋_GB2312" w:cs="Times New Roman"/>
          <w:b/>
          <w:color w:val="auto"/>
          <w:kern w:val="2"/>
          <w:sz w:val="32"/>
          <w:szCs w:val="32"/>
          <w:highlight w:val="none"/>
        </w:rPr>
      </w:pPr>
      <w:r>
        <w:rPr>
          <w:rFonts w:hint="default" w:ascii="Times New Roman" w:hAnsi="Times New Roman" w:eastAsia="仿宋_GB2312" w:cs="Times New Roman"/>
          <w:b/>
          <w:color w:val="auto"/>
          <w:sz w:val="32"/>
          <w:szCs w:val="32"/>
          <w:highlight w:val="none"/>
        </w:rPr>
        <w:t>（新疆万汇工程项目管理有限公司）</w:t>
      </w:r>
    </w:p>
    <w:p>
      <w:pPr>
        <w:ind w:left="602" w:hanging="602" w:hangingChars="200"/>
        <w:rPr>
          <w:rFonts w:hint="default" w:ascii="Times New Roman" w:hAnsi="Times New Roman" w:eastAsia="仿宋_GB2312" w:cs="Times New Roman"/>
          <w:b/>
          <w:color w:val="auto"/>
          <w:sz w:val="30"/>
          <w:szCs w:val="30"/>
          <w:highlight w:val="none"/>
        </w:rPr>
      </w:pPr>
    </w:p>
    <w:p>
      <w:pPr>
        <w:ind w:left="602" w:hanging="602" w:hangingChars="20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b/>
          <w:color w:val="auto"/>
          <w:sz w:val="30"/>
          <w:szCs w:val="30"/>
          <w:highlight w:val="none"/>
        </w:rPr>
        <w:t>批准：</w:t>
      </w:r>
      <w:r>
        <w:rPr>
          <w:rFonts w:hint="default" w:ascii="Times New Roman" w:hAnsi="Times New Roman" w:eastAsia="仿宋_GB2312" w:cs="Times New Roman"/>
          <w:color w:val="auto"/>
          <w:sz w:val="30"/>
          <w:szCs w:val="30"/>
          <w:highlight w:val="none"/>
        </w:rPr>
        <w:t>顾会刚（总经理）</w:t>
      </w:r>
    </w:p>
    <w:p>
      <w:pPr>
        <w:ind w:left="602" w:hanging="602" w:hangingChars="200"/>
        <w:rPr>
          <w:rFonts w:hint="default" w:ascii="Times New Roman" w:hAnsi="Times New Roman" w:eastAsia="仿宋_GB2312" w:cs="Times New Roman"/>
          <w:b/>
          <w:color w:val="auto"/>
          <w:sz w:val="30"/>
          <w:szCs w:val="30"/>
          <w:highlight w:val="none"/>
        </w:rPr>
      </w:pPr>
    </w:p>
    <w:p>
      <w:pPr>
        <w:ind w:left="602" w:hanging="602" w:hangingChars="20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b/>
          <w:color w:val="auto"/>
          <w:sz w:val="30"/>
          <w:szCs w:val="30"/>
          <w:highlight w:val="none"/>
        </w:rPr>
        <w:t>核定：</w:t>
      </w:r>
      <w:r>
        <w:rPr>
          <w:rFonts w:hint="default" w:ascii="Times New Roman" w:hAnsi="Times New Roman" w:eastAsia="仿宋_GB2312" w:cs="Times New Roman"/>
          <w:color w:val="auto"/>
          <w:sz w:val="30"/>
          <w:szCs w:val="30"/>
          <w:highlight w:val="none"/>
        </w:rPr>
        <w:t>佟婵娟（副总经理）</w:t>
      </w:r>
    </w:p>
    <w:p>
      <w:pPr>
        <w:ind w:left="602" w:hanging="602" w:hangingChars="200"/>
        <w:rPr>
          <w:rFonts w:hint="default" w:ascii="Times New Roman" w:hAnsi="Times New Roman" w:eastAsia="仿宋_GB2312" w:cs="Times New Roman"/>
          <w:b/>
          <w:color w:val="auto"/>
          <w:sz w:val="30"/>
          <w:szCs w:val="30"/>
          <w:highlight w:val="none"/>
        </w:rPr>
      </w:pPr>
    </w:p>
    <w:p>
      <w:pPr>
        <w:ind w:left="602" w:hanging="602" w:hangingChars="20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b/>
          <w:color w:val="auto"/>
          <w:sz w:val="30"/>
          <w:szCs w:val="30"/>
          <w:highlight w:val="none"/>
        </w:rPr>
        <w:t>审查：</w:t>
      </w:r>
      <w:r>
        <w:rPr>
          <w:rFonts w:hint="eastAsia" w:eastAsia="仿宋_GB2312" w:cs="Times New Roman"/>
          <w:color w:val="auto"/>
          <w:sz w:val="30"/>
          <w:szCs w:val="30"/>
          <w:highlight w:val="none"/>
          <w:lang w:eastAsia="zh-CN"/>
        </w:rPr>
        <w:t>杨海英</w:t>
      </w:r>
      <w:r>
        <w:rPr>
          <w:rFonts w:hint="default" w:ascii="Times New Roman" w:hAnsi="Times New Roman" w:eastAsia="仿宋_GB2312" w:cs="Times New Roman"/>
          <w:color w:val="auto"/>
          <w:sz w:val="30"/>
          <w:szCs w:val="30"/>
          <w:highlight w:val="none"/>
        </w:rPr>
        <w:t>（工程师）</w:t>
      </w:r>
    </w:p>
    <w:p>
      <w:pPr>
        <w:ind w:left="602" w:hanging="602" w:hangingChars="200"/>
        <w:rPr>
          <w:rFonts w:hint="default" w:ascii="Times New Roman" w:hAnsi="Times New Roman" w:eastAsia="仿宋_GB2312" w:cs="Times New Roman"/>
          <w:b/>
          <w:color w:val="auto"/>
          <w:sz w:val="30"/>
          <w:szCs w:val="30"/>
          <w:highlight w:val="none"/>
        </w:rPr>
      </w:pPr>
    </w:p>
    <w:p>
      <w:pPr>
        <w:ind w:left="602" w:hanging="602" w:hangingChars="20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b/>
          <w:color w:val="auto"/>
          <w:sz w:val="30"/>
          <w:szCs w:val="30"/>
          <w:highlight w:val="none"/>
        </w:rPr>
        <w:t>校核：</w:t>
      </w:r>
      <w:r>
        <w:rPr>
          <w:rFonts w:hint="default" w:ascii="Times New Roman" w:hAnsi="Times New Roman" w:eastAsia="仿宋_GB2312" w:cs="Times New Roman"/>
          <w:color w:val="auto"/>
          <w:sz w:val="30"/>
          <w:szCs w:val="30"/>
          <w:highlight w:val="none"/>
        </w:rPr>
        <w:t>马勇强（工程师）</w:t>
      </w:r>
    </w:p>
    <w:p>
      <w:pPr>
        <w:ind w:left="602" w:hanging="602" w:hangingChars="200"/>
        <w:rPr>
          <w:rFonts w:hint="default" w:ascii="Times New Roman" w:hAnsi="Times New Roman" w:eastAsia="仿宋_GB2312" w:cs="Times New Roman"/>
          <w:b/>
          <w:color w:val="auto"/>
          <w:sz w:val="30"/>
          <w:szCs w:val="30"/>
          <w:highlight w:val="none"/>
        </w:rPr>
      </w:pPr>
    </w:p>
    <w:p>
      <w:pPr>
        <w:ind w:left="602" w:hanging="602" w:hangingChars="200"/>
        <w:rPr>
          <w:rFonts w:hint="default" w:ascii="Times New Roman" w:hAnsi="Times New Roman" w:eastAsia="仿宋_GB2312" w:cs="Times New Roman"/>
          <w:color w:val="auto"/>
          <w:sz w:val="30"/>
          <w:szCs w:val="30"/>
          <w:highlight w:val="none"/>
        </w:rPr>
      </w:pPr>
      <w:r>
        <w:rPr>
          <w:rFonts w:hint="default" w:ascii="Times New Roman" w:hAnsi="Times New Roman" w:eastAsia="仿宋_GB2312" w:cs="Times New Roman"/>
          <w:b/>
          <w:color w:val="auto"/>
          <w:sz w:val="30"/>
          <w:szCs w:val="30"/>
          <w:highlight w:val="none"/>
        </w:rPr>
        <w:t>项目负责人：</w:t>
      </w:r>
      <w:r>
        <w:rPr>
          <w:rFonts w:hint="eastAsia" w:eastAsia="仿宋_GB2312" w:cs="Times New Roman"/>
          <w:color w:val="auto"/>
          <w:sz w:val="30"/>
          <w:szCs w:val="30"/>
          <w:highlight w:val="none"/>
          <w:lang w:eastAsia="zh-CN"/>
        </w:rPr>
        <w:t>杨霄</w:t>
      </w:r>
      <w:r>
        <w:rPr>
          <w:rFonts w:hint="default" w:ascii="Times New Roman" w:hAnsi="Times New Roman" w:eastAsia="仿宋_GB2312" w:cs="Times New Roman"/>
          <w:color w:val="auto"/>
          <w:sz w:val="30"/>
          <w:szCs w:val="30"/>
          <w:highlight w:val="none"/>
        </w:rPr>
        <w:t>（工程师）</w:t>
      </w:r>
    </w:p>
    <w:p>
      <w:pPr>
        <w:ind w:left="602" w:hanging="602" w:hangingChars="200"/>
        <w:rPr>
          <w:rFonts w:hint="default" w:ascii="Times New Roman" w:hAnsi="Times New Roman" w:eastAsia="仿宋_GB2312" w:cs="Times New Roman"/>
          <w:b/>
          <w:color w:val="auto"/>
          <w:sz w:val="30"/>
          <w:szCs w:val="30"/>
          <w:highlight w:val="none"/>
        </w:rPr>
      </w:pPr>
    </w:p>
    <w:p>
      <w:pPr>
        <w:spacing w:line="480" w:lineRule="auto"/>
        <w:ind w:left="602" w:hanging="602" w:hangingChars="200"/>
        <w:rPr>
          <w:rFonts w:hint="eastAsia" w:ascii="Times New Roman" w:hAnsi="Times New Roman" w:eastAsia="仿宋_GB2312" w:cs="Times New Roman"/>
          <w:color w:val="auto"/>
          <w:sz w:val="30"/>
          <w:szCs w:val="30"/>
          <w:highlight w:val="none"/>
          <w:lang w:eastAsia="zh-CN"/>
        </w:rPr>
      </w:pPr>
      <w:r>
        <w:rPr>
          <w:rFonts w:hint="default" w:ascii="Times New Roman" w:hAnsi="Times New Roman" w:eastAsia="仿宋_GB2312" w:cs="Times New Roman"/>
          <w:b/>
          <w:color w:val="auto"/>
          <w:sz w:val="30"/>
          <w:szCs w:val="30"/>
          <w:highlight w:val="none"/>
        </w:rPr>
        <w:t>编写：</w:t>
      </w:r>
      <w:r>
        <w:rPr>
          <w:rFonts w:hint="eastAsia" w:ascii="Times New Roman" w:hAnsi="Times New Roman" w:eastAsia="仿宋_GB2312" w:cs="Times New Roman"/>
          <w:color w:val="auto"/>
          <w:sz w:val="30"/>
          <w:szCs w:val="30"/>
          <w:highlight w:val="none"/>
          <w:lang w:eastAsia="zh-CN"/>
        </w:rPr>
        <w:t>杨霄</w:t>
      </w:r>
      <w:r>
        <w:rPr>
          <w:rFonts w:hint="eastAsia"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rPr>
        <w:t>参编第</w:t>
      </w:r>
      <w:r>
        <w:rPr>
          <w:rFonts w:hint="eastAsia" w:eastAsia="仿宋_GB2312" w:cs="Times New Roman"/>
          <w:color w:val="auto"/>
          <w:sz w:val="30"/>
          <w:szCs w:val="30"/>
          <w:highlight w:val="none"/>
          <w:lang w:eastAsia="zh-CN"/>
        </w:rPr>
        <w:t>二</w:t>
      </w:r>
      <w:r>
        <w:rPr>
          <w:rFonts w:hint="default" w:ascii="Times New Roman" w:hAnsi="Times New Roman" w:eastAsia="仿宋_GB2312" w:cs="Times New Roman"/>
          <w:color w:val="auto"/>
          <w:sz w:val="30"/>
          <w:szCs w:val="30"/>
          <w:highlight w:val="none"/>
        </w:rPr>
        <w:t>章至第</w:t>
      </w:r>
      <w:r>
        <w:rPr>
          <w:rFonts w:hint="eastAsia" w:eastAsia="仿宋_GB2312" w:cs="Times New Roman"/>
          <w:color w:val="auto"/>
          <w:sz w:val="30"/>
          <w:szCs w:val="30"/>
          <w:highlight w:val="none"/>
          <w:lang w:eastAsia="zh-CN"/>
        </w:rPr>
        <w:t>七</w:t>
      </w:r>
      <w:r>
        <w:rPr>
          <w:rFonts w:hint="default" w:ascii="Times New Roman" w:hAnsi="Times New Roman" w:eastAsia="仿宋_GB2312" w:cs="Times New Roman"/>
          <w:color w:val="auto"/>
          <w:sz w:val="30"/>
          <w:szCs w:val="30"/>
          <w:highlight w:val="none"/>
        </w:rPr>
        <w:t>章</w:t>
      </w:r>
      <w:r>
        <w:rPr>
          <w:rFonts w:hint="eastAsia" w:eastAsia="仿宋_GB2312" w:cs="Times New Roman"/>
          <w:color w:val="auto"/>
          <w:sz w:val="30"/>
          <w:szCs w:val="30"/>
          <w:highlight w:val="none"/>
          <w:lang w:eastAsia="zh-CN"/>
        </w:rPr>
        <w:t>）</w:t>
      </w:r>
    </w:p>
    <w:p>
      <w:pPr>
        <w:spacing w:line="480" w:lineRule="auto"/>
        <w:ind w:firstLine="900" w:firstLineChars="300"/>
        <w:rPr>
          <w:rFonts w:hint="eastAsia" w:ascii="Times New Roman" w:hAnsi="Times New Roman" w:eastAsia="仿宋_GB2312" w:cs="Times New Roman"/>
          <w:color w:val="auto"/>
          <w:sz w:val="30"/>
          <w:szCs w:val="30"/>
          <w:highlight w:val="none"/>
          <w:lang w:eastAsia="zh-CN"/>
        </w:rPr>
      </w:pPr>
      <w:r>
        <w:rPr>
          <w:rFonts w:hint="eastAsia" w:eastAsia="仿宋_GB2312" w:cs="Times New Roman"/>
          <w:color w:val="auto"/>
          <w:sz w:val="30"/>
          <w:szCs w:val="30"/>
          <w:highlight w:val="none"/>
          <w:lang w:eastAsia="zh-CN"/>
        </w:rPr>
        <w:t>马锐（</w:t>
      </w:r>
      <w:r>
        <w:rPr>
          <w:rFonts w:hint="default" w:ascii="Times New Roman" w:hAnsi="Times New Roman" w:eastAsia="仿宋_GB2312" w:cs="Times New Roman"/>
          <w:color w:val="auto"/>
          <w:sz w:val="30"/>
          <w:szCs w:val="30"/>
          <w:highlight w:val="none"/>
        </w:rPr>
        <w:t>参编第</w:t>
      </w:r>
      <w:r>
        <w:rPr>
          <w:rFonts w:hint="eastAsia" w:eastAsia="仿宋_GB2312" w:cs="Times New Roman"/>
          <w:color w:val="auto"/>
          <w:sz w:val="30"/>
          <w:szCs w:val="30"/>
          <w:highlight w:val="none"/>
          <w:lang w:eastAsia="zh-CN"/>
        </w:rPr>
        <w:t>一</w:t>
      </w:r>
      <w:r>
        <w:rPr>
          <w:rFonts w:hint="default" w:ascii="Times New Roman" w:hAnsi="Times New Roman" w:eastAsia="仿宋_GB2312" w:cs="Times New Roman"/>
          <w:color w:val="auto"/>
          <w:sz w:val="30"/>
          <w:szCs w:val="30"/>
          <w:highlight w:val="none"/>
        </w:rPr>
        <w:t>章</w:t>
      </w:r>
      <w:r>
        <w:rPr>
          <w:rFonts w:hint="eastAsia" w:eastAsia="仿宋_GB2312" w:cs="Times New Roman"/>
          <w:color w:val="auto"/>
          <w:sz w:val="30"/>
          <w:szCs w:val="30"/>
          <w:highlight w:val="none"/>
          <w:lang w:eastAsia="zh-CN"/>
        </w:rPr>
        <w:t>和</w:t>
      </w:r>
      <w:r>
        <w:rPr>
          <w:rFonts w:hint="default" w:ascii="Times New Roman" w:hAnsi="Times New Roman" w:eastAsia="仿宋_GB2312" w:cs="Times New Roman"/>
          <w:color w:val="auto"/>
          <w:sz w:val="30"/>
          <w:szCs w:val="30"/>
          <w:highlight w:val="none"/>
        </w:rPr>
        <w:t>第</w:t>
      </w:r>
      <w:r>
        <w:rPr>
          <w:rFonts w:hint="eastAsia" w:eastAsia="仿宋_GB2312" w:cs="Times New Roman"/>
          <w:color w:val="auto"/>
          <w:sz w:val="30"/>
          <w:szCs w:val="30"/>
          <w:highlight w:val="none"/>
          <w:lang w:eastAsia="zh-CN"/>
        </w:rPr>
        <w:t>八</w:t>
      </w:r>
      <w:r>
        <w:rPr>
          <w:rFonts w:hint="default" w:ascii="Times New Roman" w:hAnsi="Times New Roman" w:eastAsia="仿宋_GB2312" w:cs="Times New Roman"/>
          <w:color w:val="auto"/>
          <w:sz w:val="30"/>
          <w:szCs w:val="30"/>
          <w:highlight w:val="none"/>
        </w:rPr>
        <w:t>章</w:t>
      </w:r>
      <w:r>
        <w:rPr>
          <w:rFonts w:hint="eastAsia" w:eastAsia="仿宋_GB2312" w:cs="Times New Roman"/>
          <w:color w:val="auto"/>
          <w:sz w:val="30"/>
          <w:szCs w:val="30"/>
          <w:highlight w:val="none"/>
          <w:lang w:eastAsia="zh-CN"/>
        </w:rPr>
        <w:t>，</w:t>
      </w:r>
      <w:r>
        <w:rPr>
          <w:rFonts w:hint="default" w:ascii="Times New Roman" w:hAnsi="Times New Roman" w:eastAsia="仿宋_GB2312" w:cs="Times New Roman"/>
          <w:color w:val="auto"/>
          <w:sz w:val="30"/>
          <w:szCs w:val="30"/>
          <w:highlight w:val="none"/>
        </w:rPr>
        <w:t>以及附件附图</w:t>
      </w:r>
      <w:r>
        <w:rPr>
          <w:rFonts w:hint="eastAsia" w:eastAsia="仿宋_GB2312" w:cs="Times New Roman"/>
          <w:color w:val="auto"/>
          <w:sz w:val="30"/>
          <w:szCs w:val="30"/>
          <w:highlight w:val="none"/>
          <w:lang w:eastAsia="zh-CN"/>
        </w:rPr>
        <w:t>）</w:t>
      </w:r>
    </w:p>
    <w:p>
      <w:pPr>
        <w:spacing w:line="480" w:lineRule="auto"/>
        <w:ind w:left="600" w:hanging="600" w:hangingChars="200"/>
        <w:rPr>
          <w:rFonts w:hint="default" w:ascii="Times New Roman" w:hAnsi="Times New Roman" w:eastAsia="仿宋_GB2312" w:cs="Times New Roman"/>
          <w:color w:val="auto"/>
          <w:sz w:val="30"/>
          <w:szCs w:val="30"/>
          <w:highlight w:val="none"/>
        </w:rPr>
      </w:pPr>
    </w:p>
    <w:p>
      <w:pPr>
        <w:spacing w:line="480" w:lineRule="auto"/>
        <w:ind w:left="720" w:hanging="719" w:hangingChars="257"/>
        <w:rPr>
          <w:rFonts w:hint="default" w:ascii="Times New Roman" w:hAnsi="Times New Roman" w:eastAsia="仿宋_GB2312" w:cs="Times New Roman"/>
          <w:color w:val="auto"/>
          <w:sz w:val="30"/>
          <w:szCs w:val="30"/>
          <w:highlight w:val="none"/>
        </w:rPr>
      </w:pPr>
      <w:r>
        <w:rPr>
          <w:rFonts w:hint="default" w:ascii="Times New Roman" w:hAnsi="Times New Roman" w:cs="Times New Roman"/>
          <w:color w:val="auto"/>
          <w:sz w:val="28"/>
          <w:szCs w:val="28"/>
          <w:highlight w:val="none"/>
        </w:rPr>
        <w:t xml:space="preserve">      </w:t>
      </w:r>
    </w:p>
    <w:p>
      <w:pPr>
        <w:ind w:left="600" w:hanging="600" w:hangingChars="200"/>
        <w:rPr>
          <w:rFonts w:hint="default" w:ascii="Times New Roman" w:hAnsi="Times New Roman" w:eastAsia="仿宋_GB2312" w:cs="Times New Roman"/>
          <w:color w:val="auto"/>
          <w:sz w:val="30"/>
          <w:szCs w:val="30"/>
          <w:highlight w:val="none"/>
        </w:rPr>
      </w:pPr>
    </w:p>
    <w:p>
      <w:pPr>
        <w:ind w:firstLine="0" w:firstLineChars="0"/>
        <w:jc w:val="center"/>
        <w:rPr>
          <w:rFonts w:hint="default" w:ascii="Times New Roman" w:hAnsi="Times New Roman" w:cs="Times New Roman"/>
          <w:color w:val="auto"/>
          <w:sz w:val="36"/>
          <w:szCs w:val="36"/>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417" w:bottom="1440" w:left="1417" w:header="851" w:footer="992" w:gutter="0"/>
          <w:pgBorders>
            <w:top w:val="none" w:sz="0" w:space="0"/>
            <w:left w:val="none" w:sz="0" w:space="0"/>
            <w:bottom w:val="none" w:sz="0" w:space="0"/>
            <w:right w:val="none" w:sz="0" w:space="0"/>
          </w:pgBorders>
          <w:pgNumType w:fmt="upperRoman" w:start="1"/>
          <w:cols w:space="720" w:num="1"/>
          <w:docGrid w:linePitch="326" w:charSpace="0"/>
        </w:sectPr>
      </w:pPr>
    </w:p>
    <w:p>
      <w:pPr>
        <w:keepNext w:val="0"/>
        <w:keepLines w:val="0"/>
        <w:pageBreakBefore w:val="0"/>
        <w:widowControl w:val="0"/>
        <w:kinsoku/>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6"/>
          <w:szCs w:val="26"/>
          <w:highlight w:val="none"/>
        </w:rPr>
      </w:pPr>
      <w:r>
        <w:rPr>
          <w:rFonts w:hint="eastAsia" w:eastAsia="仿宋_GB2312" w:cs="Times New Roman"/>
          <w:b/>
          <w:bCs/>
          <w:color w:val="auto"/>
          <w:kern w:val="0"/>
          <w:sz w:val="26"/>
          <w:szCs w:val="26"/>
          <w:highlight w:val="none"/>
          <w:lang w:eastAsia="zh-CN"/>
        </w:rPr>
        <w:t>策勒县城东加油站项目</w:t>
      </w:r>
      <w:r>
        <w:rPr>
          <w:rFonts w:hint="default" w:eastAsia="仿宋_GB2312" w:cs="Times New Roman"/>
          <w:b/>
          <w:bCs/>
          <w:color w:val="auto"/>
          <w:kern w:val="0"/>
          <w:sz w:val="26"/>
          <w:szCs w:val="26"/>
          <w:highlight w:val="none"/>
          <w:lang w:eastAsia="zh-CN"/>
        </w:rPr>
        <w:t>水土保持方案报告表</w:t>
      </w:r>
    </w:p>
    <w:tbl>
      <w:tblPr>
        <w:tblStyle w:val="25"/>
        <w:tblW w:w="946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1757"/>
        <w:gridCol w:w="1041"/>
        <w:gridCol w:w="2012"/>
        <w:gridCol w:w="16"/>
        <w:gridCol w:w="1270"/>
        <w:gridCol w:w="457"/>
        <w:gridCol w:w="1072"/>
        <w:gridCol w:w="505"/>
        <w:gridCol w:w="133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69" w:hRule="exact"/>
          <w:jc w:val="center"/>
        </w:trPr>
        <w:tc>
          <w:tcPr>
            <w:tcW w:w="1757" w:type="dxa"/>
            <w:vMerge w:val="restart"/>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项目概况</w:t>
            </w:r>
          </w:p>
        </w:tc>
        <w:tc>
          <w:tcPr>
            <w:tcW w:w="3069"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位置</w:t>
            </w:r>
          </w:p>
        </w:tc>
        <w:tc>
          <w:tcPr>
            <w:tcW w:w="4638" w:type="dxa"/>
            <w:gridSpan w:val="5"/>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jc w:val="left"/>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rPr>
              <w:t>本项目位</w:t>
            </w:r>
            <w:r>
              <w:rPr>
                <w:rFonts w:hint="eastAsia" w:cs="Times New Roman"/>
                <w:color w:val="auto"/>
                <w:highlight w:val="none"/>
                <w:lang w:eastAsia="zh-CN"/>
              </w:rPr>
              <w:t>于策勒县天津工业园区和平北路东侧</w:t>
            </w:r>
            <w:r>
              <w:rPr>
                <w:rFonts w:hint="default" w:ascii="Times New Roman" w:hAnsi="Times New Roman" w:cs="Times New Roman"/>
                <w:color w:val="auto"/>
                <w:highlight w:val="none"/>
              </w:rPr>
              <w:t>。</w:t>
            </w:r>
            <w:r>
              <w:rPr>
                <w:rFonts w:hint="eastAsia" w:cs="Times New Roman"/>
                <w:color w:val="auto"/>
                <w:highlight w:val="none"/>
                <w:lang w:eastAsia="zh-CN"/>
              </w:rPr>
              <w:t>中心点坐标为北纬</w:t>
            </w:r>
            <w:r>
              <w:rPr>
                <w:rFonts w:hint="eastAsia" w:cs="Times New Roman"/>
                <w:color w:val="auto"/>
                <w:highlight w:val="none"/>
                <w:lang w:val="en-US" w:eastAsia="zh-CN"/>
              </w:rPr>
              <w:t>36°57.52′70″，东经80°50.01′21″。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873"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3069"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建设内容</w:t>
            </w:r>
          </w:p>
        </w:tc>
        <w:tc>
          <w:tcPr>
            <w:tcW w:w="4638" w:type="dxa"/>
            <w:gridSpan w:val="5"/>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本站预计加油量</w:t>
            </w:r>
            <w:r>
              <w:rPr>
                <w:rFonts w:hint="eastAsia" w:cs="Times New Roman"/>
                <w:color w:val="auto"/>
                <w:highlight w:val="none"/>
                <w:lang w:val="en-US" w:eastAsia="zh-CN"/>
              </w:rPr>
              <w:t>3</w:t>
            </w:r>
            <w:r>
              <w:rPr>
                <w:rFonts w:hint="default" w:ascii="Times New Roman" w:hAnsi="Times New Roman" w:cs="Times New Roman"/>
                <w:color w:val="auto"/>
                <w:highlight w:val="none"/>
              </w:rPr>
              <w:t>500吨/年。新建一座</w:t>
            </w:r>
            <w:r>
              <w:rPr>
                <w:rFonts w:hint="eastAsia" w:cs="Times New Roman"/>
                <w:color w:val="auto"/>
                <w:highlight w:val="none"/>
                <w:lang w:eastAsia="zh-CN"/>
              </w:rPr>
              <w:t>一</w:t>
            </w:r>
            <w:r>
              <w:rPr>
                <w:rFonts w:hint="default" w:ascii="Times New Roman" w:hAnsi="Times New Roman" w:cs="Times New Roman"/>
                <w:color w:val="auto"/>
                <w:highlight w:val="none"/>
              </w:rPr>
              <w:t>层</w:t>
            </w:r>
            <w:r>
              <w:rPr>
                <w:rFonts w:hint="eastAsia" w:cs="Times New Roman"/>
                <w:color w:val="auto"/>
                <w:highlight w:val="none"/>
                <w:lang w:val="en-US" w:eastAsia="zh-CN"/>
              </w:rPr>
              <w:t>267.3</w:t>
            </w:r>
            <w:r>
              <w:rPr>
                <w:rFonts w:hint="eastAsia" w:cs="Times New Roman"/>
                <w:color w:val="auto"/>
                <w:highlight w:val="none"/>
                <w:lang w:eastAsia="zh-CN"/>
              </w:rPr>
              <w:t>m²</w:t>
            </w:r>
            <w:r>
              <w:rPr>
                <w:rFonts w:hint="default" w:ascii="Times New Roman" w:hAnsi="Times New Roman" w:cs="Times New Roman"/>
                <w:color w:val="auto"/>
                <w:highlight w:val="none"/>
              </w:rPr>
              <w:t>框架结构站房，新建</w:t>
            </w:r>
            <w:r>
              <w:rPr>
                <w:rFonts w:hint="eastAsia" w:cs="Times New Roman"/>
                <w:color w:val="auto"/>
                <w:highlight w:val="none"/>
                <w:lang w:eastAsia="zh-CN"/>
              </w:rPr>
              <w:t>一座</w:t>
            </w:r>
            <w:r>
              <w:rPr>
                <w:rFonts w:hint="default" w:ascii="Times New Roman" w:hAnsi="Times New Roman" w:cs="Times New Roman"/>
                <w:color w:val="auto"/>
                <w:highlight w:val="none"/>
              </w:rPr>
              <w:t>罩棚</w:t>
            </w:r>
            <w:r>
              <w:rPr>
                <w:rFonts w:hint="eastAsia" w:cs="Times New Roman"/>
                <w:color w:val="auto"/>
                <w:highlight w:val="none"/>
                <w:lang w:eastAsia="zh-CN"/>
              </w:rPr>
              <w:t>，同时</w:t>
            </w:r>
            <w:r>
              <w:rPr>
                <w:rFonts w:hint="default" w:ascii="Times New Roman" w:hAnsi="Times New Roman" w:cs="Times New Roman"/>
                <w:color w:val="auto"/>
                <w:highlight w:val="none"/>
              </w:rPr>
              <w:t>配套站内给排水、采暖通风、供电通信、静电接地等附属设施。</w:t>
            </w:r>
          </w:p>
          <w:p>
            <w:pPr>
              <w:pStyle w:val="84"/>
              <w:keepNext w:val="0"/>
              <w:keepLines w:val="0"/>
              <w:pageBreakBefore w:val="0"/>
              <w:kinsoku/>
              <w:wordWrap/>
              <w:overflowPunct/>
              <w:topLinePunct w:val="0"/>
              <w:bidi w:val="0"/>
              <w:adjustRightInd w:val="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新增设备：2座50</w:t>
            </w:r>
            <w:r>
              <w:rPr>
                <w:rFonts w:hint="eastAsia" w:cs="Times New Roman"/>
                <w:color w:val="auto"/>
                <w:highlight w:val="none"/>
                <w:lang w:eastAsia="zh-CN"/>
              </w:rPr>
              <w:t>m³</w:t>
            </w:r>
            <w:r>
              <w:rPr>
                <w:rFonts w:hint="default" w:ascii="Times New Roman" w:hAnsi="Times New Roman" w:cs="Times New Roman"/>
                <w:color w:val="auto"/>
                <w:highlight w:val="none"/>
              </w:rPr>
              <w:t>埋地柴油罐，2座</w:t>
            </w:r>
            <w:r>
              <w:rPr>
                <w:rFonts w:hint="eastAsia" w:cs="Times New Roman"/>
                <w:color w:val="auto"/>
                <w:highlight w:val="none"/>
                <w:lang w:val="en-US" w:eastAsia="zh-CN"/>
              </w:rPr>
              <w:t>5</w:t>
            </w:r>
            <w:r>
              <w:rPr>
                <w:rFonts w:hint="default" w:ascii="Times New Roman" w:hAnsi="Times New Roman" w:cs="Times New Roman"/>
                <w:color w:val="auto"/>
                <w:highlight w:val="none"/>
              </w:rPr>
              <w:t>0</w:t>
            </w:r>
            <w:r>
              <w:rPr>
                <w:rFonts w:hint="eastAsia" w:cs="Times New Roman"/>
                <w:color w:val="auto"/>
                <w:highlight w:val="none"/>
                <w:lang w:eastAsia="zh-CN"/>
              </w:rPr>
              <w:t>m³</w:t>
            </w:r>
            <w:r>
              <w:rPr>
                <w:rFonts w:hint="default" w:ascii="Times New Roman" w:hAnsi="Times New Roman" w:cs="Times New Roman"/>
                <w:color w:val="auto"/>
                <w:highlight w:val="none"/>
              </w:rPr>
              <w:t>埋地汽油罐；</w:t>
            </w:r>
            <w:r>
              <w:rPr>
                <w:rFonts w:hint="eastAsia" w:cs="Times New Roman"/>
                <w:color w:val="auto"/>
                <w:highlight w:val="none"/>
                <w:lang w:val="en-US" w:eastAsia="zh-CN"/>
              </w:rPr>
              <w:t>4</w:t>
            </w:r>
            <w:r>
              <w:rPr>
                <w:rFonts w:hint="default" w:ascii="Times New Roman" w:hAnsi="Times New Roman" w:cs="Times New Roman"/>
                <w:color w:val="auto"/>
                <w:highlight w:val="none"/>
              </w:rPr>
              <w:t>台柴油加油机。新敷设相应工艺管线。</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3069"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建设性质</w:t>
            </w:r>
          </w:p>
        </w:tc>
        <w:tc>
          <w:tcPr>
            <w:tcW w:w="1270"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新建</w:t>
            </w:r>
          </w:p>
        </w:tc>
        <w:tc>
          <w:tcPr>
            <w:tcW w:w="152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总投资（万元）</w:t>
            </w:r>
          </w:p>
        </w:tc>
        <w:tc>
          <w:tcPr>
            <w:tcW w:w="183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829.55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3069" w:type="dxa"/>
            <w:gridSpan w:val="3"/>
            <w:vMerge w:val="restart"/>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土建投资（万元）</w:t>
            </w:r>
          </w:p>
        </w:tc>
        <w:tc>
          <w:tcPr>
            <w:tcW w:w="1270" w:type="dxa"/>
            <w:vMerge w:val="restart"/>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720.61</w:t>
            </w:r>
          </w:p>
        </w:tc>
        <w:tc>
          <w:tcPr>
            <w:tcW w:w="1529" w:type="dxa"/>
            <w:gridSpan w:val="2"/>
            <w:vMerge w:val="restart"/>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占地面积（</w:t>
            </w:r>
            <w:r>
              <w:rPr>
                <w:rFonts w:hint="eastAsia" w:cs="Times New Roman"/>
                <w:color w:val="auto"/>
                <w:highlight w:val="none"/>
                <w:lang w:val="en-US" w:eastAsia="zh-CN"/>
              </w:rPr>
              <w:t>hm²</w:t>
            </w:r>
            <w:r>
              <w:rPr>
                <w:rFonts w:hint="default" w:ascii="Times New Roman" w:hAnsi="Times New Roman" w:cs="Times New Roman"/>
                <w:color w:val="auto"/>
                <w:highlight w:val="none"/>
              </w:rPr>
              <w:t>）</w:t>
            </w:r>
          </w:p>
        </w:tc>
        <w:tc>
          <w:tcPr>
            <w:tcW w:w="183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rPr>
              <w:t>永久：</w:t>
            </w:r>
            <w:r>
              <w:rPr>
                <w:rFonts w:hint="eastAsia" w:cs="Times New Roman"/>
                <w:color w:val="auto"/>
                <w:highlight w:val="none"/>
                <w:lang w:val="en-US" w:eastAsia="zh-CN"/>
              </w:rPr>
              <w:t>0.45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3069" w:type="dxa"/>
            <w:gridSpan w:val="3"/>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1270"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1529" w:type="dxa"/>
            <w:gridSpan w:val="2"/>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183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rPr>
              <w:t>临时：0</w:t>
            </w:r>
            <w:r>
              <w:rPr>
                <w:rFonts w:hint="eastAsia" w:cs="Times New Roman"/>
                <w:color w:val="auto"/>
                <w:highlight w:val="none"/>
                <w:lang w:val="en-US" w:eastAsia="zh-CN"/>
              </w:rPr>
              <w:t>.00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3069"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开工时间</w:t>
            </w:r>
          </w:p>
        </w:tc>
        <w:tc>
          <w:tcPr>
            <w:tcW w:w="1270"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202</w:t>
            </w:r>
            <w:r>
              <w:rPr>
                <w:rFonts w:hint="eastAsia" w:cs="Times New Roman"/>
                <w:color w:val="auto"/>
                <w:highlight w:val="none"/>
                <w:lang w:val="en-US" w:eastAsia="zh-CN"/>
              </w:rPr>
              <w:t>1</w:t>
            </w:r>
            <w:r>
              <w:rPr>
                <w:rFonts w:hint="default" w:ascii="Times New Roman" w:hAnsi="Times New Roman" w:cs="Times New Roman"/>
                <w:color w:val="auto"/>
                <w:highlight w:val="none"/>
              </w:rPr>
              <w:t>年</w:t>
            </w:r>
            <w:r>
              <w:rPr>
                <w:rFonts w:hint="eastAsia" w:cs="Times New Roman"/>
                <w:color w:val="auto"/>
                <w:highlight w:val="none"/>
                <w:lang w:val="en-US" w:eastAsia="zh-CN"/>
              </w:rPr>
              <w:t>8</w:t>
            </w:r>
            <w:r>
              <w:rPr>
                <w:rFonts w:hint="default" w:ascii="Times New Roman" w:hAnsi="Times New Roman" w:cs="Times New Roman"/>
                <w:color w:val="auto"/>
                <w:highlight w:val="none"/>
              </w:rPr>
              <w:t>月</w:t>
            </w:r>
          </w:p>
        </w:tc>
        <w:tc>
          <w:tcPr>
            <w:tcW w:w="152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完工时间</w:t>
            </w:r>
          </w:p>
        </w:tc>
        <w:tc>
          <w:tcPr>
            <w:tcW w:w="183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202</w:t>
            </w:r>
            <w:r>
              <w:rPr>
                <w:rFonts w:hint="eastAsia" w:cs="Times New Roman"/>
                <w:color w:val="auto"/>
                <w:highlight w:val="none"/>
                <w:lang w:val="en-US" w:eastAsia="zh-CN"/>
              </w:rPr>
              <w:t>2</w:t>
            </w:r>
            <w:r>
              <w:rPr>
                <w:rFonts w:hint="default" w:ascii="Times New Roman" w:hAnsi="Times New Roman" w:cs="Times New Roman"/>
                <w:color w:val="auto"/>
                <w:highlight w:val="none"/>
              </w:rPr>
              <w:t>年</w:t>
            </w:r>
            <w:r>
              <w:rPr>
                <w:rFonts w:hint="eastAsia" w:cs="Times New Roman"/>
                <w:color w:val="auto"/>
                <w:highlight w:val="none"/>
                <w:lang w:val="en-US" w:eastAsia="zh-CN"/>
              </w:rPr>
              <w:t>6</w:t>
            </w:r>
            <w:r>
              <w:rPr>
                <w:rFonts w:hint="default" w:ascii="Times New Roman" w:hAnsi="Times New Roman" w:cs="Times New Roman"/>
                <w:color w:val="auto"/>
                <w:highlight w:val="none"/>
              </w:rPr>
              <w:t>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3069" w:type="dxa"/>
            <w:gridSpan w:val="3"/>
            <w:vMerge w:val="restart"/>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土石方（</w:t>
            </w:r>
            <w:r>
              <w:rPr>
                <w:rFonts w:hint="eastAsia" w:cs="Times New Roman"/>
                <w:color w:val="auto"/>
                <w:highlight w:val="none"/>
                <w:lang w:eastAsia="zh-CN"/>
              </w:rPr>
              <w:t>万</w:t>
            </w:r>
            <w:r>
              <w:rPr>
                <w:rFonts w:hint="default" w:ascii="Times New Roman" w:hAnsi="Times New Roman" w:cs="Times New Roman"/>
                <w:color w:val="auto"/>
                <w:highlight w:val="none"/>
              </w:rPr>
              <w:t>m³）</w:t>
            </w:r>
          </w:p>
        </w:tc>
        <w:tc>
          <w:tcPr>
            <w:tcW w:w="1270"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挖方</w:t>
            </w:r>
          </w:p>
        </w:tc>
        <w:tc>
          <w:tcPr>
            <w:tcW w:w="152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填方</w:t>
            </w:r>
          </w:p>
        </w:tc>
        <w:tc>
          <w:tcPr>
            <w:tcW w:w="505"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借方</w:t>
            </w:r>
          </w:p>
        </w:tc>
        <w:tc>
          <w:tcPr>
            <w:tcW w:w="1334"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弃方</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3069" w:type="dxa"/>
            <w:gridSpan w:val="3"/>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1270"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0.14</w:t>
            </w:r>
          </w:p>
        </w:tc>
        <w:tc>
          <w:tcPr>
            <w:tcW w:w="152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0.14</w:t>
            </w:r>
          </w:p>
        </w:tc>
        <w:tc>
          <w:tcPr>
            <w:tcW w:w="505"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334"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3069"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取土（石、渣）场</w:t>
            </w:r>
          </w:p>
        </w:tc>
        <w:tc>
          <w:tcPr>
            <w:tcW w:w="4638" w:type="dxa"/>
            <w:gridSpan w:val="5"/>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无</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3069"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弃土（石、渣）场</w:t>
            </w:r>
          </w:p>
        </w:tc>
        <w:tc>
          <w:tcPr>
            <w:tcW w:w="4638" w:type="dxa"/>
            <w:gridSpan w:val="5"/>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无</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815" w:hRule="exact"/>
          <w:jc w:val="center"/>
        </w:trPr>
        <w:tc>
          <w:tcPr>
            <w:tcW w:w="1757" w:type="dxa"/>
            <w:vMerge w:val="restart"/>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项目区概况</w:t>
            </w:r>
          </w:p>
        </w:tc>
        <w:tc>
          <w:tcPr>
            <w:tcW w:w="3069"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涉及重点防治区情况</w:t>
            </w:r>
          </w:p>
        </w:tc>
        <w:tc>
          <w:tcPr>
            <w:tcW w:w="1270"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eastAsia" w:cs="Times New Roman"/>
                <w:color w:val="auto"/>
                <w:highlight w:val="none"/>
                <w:lang w:eastAsia="zh-CN"/>
              </w:rPr>
              <w:t>塔里木河国家级水土流失重点预防区</w:t>
            </w:r>
          </w:p>
        </w:tc>
        <w:tc>
          <w:tcPr>
            <w:tcW w:w="152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地貌类型</w:t>
            </w:r>
          </w:p>
        </w:tc>
        <w:tc>
          <w:tcPr>
            <w:tcW w:w="183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冲洪积平原</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7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3069"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原地貌土壤侵蚀模数[t/(km²·a)]</w:t>
            </w:r>
          </w:p>
        </w:tc>
        <w:tc>
          <w:tcPr>
            <w:tcW w:w="1270"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cs="Times New Roman"/>
                <w:color w:val="auto"/>
                <w:highlight w:val="none"/>
                <w:lang w:val="en-US" w:eastAsia="zh-CN"/>
              </w:rPr>
              <w:t>0</w:t>
            </w:r>
            <w:r>
              <w:rPr>
                <w:rFonts w:hint="default" w:ascii="Times New Roman" w:hAnsi="Times New Roman" w:cs="Times New Roman"/>
                <w:color w:val="auto"/>
                <w:highlight w:val="none"/>
              </w:rPr>
              <w:t>00</w:t>
            </w:r>
          </w:p>
        </w:tc>
        <w:tc>
          <w:tcPr>
            <w:tcW w:w="152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容许土壤流失量[t/(km²·a)]</w:t>
            </w:r>
          </w:p>
        </w:tc>
        <w:tc>
          <w:tcPr>
            <w:tcW w:w="183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cs="Times New Roman"/>
                <w:color w:val="auto"/>
                <w:highlight w:val="none"/>
                <w:lang w:val="en-US" w:eastAsia="zh-CN"/>
              </w:rPr>
              <w:t>0</w:t>
            </w:r>
            <w:r>
              <w:rPr>
                <w:rFonts w:hint="default" w:ascii="Times New Roman" w:hAnsi="Times New Roman" w:cs="Times New Roman"/>
                <w:color w:val="auto"/>
                <w:highlight w:val="none"/>
              </w:rPr>
              <w:t>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65" w:hRule="exact"/>
          <w:jc w:val="center"/>
        </w:trPr>
        <w:tc>
          <w:tcPr>
            <w:tcW w:w="1757"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项目选址（线）水土保持评价</w:t>
            </w:r>
          </w:p>
        </w:tc>
        <w:tc>
          <w:tcPr>
            <w:tcW w:w="7707" w:type="dxa"/>
            <w:gridSpan w:val="8"/>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此项目选址不存在水土保持制约性因素</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预测水土流失总量</w:t>
            </w:r>
          </w:p>
        </w:tc>
        <w:tc>
          <w:tcPr>
            <w:tcW w:w="7707" w:type="dxa"/>
            <w:gridSpan w:val="8"/>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35.06</w:t>
            </w:r>
            <w:r>
              <w:rPr>
                <w:rFonts w:hint="eastAsia" w:cs="Times New Roman"/>
                <w:color w:val="auto"/>
                <w:highlight w:val="none"/>
                <w:lang w:eastAsia="zh-CN"/>
              </w:rPr>
              <w:t>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防治责任范围</w:t>
            </w:r>
          </w:p>
        </w:tc>
        <w:tc>
          <w:tcPr>
            <w:tcW w:w="7707" w:type="dxa"/>
            <w:gridSpan w:val="8"/>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0.45h</w:t>
            </w:r>
            <w:r>
              <w:rPr>
                <w:rFonts w:hint="default" w:ascii="Times New Roman" w:hAnsi="Times New Roman" w:cs="Times New Roman"/>
                <w:color w:val="auto"/>
                <w:highlight w:val="none"/>
              </w:rPr>
              <w:t>m</w:t>
            </w:r>
            <w:r>
              <w:rPr>
                <w:rFonts w:hint="default" w:ascii="Times New Roman" w:hAnsi="Times New Roman" w:eastAsia="宋体" w:cs="Times New Roman"/>
                <w:color w:val="auto"/>
                <w:highlight w:val="none"/>
              </w:rPr>
              <w:t>²</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restart"/>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防治标准等级及目标</w:t>
            </w:r>
          </w:p>
        </w:tc>
        <w:tc>
          <w:tcPr>
            <w:tcW w:w="3069"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防治标准等级</w:t>
            </w:r>
          </w:p>
        </w:tc>
        <w:tc>
          <w:tcPr>
            <w:tcW w:w="4638" w:type="dxa"/>
            <w:gridSpan w:val="5"/>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北方风沙区一级标准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3069"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水土流失治理度（%）</w:t>
            </w:r>
          </w:p>
        </w:tc>
        <w:tc>
          <w:tcPr>
            <w:tcW w:w="1270"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85</w:t>
            </w:r>
          </w:p>
        </w:tc>
        <w:tc>
          <w:tcPr>
            <w:tcW w:w="152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土壤流失控制比</w:t>
            </w:r>
          </w:p>
        </w:tc>
        <w:tc>
          <w:tcPr>
            <w:tcW w:w="183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3069"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渣土防护率（%）</w:t>
            </w:r>
          </w:p>
        </w:tc>
        <w:tc>
          <w:tcPr>
            <w:tcW w:w="1270"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89</w:t>
            </w:r>
          </w:p>
        </w:tc>
        <w:tc>
          <w:tcPr>
            <w:tcW w:w="152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表土保护率（%）</w:t>
            </w:r>
          </w:p>
        </w:tc>
        <w:tc>
          <w:tcPr>
            <w:tcW w:w="183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30"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3069"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林草植被恢复率（%）</w:t>
            </w:r>
          </w:p>
        </w:tc>
        <w:tc>
          <w:tcPr>
            <w:tcW w:w="1270"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93</w:t>
            </w:r>
          </w:p>
        </w:tc>
        <w:tc>
          <w:tcPr>
            <w:tcW w:w="152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林草覆盖率（%）</w:t>
            </w:r>
          </w:p>
        </w:tc>
        <w:tc>
          <w:tcPr>
            <w:tcW w:w="1839"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34" w:hRule="exact"/>
          <w:jc w:val="center"/>
        </w:trPr>
        <w:tc>
          <w:tcPr>
            <w:tcW w:w="1757"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水土保持措施</w:t>
            </w:r>
          </w:p>
        </w:tc>
        <w:tc>
          <w:tcPr>
            <w:tcW w:w="7707" w:type="dxa"/>
            <w:gridSpan w:val="8"/>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rPr>
              <w:t>土地平整</w:t>
            </w:r>
            <w:r>
              <w:rPr>
                <w:rFonts w:hint="eastAsia" w:cs="Times New Roman"/>
                <w:color w:val="auto"/>
                <w:highlight w:val="none"/>
                <w:lang w:val="en-US" w:eastAsia="zh-CN"/>
              </w:rPr>
              <w:t>0.12h</w:t>
            </w:r>
            <w:r>
              <w:rPr>
                <w:rFonts w:hint="default" w:ascii="Times New Roman" w:hAnsi="Times New Roman" w:cs="Times New Roman"/>
                <w:color w:val="auto"/>
                <w:highlight w:val="none"/>
              </w:rPr>
              <w:t>m</w:t>
            </w:r>
            <w:r>
              <w:rPr>
                <w:rFonts w:hint="default" w:ascii="Times New Roman" w:hAnsi="Times New Roman" w:eastAsia="宋体" w:cs="Times New Roman"/>
                <w:color w:val="auto"/>
                <w:highlight w:val="none"/>
              </w:rPr>
              <w:t>²</w:t>
            </w:r>
            <w:r>
              <w:rPr>
                <w:rFonts w:hint="default" w:ascii="Times New Roman" w:hAnsi="Times New Roman" w:cs="Times New Roman"/>
                <w:color w:val="auto"/>
                <w:highlight w:val="none"/>
              </w:rPr>
              <w:t>、</w:t>
            </w:r>
            <w:r>
              <w:rPr>
                <w:rFonts w:hint="eastAsia" w:cs="Times New Roman"/>
                <w:color w:val="auto"/>
                <w:highlight w:val="none"/>
                <w:lang w:eastAsia="zh-CN"/>
              </w:rPr>
              <w:t>全面整地</w:t>
            </w:r>
            <w:r>
              <w:rPr>
                <w:rFonts w:hint="eastAsia" w:cs="Times New Roman"/>
                <w:color w:val="auto"/>
                <w:highlight w:val="none"/>
                <w:lang w:val="en-US" w:eastAsia="zh-CN"/>
              </w:rPr>
              <w:t>0.17hm²</w:t>
            </w:r>
            <w:r>
              <w:rPr>
                <w:rFonts w:hint="default" w:ascii="Times New Roman" w:hAnsi="Times New Roman" w:cs="Times New Roman"/>
                <w:color w:val="auto"/>
                <w:highlight w:val="none"/>
              </w:rPr>
              <w:t>、撒播草籽</w:t>
            </w:r>
            <w:r>
              <w:rPr>
                <w:rFonts w:hint="eastAsia" w:cs="Times New Roman"/>
                <w:color w:val="auto"/>
                <w:highlight w:val="none"/>
                <w:lang w:val="en-US" w:eastAsia="zh-CN"/>
              </w:rPr>
              <w:t>0.17h</w:t>
            </w:r>
            <w:r>
              <w:rPr>
                <w:rFonts w:hint="default" w:ascii="Times New Roman" w:hAnsi="Times New Roman" w:cs="Times New Roman"/>
                <w:color w:val="auto"/>
                <w:highlight w:val="none"/>
              </w:rPr>
              <w:t>m</w:t>
            </w:r>
            <w:r>
              <w:rPr>
                <w:rFonts w:hint="default" w:ascii="Times New Roman" w:hAnsi="Times New Roman" w:eastAsia="宋体" w:cs="Times New Roman"/>
                <w:color w:val="auto"/>
                <w:highlight w:val="none"/>
              </w:rPr>
              <w:t>²、</w:t>
            </w:r>
            <w:r>
              <w:rPr>
                <w:rFonts w:hint="default" w:ascii="Times New Roman" w:hAnsi="Times New Roman" w:cs="Times New Roman"/>
                <w:color w:val="auto"/>
                <w:highlight w:val="none"/>
              </w:rPr>
              <w:t>防尘网苫盖</w:t>
            </w:r>
            <w:r>
              <w:rPr>
                <w:rFonts w:hint="eastAsia" w:cs="Times New Roman"/>
                <w:color w:val="auto"/>
                <w:highlight w:val="none"/>
                <w:lang w:val="en-US" w:eastAsia="zh-CN"/>
              </w:rPr>
              <w:t>500</w:t>
            </w:r>
            <w:r>
              <w:rPr>
                <w:rFonts w:hint="default" w:ascii="Times New Roman" w:hAnsi="Times New Roman" w:cs="Times New Roman"/>
                <w:color w:val="auto"/>
                <w:highlight w:val="none"/>
              </w:rPr>
              <w:t>m²、洒水</w:t>
            </w:r>
            <w:r>
              <w:rPr>
                <w:rFonts w:hint="eastAsia" w:cs="Times New Roman"/>
                <w:color w:val="auto"/>
                <w:highlight w:val="none"/>
                <w:lang w:val="en-US" w:eastAsia="zh-CN"/>
              </w:rPr>
              <w:t>1400</w:t>
            </w:r>
            <w:r>
              <w:rPr>
                <w:rFonts w:hint="default" w:ascii="Times New Roman" w:hAnsi="Times New Roman" w:cs="Times New Roman"/>
                <w:color w:val="auto"/>
                <w:highlight w:val="none"/>
              </w:rPr>
              <w:t>m³</w:t>
            </w:r>
            <w:r>
              <w:rPr>
                <w:rFonts w:hint="eastAsia" w:cs="Times New Roman"/>
                <w:color w:val="auto"/>
                <w:highlight w:val="none"/>
                <w:lang w:eastAsia="zh-CN"/>
              </w:rPr>
              <w:t>、彩钢板围栏</w:t>
            </w:r>
            <w:r>
              <w:rPr>
                <w:rFonts w:hint="eastAsia" w:cs="Times New Roman"/>
                <w:color w:val="auto"/>
                <w:highlight w:val="none"/>
                <w:lang w:val="en-US" w:eastAsia="zh-CN"/>
              </w:rPr>
              <w:t>260m</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restart"/>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水土保持投资估算</w:t>
            </w:r>
          </w:p>
        </w:tc>
        <w:tc>
          <w:tcPr>
            <w:tcW w:w="1041"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工程措施</w:t>
            </w:r>
          </w:p>
        </w:tc>
        <w:tc>
          <w:tcPr>
            <w:tcW w:w="2012"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0.02</w:t>
            </w:r>
            <w:r>
              <w:rPr>
                <w:rFonts w:hint="default" w:ascii="Times New Roman" w:hAnsi="Times New Roman" w:cs="Times New Roman"/>
                <w:color w:val="auto"/>
                <w:highlight w:val="none"/>
              </w:rPr>
              <w:t>万元</w:t>
            </w:r>
          </w:p>
        </w:tc>
        <w:tc>
          <w:tcPr>
            <w:tcW w:w="1743"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植物措施</w:t>
            </w:r>
          </w:p>
        </w:tc>
        <w:tc>
          <w:tcPr>
            <w:tcW w:w="2911"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0.0</w:t>
            </w:r>
            <w:r>
              <w:rPr>
                <w:rFonts w:hint="eastAsia" w:cs="Times New Roman"/>
                <w:color w:val="auto"/>
                <w:highlight w:val="none"/>
                <w:lang w:val="en-US" w:eastAsia="zh-CN"/>
              </w:rPr>
              <w:t>1</w:t>
            </w:r>
            <w:r>
              <w:rPr>
                <w:rFonts w:hint="default" w:ascii="Times New Roman" w:hAnsi="Times New Roman" w:cs="Times New Roman"/>
                <w:color w:val="auto"/>
                <w:highlight w:val="none"/>
              </w:rPr>
              <w:t>万元</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1041"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临时措施</w:t>
            </w:r>
          </w:p>
        </w:tc>
        <w:tc>
          <w:tcPr>
            <w:tcW w:w="2012"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8.26</w:t>
            </w:r>
            <w:r>
              <w:rPr>
                <w:rFonts w:hint="default" w:ascii="Times New Roman" w:hAnsi="Times New Roman" w:cs="Times New Roman"/>
                <w:color w:val="auto"/>
                <w:highlight w:val="none"/>
              </w:rPr>
              <w:t>万元</w:t>
            </w:r>
          </w:p>
        </w:tc>
        <w:tc>
          <w:tcPr>
            <w:tcW w:w="1743"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水土保持补偿费</w:t>
            </w:r>
          </w:p>
        </w:tc>
        <w:tc>
          <w:tcPr>
            <w:tcW w:w="2911"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w:t>
            </w:r>
            <w:r>
              <w:rPr>
                <w:rFonts w:hint="eastAsia" w:cs="Times New Roman"/>
                <w:color w:val="auto"/>
                <w:highlight w:val="none"/>
                <w:lang w:val="en-US" w:eastAsia="zh-CN"/>
              </w:rPr>
              <w:t>45</w:t>
            </w:r>
            <w:r>
              <w:rPr>
                <w:rFonts w:hint="default" w:ascii="Times New Roman" w:hAnsi="Times New Roman" w:cs="Times New Roman"/>
                <w:color w:val="auto"/>
                <w:highlight w:val="none"/>
              </w:rPr>
              <w:t>万元</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1041" w:type="dxa"/>
            <w:vMerge w:val="restart"/>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独立费用</w:t>
            </w:r>
          </w:p>
        </w:tc>
        <w:tc>
          <w:tcPr>
            <w:tcW w:w="2012"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建设管理费</w:t>
            </w:r>
          </w:p>
        </w:tc>
        <w:tc>
          <w:tcPr>
            <w:tcW w:w="4654" w:type="dxa"/>
            <w:gridSpan w:val="6"/>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w:t>
            </w:r>
            <w:r>
              <w:rPr>
                <w:rFonts w:hint="eastAsia" w:cs="Times New Roman"/>
                <w:color w:val="auto"/>
                <w:highlight w:val="none"/>
                <w:lang w:val="en-US" w:eastAsia="zh-CN"/>
              </w:rPr>
              <w:t>17</w:t>
            </w:r>
            <w:r>
              <w:rPr>
                <w:rFonts w:hint="default" w:ascii="Times New Roman" w:hAnsi="Times New Roman" w:cs="Times New Roman"/>
                <w:color w:val="auto"/>
                <w:highlight w:val="none"/>
              </w:rPr>
              <w:t>万元</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1041"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2012"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水土保持监理费</w:t>
            </w:r>
          </w:p>
        </w:tc>
        <w:tc>
          <w:tcPr>
            <w:tcW w:w="4654" w:type="dxa"/>
            <w:gridSpan w:val="6"/>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1万元</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1041"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2012"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科研勘探设计费</w:t>
            </w:r>
          </w:p>
        </w:tc>
        <w:tc>
          <w:tcPr>
            <w:tcW w:w="4654" w:type="dxa"/>
            <w:gridSpan w:val="6"/>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1.40万元</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1041"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2012"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水土保持监测费</w:t>
            </w:r>
          </w:p>
        </w:tc>
        <w:tc>
          <w:tcPr>
            <w:tcW w:w="4654" w:type="dxa"/>
            <w:gridSpan w:val="6"/>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1041"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2012"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水土保持设施验收费</w:t>
            </w:r>
          </w:p>
        </w:tc>
        <w:tc>
          <w:tcPr>
            <w:tcW w:w="4654" w:type="dxa"/>
            <w:gridSpan w:val="6"/>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2.50万元</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3069"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基本预备费</w:t>
            </w:r>
          </w:p>
        </w:tc>
        <w:tc>
          <w:tcPr>
            <w:tcW w:w="4638" w:type="dxa"/>
            <w:gridSpan w:val="5"/>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0.80</w:t>
            </w:r>
            <w:r>
              <w:rPr>
                <w:rFonts w:hint="default" w:ascii="Times New Roman" w:hAnsi="Times New Roman" w:cs="Times New Roman"/>
                <w:color w:val="auto"/>
                <w:highlight w:val="none"/>
              </w:rPr>
              <w:t>万元</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vMerge w:val="continue"/>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p>
        </w:tc>
        <w:tc>
          <w:tcPr>
            <w:tcW w:w="4796" w:type="dxa"/>
            <w:gridSpan w:val="5"/>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总投资</w:t>
            </w:r>
          </w:p>
        </w:tc>
        <w:tc>
          <w:tcPr>
            <w:tcW w:w="2911"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13.81</w:t>
            </w:r>
            <w:r>
              <w:rPr>
                <w:rFonts w:hint="default" w:ascii="Times New Roman" w:hAnsi="Times New Roman" w:cs="Times New Roman"/>
                <w:color w:val="auto"/>
                <w:highlight w:val="none"/>
              </w:rPr>
              <w:t>万元</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49" w:hRule="exact"/>
          <w:jc w:val="center"/>
        </w:trPr>
        <w:tc>
          <w:tcPr>
            <w:tcW w:w="1757"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编制单位</w:t>
            </w:r>
          </w:p>
        </w:tc>
        <w:tc>
          <w:tcPr>
            <w:tcW w:w="3069" w:type="dxa"/>
            <w:gridSpan w:val="3"/>
            <w:tcBorders>
              <w:tl2br w:val="nil"/>
              <w:tr2bl w:val="nil"/>
            </w:tcBorders>
            <w:shd w:val="clear" w:color="auto" w:fill="auto"/>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新疆万汇工程项目管理有限公司</w:t>
            </w:r>
          </w:p>
        </w:tc>
        <w:tc>
          <w:tcPr>
            <w:tcW w:w="1727"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w:t>
            </w:r>
          </w:p>
        </w:tc>
        <w:tc>
          <w:tcPr>
            <w:tcW w:w="2911"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中国石化销售</w:t>
            </w:r>
            <w:r>
              <w:rPr>
                <w:rFonts w:hint="eastAsia" w:cs="Times New Roman"/>
                <w:color w:val="auto"/>
                <w:highlight w:val="none"/>
                <w:lang w:eastAsia="zh-CN"/>
              </w:rPr>
              <w:t>股份</w:t>
            </w:r>
            <w:r>
              <w:rPr>
                <w:rFonts w:hint="eastAsia" w:ascii="Times New Roman" w:hAnsi="Times New Roman" w:eastAsia="仿宋_GB2312" w:cs="Times New Roman"/>
                <w:color w:val="auto"/>
                <w:highlight w:val="none"/>
                <w:lang w:eastAsia="zh-CN"/>
              </w:rPr>
              <w:t>有限公司新疆和田石油分公司</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32" w:hRule="exact"/>
          <w:jc w:val="center"/>
        </w:trPr>
        <w:tc>
          <w:tcPr>
            <w:tcW w:w="1757"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法人代表及电话</w:t>
            </w:r>
          </w:p>
        </w:tc>
        <w:tc>
          <w:tcPr>
            <w:tcW w:w="3069" w:type="dxa"/>
            <w:gridSpan w:val="3"/>
            <w:tcBorders>
              <w:tl2br w:val="nil"/>
              <w:tr2bl w:val="nil"/>
            </w:tcBorders>
            <w:shd w:val="clear" w:color="auto" w:fill="auto"/>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顾会刚</w:t>
            </w:r>
            <w:r>
              <w:rPr>
                <w:rFonts w:hint="eastAsia" w:cs="Times New Roman"/>
                <w:color w:val="auto"/>
                <w:highlight w:val="none"/>
                <w:lang w:val="en-US" w:eastAsia="zh-CN"/>
              </w:rPr>
              <w:t>/</w:t>
            </w:r>
            <w:r>
              <w:rPr>
                <w:rFonts w:hint="default" w:ascii="Times New Roman" w:hAnsi="Times New Roman" w:cs="Times New Roman"/>
                <w:color w:val="auto"/>
                <w:highlight w:val="none"/>
              </w:rPr>
              <w:t>13999262838</w:t>
            </w:r>
          </w:p>
        </w:tc>
        <w:tc>
          <w:tcPr>
            <w:tcW w:w="1727"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法人代表及电话</w:t>
            </w:r>
          </w:p>
        </w:tc>
        <w:tc>
          <w:tcPr>
            <w:tcW w:w="2911"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cs="Times New Roman"/>
                <w:color w:val="auto"/>
                <w:highlight w:val="none"/>
                <w:lang w:eastAsia="zh-CN"/>
              </w:rPr>
            </w:pPr>
            <w:r>
              <w:rPr>
                <w:rFonts w:hint="eastAsia" w:cs="Times New Roman"/>
                <w:color w:val="auto"/>
                <w:highlight w:val="none"/>
                <w:lang w:eastAsia="zh-CN"/>
              </w:rPr>
              <w:t>青志杰</w:t>
            </w:r>
            <w:r>
              <w:rPr>
                <w:rFonts w:hint="eastAsia" w:cs="Times New Roman"/>
                <w:color w:val="auto"/>
                <w:highlight w:val="none"/>
                <w:lang w:val="en-US" w:eastAsia="zh-CN"/>
              </w:rPr>
              <w:t>/</w:t>
            </w:r>
            <w:r>
              <w:rPr>
                <w:rFonts w:hint="default" w:cs="Times New Roman"/>
                <w:color w:val="auto"/>
                <w:highlight w:val="none"/>
                <w:lang w:eastAsia="zh-CN"/>
              </w:rPr>
              <w:t>18599140712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29" w:hRule="exact"/>
          <w:jc w:val="center"/>
        </w:trPr>
        <w:tc>
          <w:tcPr>
            <w:tcW w:w="1757"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地址</w:t>
            </w:r>
          </w:p>
        </w:tc>
        <w:tc>
          <w:tcPr>
            <w:tcW w:w="3069" w:type="dxa"/>
            <w:gridSpan w:val="3"/>
            <w:tcBorders>
              <w:tl2br w:val="nil"/>
              <w:tr2bl w:val="nil"/>
            </w:tcBorders>
            <w:shd w:val="clear" w:color="auto" w:fill="auto"/>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新疆乌鲁木齐经济技术开发区（头屯河区）凤凰山街353号亚欧贸易中心2号商务综合楼1910室</w:t>
            </w:r>
          </w:p>
        </w:tc>
        <w:tc>
          <w:tcPr>
            <w:tcW w:w="1727"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地址</w:t>
            </w:r>
          </w:p>
        </w:tc>
        <w:tc>
          <w:tcPr>
            <w:tcW w:w="2911"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和田地区和田市屯垦东路150号中石化加油站</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邮编</w:t>
            </w:r>
          </w:p>
        </w:tc>
        <w:tc>
          <w:tcPr>
            <w:tcW w:w="3069" w:type="dxa"/>
            <w:gridSpan w:val="3"/>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bidi w:val="0"/>
              <w:adjustRightInd w:val="0"/>
              <w:spacing w:line="240" w:lineRule="auto"/>
              <w:ind w:firstLine="0" w:firstLineChars="0"/>
              <w:jc w:val="center"/>
              <w:textAlignment w:val="auto"/>
              <w:rPr>
                <w:rFonts w:hint="eastAsia" w:ascii="Times New Roman" w:hAnsi="Times New Roman" w:eastAsia="仿宋_GB2312" w:cs="Times New Roman"/>
                <w:color w:val="auto"/>
                <w:spacing w:val="-2"/>
                <w:kern w:val="0"/>
                <w:sz w:val="21"/>
                <w:szCs w:val="21"/>
                <w:highlight w:val="none"/>
                <w:lang w:val="en-US" w:eastAsia="zh-CN"/>
              </w:rPr>
            </w:pPr>
            <w:r>
              <w:rPr>
                <w:rFonts w:hint="default" w:ascii="Times New Roman" w:hAnsi="Times New Roman" w:eastAsia="仿宋_GB2312" w:cs="Times New Roman"/>
                <w:color w:val="auto"/>
                <w:spacing w:val="-2"/>
                <w:kern w:val="0"/>
                <w:sz w:val="21"/>
                <w:szCs w:val="21"/>
                <w:highlight w:val="none"/>
              </w:rPr>
              <w:t>83000</w:t>
            </w:r>
            <w:r>
              <w:rPr>
                <w:rFonts w:hint="eastAsia" w:eastAsia="仿宋_GB2312" w:cs="Times New Roman"/>
                <w:color w:val="auto"/>
                <w:spacing w:val="-2"/>
                <w:kern w:val="0"/>
                <w:sz w:val="21"/>
                <w:szCs w:val="21"/>
                <w:highlight w:val="none"/>
                <w:lang w:val="en-US" w:eastAsia="zh-CN"/>
              </w:rPr>
              <w:t>0</w:t>
            </w:r>
          </w:p>
        </w:tc>
        <w:tc>
          <w:tcPr>
            <w:tcW w:w="1727"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邮编</w:t>
            </w:r>
          </w:p>
        </w:tc>
        <w:tc>
          <w:tcPr>
            <w:tcW w:w="2911"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848000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联系人及电话</w:t>
            </w:r>
          </w:p>
        </w:tc>
        <w:tc>
          <w:tcPr>
            <w:tcW w:w="3069" w:type="dxa"/>
            <w:gridSpan w:val="3"/>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bidi w:val="0"/>
              <w:adjustRightInd w:val="0"/>
              <w:spacing w:line="240" w:lineRule="auto"/>
              <w:ind w:firstLine="0" w:firstLineChars="0"/>
              <w:jc w:val="center"/>
              <w:textAlignment w:val="auto"/>
              <w:rPr>
                <w:rFonts w:hint="default" w:ascii="Times New Roman" w:hAnsi="Times New Roman" w:eastAsia="仿宋_GB2312" w:cs="Times New Roman"/>
                <w:color w:val="auto"/>
                <w:spacing w:val="-2"/>
                <w:kern w:val="0"/>
                <w:sz w:val="21"/>
                <w:szCs w:val="21"/>
                <w:highlight w:val="none"/>
                <w:lang w:val="en-US" w:eastAsia="zh-CN"/>
              </w:rPr>
            </w:pPr>
            <w:r>
              <w:rPr>
                <w:rFonts w:hint="eastAsia" w:eastAsia="仿宋_GB2312" w:cs="Times New Roman"/>
                <w:color w:val="auto"/>
                <w:spacing w:val="-2"/>
                <w:kern w:val="0"/>
                <w:sz w:val="21"/>
                <w:szCs w:val="21"/>
                <w:highlight w:val="none"/>
                <w:lang w:eastAsia="zh-CN"/>
              </w:rPr>
              <w:t>杨霄</w:t>
            </w:r>
            <w:r>
              <w:rPr>
                <w:rFonts w:hint="eastAsia" w:eastAsia="仿宋_GB2312" w:cs="Times New Roman"/>
                <w:color w:val="auto"/>
                <w:spacing w:val="-2"/>
                <w:kern w:val="0"/>
                <w:sz w:val="21"/>
                <w:szCs w:val="21"/>
                <w:highlight w:val="none"/>
                <w:lang w:val="en-US" w:eastAsia="zh-CN"/>
              </w:rPr>
              <w:t>/18083906790</w:t>
            </w:r>
          </w:p>
        </w:tc>
        <w:tc>
          <w:tcPr>
            <w:tcW w:w="1727"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联系人及电话</w:t>
            </w:r>
          </w:p>
        </w:tc>
        <w:tc>
          <w:tcPr>
            <w:tcW w:w="2911"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周超</w:t>
            </w:r>
            <w:r>
              <w:rPr>
                <w:rFonts w:hint="eastAsia" w:cs="Times New Roman"/>
                <w:color w:val="auto"/>
                <w:highlight w:val="none"/>
                <w:lang w:val="en-US" w:eastAsia="zh-CN"/>
              </w:rPr>
              <w:t>/</w:t>
            </w:r>
            <w:r>
              <w:rPr>
                <w:rFonts w:hint="default" w:ascii="Times New Roman" w:hAnsi="Times New Roman" w:cs="Times New Roman"/>
                <w:color w:val="auto"/>
                <w:highlight w:val="none"/>
              </w:rPr>
              <w:t>18119166103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85" w:hRule="exact"/>
          <w:jc w:val="center"/>
        </w:trPr>
        <w:tc>
          <w:tcPr>
            <w:tcW w:w="1757"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电子信箱</w:t>
            </w:r>
          </w:p>
        </w:tc>
        <w:tc>
          <w:tcPr>
            <w:tcW w:w="3069" w:type="dxa"/>
            <w:gridSpan w:val="3"/>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bidi w:val="0"/>
              <w:adjustRightInd w:val="0"/>
              <w:spacing w:line="240" w:lineRule="auto"/>
              <w:ind w:firstLine="0" w:firstLineChars="0"/>
              <w:jc w:val="center"/>
              <w:textAlignment w:val="auto"/>
              <w:rPr>
                <w:rFonts w:hint="default" w:ascii="Times New Roman" w:hAnsi="Times New Roman" w:eastAsia="仿宋_GB2312" w:cs="Times New Roman"/>
                <w:color w:val="auto"/>
                <w:spacing w:val="-2"/>
                <w:kern w:val="0"/>
                <w:sz w:val="21"/>
                <w:szCs w:val="21"/>
                <w:highlight w:val="none"/>
              </w:rPr>
            </w:pPr>
            <w:r>
              <w:rPr>
                <w:rFonts w:hint="eastAsia" w:eastAsia="仿宋_GB2312" w:cs="Times New Roman"/>
                <w:color w:val="auto"/>
                <w:spacing w:val="-2"/>
                <w:kern w:val="0"/>
                <w:sz w:val="21"/>
                <w:szCs w:val="21"/>
                <w:highlight w:val="none"/>
                <w:lang w:val="en-US" w:eastAsia="zh-CN"/>
              </w:rPr>
              <w:t>1718399344</w:t>
            </w:r>
            <w:r>
              <w:rPr>
                <w:rFonts w:hint="default" w:ascii="Times New Roman" w:hAnsi="Times New Roman" w:eastAsia="仿宋_GB2312" w:cs="Times New Roman"/>
                <w:color w:val="auto"/>
                <w:spacing w:val="-2"/>
                <w:kern w:val="0"/>
                <w:sz w:val="21"/>
                <w:szCs w:val="21"/>
                <w:highlight w:val="none"/>
              </w:rPr>
              <w:t>@qq.com</w:t>
            </w:r>
          </w:p>
        </w:tc>
        <w:tc>
          <w:tcPr>
            <w:tcW w:w="1727"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电子信箱</w:t>
            </w:r>
          </w:p>
        </w:tc>
        <w:tc>
          <w:tcPr>
            <w:tcW w:w="2911"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757" w:type="dxa"/>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传真</w:t>
            </w:r>
          </w:p>
        </w:tc>
        <w:tc>
          <w:tcPr>
            <w:tcW w:w="3069" w:type="dxa"/>
            <w:gridSpan w:val="3"/>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bidi w:val="0"/>
              <w:adjustRightInd w:val="0"/>
              <w:spacing w:line="240" w:lineRule="auto"/>
              <w:ind w:firstLine="0" w:firstLineChars="0"/>
              <w:jc w:val="center"/>
              <w:textAlignment w:val="auto"/>
              <w:rPr>
                <w:rFonts w:hint="default" w:ascii="Times New Roman" w:hAnsi="Times New Roman" w:eastAsia="仿宋_GB2312" w:cs="Times New Roman"/>
                <w:color w:val="auto"/>
                <w:spacing w:val="-2"/>
                <w:kern w:val="0"/>
                <w:sz w:val="21"/>
                <w:szCs w:val="21"/>
                <w:highlight w:val="none"/>
              </w:rPr>
            </w:pPr>
            <w:r>
              <w:rPr>
                <w:rFonts w:hint="default" w:ascii="Times New Roman" w:hAnsi="Times New Roman" w:eastAsia="仿宋_GB2312" w:cs="Times New Roman"/>
                <w:color w:val="auto"/>
                <w:spacing w:val="-2"/>
                <w:kern w:val="0"/>
                <w:sz w:val="21"/>
                <w:szCs w:val="21"/>
                <w:highlight w:val="none"/>
              </w:rPr>
              <w:t>\</w:t>
            </w:r>
          </w:p>
        </w:tc>
        <w:tc>
          <w:tcPr>
            <w:tcW w:w="1727" w:type="dxa"/>
            <w:gridSpan w:val="2"/>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传真</w:t>
            </w:r>
          </w:p>
        </w:tc>
        <w:tc>
          <w:tcPr>
            <w:tcW w:w="2911" w:type="dxa"/>
            <w:gridSpan w:val="3"/>
            <w:tcBorders>
              <w:tl2br w:val="nil"/>
              <w:tr2bl w:val="nil"/>
            </w:tcBorders>
            <w:shd w:val="clear" w:color="auto" w:fill="auto"/>
            <w:noWrap/>
            <w:tcMar>
              <w:top w:w="15" w:type="dxa"/>
              <w:left w:w="15" w:type="dxa"/>
              <w:right w:w="15" w:type="dxa"/>
            </w:tcMar>
            <w:vAlign w:val="center"/>
          </w:tcPr>
          <w:p>
            <w:pPr>
              <w:pStyle w:val="84"/>
              <w:keepNext w:val="0"/>
              <w:keepLines w:val="0"/>
              <w:pageBreakBefore w:val="0"/>
              <w:kinsoku/>
              <w:wordWrap/>
              <w:overflowPunct/>
              <w:topLinePunct w:val="0"/>
              <w:bidi w:val="0"/>
              <w:adjustRightIn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bl>
    <w:p>
      <w:pPr>
        <w:spacing w:line="400" w:lineRule="exact"/>
        <w:ind w:firstLine="0" w:firstLineChars="0"/>
        <w:rPr>
          <w:rFonts w:hint="default" w:ascii="Times New Roman" w:hAnsi="Times New Roman" w:cs="Times New Roman"/>
          <w:b/>
          <w:color w:val="auto"/>
          <w:sz w:val="32"/>
          <w:highlight w:val="none"/>
        </w:rPr>
        <w:sectPr>
          <w:pgSz w:w="11906" w:h="16838"/>
          <w:pgMar w:top="1440" w:right="1417" w:bottom="1440" w:left="1417" w:header="851" w:footer="992" w:gutter="0"/>
          <w:pgBorders>
            <w:top w:val="none" w:sz="0" w:space="0"/>
            <w:left w:val="none" w:sz="0" w:space="0"/>
            <w:bottom w:val="none" w:sz="0" w:space="0"/>
            <w:right w:val="none" w:sz="0" w:space="0"/>
          </w:pgBorders>
          <w:pgNumType w:fmt="upperRoman" w:start="1"/>
          <w:cols w:space="720" w:num="1"/>
          <w:docGrid w:linePitch="326" w:charSpace="0"/>
        </w:sect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hint="default" w:ascii="Times New Roman" w:hAnsi="Times New Roman" w:eastAsia="黑体" w:cs="Times New Roman"/>
          <w:b/>
          <w:color w:val="auto"/>
          <w:sz w:val="32"/>
          <w:highlight w:val="none"/>
        </w:rPr>
      </w:pPr>
      <w:r>
        <w:rPr>
          <w:rFonts w:hint="default" w:ascii="Times New Roman" w:hAnsi="Times New Roman" w:eastAsia="黑体" w:cs="Times New Roman"/>
          <w:b/>
          <w:color w:val="auto"/>
          <w:sz w:val="32"/>
          <w:highlight w:val="none"/>
        </w:rPr>
        <w:t>目  录</w:t>
      </w:r>
    </w:p>
    <w:p>
      <w:pPr>
        <w:pStyle w:val="20"/>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TOC \o "1-2" \h \z \u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_Toc3374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 综合说明</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_Toc3374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_Toc15848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1.1 项目简况</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_Toc15848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_Toc10476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1.2 编制依据</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_Toc10476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3</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_Toc19125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1.3 设计水平年</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_Toc19125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5</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_Toc28046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1.4 水土流失防治责任范围</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_Toc28046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5</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_Toc6747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1.5 水土流失防治目标</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_Toc6747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5</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_Toc2589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1.6 项目水土保持评价结论</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_Toc2589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7</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_Toc30157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1.7 水土流失预测结果</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_Toc30157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9</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_Toc27018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1.8 水土保持措施布设成果</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_Toc27018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9</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_Toc29401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1.9 水土保持监测方案</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_Toc29401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10</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_Toc20101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1.10 水土保持投资及效益分析成果</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_Toc20101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10</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_Toc9508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1.11 结论</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_Toc9508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11</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0"/>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_Toc13068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2 项目概况</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_Toc13068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12</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_Toc10232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2.1 项目组成及工程布置</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_Toc10232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12</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_Toc12667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2.2 施工组织</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_Toc12667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18</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_Toc20368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2.3 工程占地</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_Toc20368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20</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_Toc11047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2.4 土石方平衡</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_Toc11047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20</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_Toc1484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2.5 拆迁（移民）安置与专项设施改（迁）建</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_Toc1484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21</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_Toc16589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2.6 施工进度</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_Toc16589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21</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_Toc13679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2.7 自然概况</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_Toc13679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22</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0"/>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_Toc4942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3 项目水土保持评价</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_Toc4942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25</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_Toc80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3.1 主体工程选址（线）水土保持评价</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_Toc80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25</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_Toc14235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3.2 建设方案与布局水土保持评价</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_Toc14235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27</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_Toc8240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3.3 主体工程设计中水土保持措施界定</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_Toc8240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32</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0"/>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_Toc24259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4 水土流失分析与预测</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_Toc24259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34</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_Toc3848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4.1 水土流失现状</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_Toc3848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34</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_Toc31596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4.2 水土流失影响因素分析</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_Toc31596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35</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_Toc15125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4.3 土壤流失量调查</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_Toc15125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37</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_Toc14417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4.4 水土流失危害分析</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_Toc14417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41</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_Toc27621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4.5指导性意见</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_Toc27621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42</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0"/>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_Toc28539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5 水土保持措施</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_Toc28539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44</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_Toc26934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5.1 防治区划分</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_Toc26934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44</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_Toc4158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5.2 措施总体布局</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_Toc4158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45</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_Toc14697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5.3 分区措施布设</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_Toc14697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46</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_Toc4690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5.4 施工要求</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_Toc4690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50</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0"/>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_Toc15562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6 水土保持监测</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_Toc15562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52</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0"/>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_Toc18044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7 水土保持投资概算及效益分析</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_Toc18044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53</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_Toc21515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7.1 投资概算</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_Toc21515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53</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_Toc6554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7.2 效益分析</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_Toc6554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60</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0"/>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_Toc29602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8 水土保持管理</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_Toc29602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64</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_Toc17695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8.1 组织管理</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_Toc17695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64</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_Toc21213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8.2 后续设计</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_Toc21213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64</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_Toc50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8.3 水土保持监测</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_Toc50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64</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_Toc7414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8.4 水土保持监理</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_Toc7414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65</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_Toc7956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8.5 水土保持施工</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_Toc7956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65</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pStyle w:val="21"/>
        <w:tabs>
          <w:tab w:val="right" w:leader="dot" w:pos="8844"/>
        </w:tabs>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HYPERLINK \l _Toc14974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8.6 水土保持设施验收</w:t>
      </w:r>
      <w:r>
        <w:rPr>
          <w:rFonts w:hint="default" w:ascii="Times New Roman" w:hAnsi="Times New Roman" w:eastAsia="仿宋_GB2312" w:cs="Times New Roman"/>
          <w:color w:val="auto"/>
          <w:sz w:val="28"/>
          <w:szCs w:val="28"/>
          <w:highlight w:val="none"/>
        </w:rPr>
        <w:tab/>
      </w:r>
      <w:r>
        <w:rPr>
          <w:rFonts w:hint="default" w:ascii="Times New Roman" w:hAnsi="Times New Roman" w:eastAsia="仿宋_GB2312" w:cs="Times New Roman"/>
          <w:color w:val="auto"/>
          <w:sz w:val="28"/>
          <w:szCs w:val="28"/>
          <w:highlight w:val="none"/>
        </w:rPr>
        <w:fldChar w:fldCharType="begin"/>
      </w:r>
      <w:r>
        <w:rPr>
          <w:rFonts w:hint="default" w:ascii="Times New Roman" w:hAnsi="Times New Roman" w:eastAsia="仿宋_GB2312" w:cs="Times New Roman"/>
          <w:color w:val="auto"/>
          <w:sz w:val="28"/>
          <w:szCs w:val="28"/>
          <w:highlight w:val="none"/>
        </w:rPr>
        <w:instrText xml:space="preserve"> PAGEREF _Toc14974 </w:instrText>
      </w:r>
      <w:r>
        <w:rPr>
          <w:rFonts w:hint="default" w:ascii="Times New Roman" w:hAnsi="Times New Roman" w:eastAsia="仿宋_GB2312" w:cs="Times New Roman"/>
          <w:color w:val="auto"/>
          <w:sz w:val="28"/>
          <w:szCs w:val="28"/>
          <w:highlight w:val="none"/>
        </w:rPr>
        <w:fldChar w:fldCharType="separate"/>
      </w:r>
      <w:r>
        <w:rPr>
          <w:rFonts w:hint="default" w:ascii="Times New Roman" w:hAnsi="Times New Roman" w:eastAsia="仿宋_GB2312" w:cs="Times New Roman"/>
          <w:color w:val="auto"/>
          <w:sz w:val="28"/>
          <w:szCs w:val="28"/>
          <w:highlight w:val="none"/>
        </w:rPr>
        <w:t>65</w:t>
      </w: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color w:val="auto"/>
          <w:sz w:val="28"/>
          <w:szCs w:val="28"/>
          <w:highlight w:val="none"/>
        </w:rPr>
        <w:fldChar w:fldCharType="end"/>
      </w:r>
    </w:p>
    <w:p>
      <w:pPr>
        <w:ind w:firstLine="560"/>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color w:val="auto"/>
          <w:sz w:val="28"/>
          <w:szCs w:val="28"/>
          <w:highlight w:val="none"/>
        </w:rPr>
        <w:fldChar w:fldCharType="end"/>
      </w:r>
      <w:r>
        <w:rPr>
          <w:rFonts w:hint="default" w:ascii="Times New Roman" w:hAnsi="Times New Roman" w:eastAsia="仿宋_GB2312" w:cs="Times New Roman"/>
          <w:b/>
          <w:bCs/>
          <w:color w:val="auto"/>
          <w:sz w:val="28"/>
          <w:szCs w:val="28"/>
          <w:highlight w:val="none"/>
        </w:rPr>
        <w:br w:type="page"/>
      </w:r>
    </w:p>
    <w:p>
      <w:pPr>
        <w:pStyle w:val="128"/>
        <w:ind w:firstLine="238" w:firstLineChars="74"/>
        <w:rPr>
          <w:rFonts w:hint="default" w:ascii="Times New Roman" w:hAnsi="Times New Roman" w:eastAsia="仿宋_GB2312" w:cs="Times New Roman"/>
          <w:b/>
          <w:color w:val="auto"/>
          <w:sz w:val="32"/>
          <w:szCs w:val="32"/>
          <w:highlight w:val="none"/>
        </w:rPr>
      </w:pPr>
      <w:r>
        <w:rPr>
          <w:rFonts w:hint="default" w:ascii="Times New Roman" w:hAnsi="Times New Roman" w:eastAsia="仿宋_GB2312" w:cs="Times New Roman"/>
          <w:b/>
          <w:color w:val="auto"/>
          <w:sz w:val="32"/>
          <w:szCs w:val="32"/>
          <w:highlight w:val="none"/>
        </w:rPr>
        <w:t>附表:</w:t>
      </w:r>
    </w:p>
    <w:p>
      <w:pPr>
        <w:pStyle w:val="128"/>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附表1、单价分析表；</w:t>
      </w:r>
    </w:p>
    <w:p>
      <w:pPr>
        <w:pStyle w:val="128"/>
        <w:ind w:firstLine="238" w:firstLineChars="74"/>
        <w:rPr>
          <w:rFonts w:hint="default" w:ascii="Times New Roman" w:hAnsi="Times New Roman" w:eastAsia="仿宋_GB2312" w:cs="Times New Roman"/>
          <w:b/>
          <w:color w:val="auto"/>
          <w:sz w:val="32"/>
          <w:szCs w:val="32"/>
          <w:highlight w:val="none"/>
        </w:rPr>
      </w:pPr>
      <w:r>
        <w:rPr>
          <w:rFonts w:hint="default" w:ascii="Times New Roman" w:hAnsi="Times New Roman" w:eastAsia="仿宋_GB2312" w:cs="Times New Roman"/>
          <w:b/>
          <w:color w:val="auto"/>
          <w:sz w:val="32"/>
          <w:szCs w:val="32"/>
          <w:highlight w:val="none"/>
        </w:rPr>
        <w:t>附件:</w:t>
      </w:r>
    </w:p>
    <w:p>
      <w:pPr>
        <w:pStyle w:val="128"/>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附件1、水土保持方案编制委托书；</w:t>
      </w:r>
    </w:p>
    <w:p>
      <w:pPr>
        <w:pStyle w:val="128"/>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附件2、备案证；</w:t>
      </w:r>
    </w:p>
    <w:p>
      <w:pPr>
        <w:pStyle w:val="128"/>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附件</w:t>
      </w:r>
      <w:r>
        <w:rPr>
          <w:rFonts w:hint="default" w:ascii="Times New Roman" w:hAnsi="Times New Roman" w:eastAsia="仿宋_GB2312" w:cs="Times New Roman"/>
          <w:color w:val="auto"/>
          <w:highlight w:val="none"/>
          <w:lang w:val="en-US" w:eastAsia="zh-CN"/>
        </w:rPr>
        <w:t>3</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highlight w:val="none"/>
          <w:lang w:eastAsia="zh-CN"/>
        </w:rPr>
        <w:t>建设用地规划许可证</w:t>
      </w:r>
      <w:r>
        <w:rPr>
          <w:rFonts w:hint="eastAsia" w:ascii="Times New Roman" w:hAnsi="Times New Roman" w:eastAsia="仿宋_GB2312" w:cs="Times New Roman"/>
          <w:color w:val="auto"/>
          <w:highlight w:val="none"/>
          <w:lang w:eastAsia="zh-CN"/>
        </w:rPr>
        <w:t>；</w:t>
      </w:r>
    </w:p>
    <w:p>
      <w:pPr>
        <w:pStyle w:val="128"/>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附件</w:t>
      </w: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rPr>
        <w:t>、</w:t>
      </w:r>
      <w:r>
        <w:rPr>
          <w:rFonts w:hint="eastAsia" w:eastAsia="仿宋_GB2312" w:cs="Times New Roman"/>
          <w:color w:val="auto"/>
          <w:highlight w:val="none"/>
          <w:lang w:eastAsia="zh-CN"/>
        </w:rPr>
        <w:t>环境影响报告表</w:t>
      </w:r>
      <w:r>
        <w:rPr>
          <w:rFonts w:hint="default" w:ascii="Times New Roman" w:hAnsi="Times New Roman" w:eastAsia="仿宋_GB2312" w:cs="Times New Roman"/>
          <w:color w:val="auto"/>
          <w:highlight w:val="none"/>
          <w:lang w:eastAsia="zh-CN"/>
        </w:rPr>
        <w:t>批复</w:t>
      </w:r>
      <w:r>
        <w:rPr>
          <w:rFonts w:hint="default" w:ascii="Times New Roman" w:hAnsi="Times New Roman" w:eastAsia="仿宋_GB2312" w:cs="Times New Roman"/>
          <w:color w:val="auto"/>
          <w:highlight w:val="none"/>
        </w:rPr>
        <w:t>；</w:t>
      </w:r>
    </w:p>
    <w:p>
      <w:pPr>
        <w:pStyle w:val="128"/>
        <w:ind w:firstLine="480"/>
        <w:rPr>
          <w:rFonts w:hint="eastAsia" w:eastAsia="仿宋_GB2312" w:cs="Times New Roman"/>
          <w:color w:val="auto"/>
          <w:highlight w:val="none"/>
          <w:lang w:eastAsia="zh-CN"/>
        </w:rPr>
      </w:pPr>
      <w:r>
        <w:rPr>
          <w:rFonts w:hint="default" w:ascii="Times New Roman" w:hAnsi="Times New Roman" w:eastAsia="仿宋_GB2312" w:cs="Times New Roman"/>
          <w:color w:val="auto"/>
          <w:highlight w:val="none"/>
        </w:rPr>
        <w:t>附件</w:t>
      </w:r>
      <w:r>
        <w:rPr>
          <w:rFonts w:hint="eastAsia" w:eastAsia="仿宋_GB2312" w:cs="Times New Roman"/>
          <w:color w:val="auto"/>
          <w:highlight w:val="none"/>
          <w:lang w:val="en-US" w:eastAsia="zh-CN"/>
        </w:rPr>
        <w:t>5</w:t>
      </w:r>
      <w:r>
        <w:rPr>
          <w:rFonts w:hint="default" w:ascii="Times New Roman" w:hAnsi="Times New Roman" w:eastAsia="仿宋_GB2312" w:cs="Times New Roman"/>
          <w:color w:val="auto"/>
          <w:highlight w:val="none"/>
        </w:rPr>
        <w:t>、</w:t>
      </w:r>
      <w:r>
        <w:rPr>
          <w:rFonts w:hint="eastAsia" w:eastAsia="仿宋_GB2312" w:cs="Times New Roman"/>
          <w:color w:val="auto"/>
          <w:highlight w:val="none"/>
          <w:lang w:eastAsia="zh-CN"/>
        </w:rPr>
        <w:t>项目商务立项批复。</w:t>
      </w:r>
    </w:p>
    <w:p>
      <w:pPr>
        <w:pStyle w:val="128"/>
        <w:ind w:firstLine="238" w:firstLineChars="74"/>
        <w:rPr>
          <w:rFonts w:hint="default" w:ascii="Times New Roman" w:hAnsi="Times New Roman" w:eastAsia="仿宋_GB2312" w:cs="Times New Roman"/>
          <w:b/>
          <w:color w:val="auto"/>
          <w:sz w:val="32"/>
          <w:szCs w:val="32"/>
          <w:highlight w:val="none"/>
        </w:rPr>
      </w:pPr>
      <w:bookmarkStart w:id="2" w:name="_Toc452729562"/>
      <w:bookmarkStart w:id="3" w:name="_Toc370050983"/>
      <w:bookmarkStart w:id="4" w:name="_Toc389470362"/>
      <w:bookmarkStart w:id="5" w:name="_Toc392181689"/>
      <w:bookmarkStart w:id="6" w:name="_Toc425510562"/>
      <w:bookmarkStart w:id="7" w:name="_Toc398465307"/>
      <w:bookmarkStart w:id="8" w:name="_Toc422067507"/>
      <w:bookmarkStart w:id="9" w:name="_Toc394737623"/>
      <w:bookmarkStart w:id="10" w:name="_Toc420589290"/>
      <w:bookmarkStart w:id="11" w:name="_Toc370324889"/>
      <w:bookmarkStart w:id="12" w:name="_Toc379804300"/>
      <w:bookmarkStart w:id="13" w:name="_Toc394051109"/>
      <w:bookmarkStart w:id="14" w:name="_Toc421798906"/>
      <w:bookmarkStart w:id="15" w:name="_Toc421798835"/>
      <w:r>
        <w:rPr>
          <w:rFonts w:hint="default" w:ascii="Times New Roman" w:hAnsi="Times New Roman" w:eastAsia="仿宋_GB2312" w:cs="Times New Roman"/>
          <w:b/>
          <w:color w:val="auto"/>
          <w:sz w:val="32"/>
          <w:szCs w:val="32"/>
          <w:highlight w:val="none"/>
        </w:rPr>
        <w:t>附图</w:t>
      </w:r>
      <w:bookmarkEnd w:id="2"/>
      <w:bookmarkEnd w:id="3"/>
      <w:bookmarkEnd w:id="4"/>
      <w:bookmarkEnd w:id="5"/>
      <w:bookmarkEnd w:id="6"/>
      <w:bookmarkEnd w:id="7"/>
      <w:bookmarkEnd w:id="8"/>
      <w:bookmarkEnd w:id="9"/>
      <w:bookmarkEnd w:id="10"/>
      <w:bookmarkEnd w:id="11"/>
      <w:bookmarkEnd w:id="12"/>
      <w:bookmarkEnd w:id="13"/>
      <w:bookmarkEnd w:id="14"/>
      <w:bookmarkEnd w:id="15"/>
      <w:r>
        <w:rPr>
          <w:rFonts w:hint="default" w:ascii="Times New Roman" w:hAnsi="Times New Roman" w:eastAsia="仿宋_GB2312" w:cs="Times New Roman"/>
          <w:b/>
          <w:color w:val="auto"/>
          <w:sz w:val="32"/>
          <w:szCs w:val="32"/>
          <w:highlight w:val="none"/>
        </w:rPr>
        <w:t>:</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附图1、项目</w:t>
      </w:r>
      <w:r>
        <w:rPr>
          <w:rFonts w:hint="eastAsia" w:eastAsia="仿宋_GB2312" w:cs="Times New Roman"/>
          <w:color w:val="auto"/>
          <w:highlight w:val="none"/>
          <w:lang w:val="en-US" w:eastAsia="zh-CN"/>
        </w:rPr>
        <w:t>区</w:t>
      </w:r>
      <w:r>
        <w:rPr>
          <w:rFonts w:hint="default" w:ascii="Times New Roman" w:hAnsi="Times New Roman" w:eastAsia="仿宋_GB2312" w:cs="Times New Roman"/>
          <w:color w:val="auto"/>
          <w:highlight w:val="none"/>
        </w:rPr>
        <w:t>地理位置图；</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附图2、项目区水系图；</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附图3、项目区土壤侵蚀强度分布图；</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附图4、项目</w:t>
      </w:r>
      <w:r>
        <w:rPr>
          <w:rFonts w:hint="eastAsia" w:eastAsia="仿宋_GB2312" w:cs="Times New Roman"/>
          <w:color w:val="auto"/>
          <w:highlight w:val="none"/>
          <w:lang w:val="en-US" w:eastAsia="zh-CN"/>
        </w:rPr>
        <w:t>区</w:t>
      </w:r>
      <w:r>
        <w:rPr>
          <w:rFonts w:hint="default" w:ascii="Times New Roman" w:hAnsi="Times New Roman" w:eastAsia="仿宋_GB2312" w:cs="Times New Roman"/>
          <w:color w:val="auto"/>
          <w:highlight w:val="none"/>
        </w:rPr>
        <w:t>总体布置图；</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附图5、分区防治措施总体布局图；</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附图6、防尘网苫盖典型设计图；</w:t>
      </w:r>
    </w:p>
    <w:p>
      <w:pPr>
        <w:ind w:firstLine="480"/>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eastAsia="zh-CN"/>
        </w:rPr>
        <w:t>附图</w:t>
      </w:r>
      <w:r>
        <w:rPr>
          <w:rFonts w:hint="eastAsia" w:ascii="Times New Roman" w:hAnsi="Times New Roman" w:eastAsia="仿宋_GB2312" w:cs="Times New Roman"/>
          <w:color w:val="auto"/>
          <w:highlight w:val="none"/>
          <w:lang w:val="en-US" w:eastAsia="zh-CN"/>
        </w:rPr>
        <w:t>7、彩钢板围挡典型设计图。</w:t>
      </w:r>
    </w:p>
    <w:p>
      <w:pPr>
        <w:ind w:firstLine="48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sectPr>
          <w:headerReference r:id="rId17" w:type="default"/>
          <w:footerReference r:id="rId18" w:type="default"/>
          <w:pgSz w:w="11906" w:h="16838"/>
          <w:pgMar w:top="1440" w:right="1531" w:bottom="1440" w:left="1531" w:header="851" w:footer="992" w:gutter="0"/>
          <w:pgBorders>
            <w:top w:val="none" w:sz="0" w:space="0"/>
            <w:left w:val="none" w:sz="0" w:space="0"/>
            <w:bottom w:val="none" w:sz="0" w:space="0"/>
            <w:right w:val="none" w:sz="0" w:space="0"/>
          </w:pgBorders>
          <w:pgNumType w:fmt="upperRoman" w:start="1" w:chapStyle="1"/>
          <w:cols w:space="720" w:num="1"/>
          <w:docGrid w:linePitch="312" w:charSpace="0"/>
        </w:sectPr>
      </w:pPr>
      <w:bookmarkStart w:id="16" w:name="_Toc437269299"/>
    </w:p>
    <w:p>
      <w:pPr>
        <w:pStyle w:val="65"/>
        <w:rPr>
          <w:rFonts w:hint="default" w:ascii="Times New Roman" w:hAnsi="Times New Roman" w:eastAsia="仿宋_GB2312" w:cs="Times New Roman"/>
          <w:color w:val="auto"/>
          <w:highlight w:val="none"/>
        </w:rPr>
      </w:pPr>
      <w:bookmarkStart w:id="17" w:name="_Toc3374"/>
      <w:r>
        <w:rPr>
          <w:rFonts w:hint="default" w:ascii="Times New Roman" w:hAnsi="Times New Roman" w:eastAsia="仿宋_GB2312" w:cs="Times New Roman"/>
          <w:color w:val="auto"/>
          <w:highlight w:val="none"/>
        </w:rPr>
        <w:t>1 综合说明</w:t>
      </w:r>
      <w:bookmarkEnd w:id="0"/>
      <w:bookmarkEnd w:id="16"/>
      <w:bookmarkEnd w:id="17"/>
    </w:p>
    <w:p>
      <w:pPr>
        <w:pStyle w:val="66"/>
        <w:ind w:firstLine="148"/>
        <w:rPr>
          <w:rFonts w:hint="default" w:ascii="Times New Roman" w:hAnsi="Times New Roman" w:eastAsia="仿宋_GB2312" w:cs="Times New Roman"/>
          <w:color w:val="auto"/>
          <w:highlight w:val="none"/>
        </w:rPr>
      </w:pPr>
      <w:bookmarkStart w:id="18" w:name="_Toc181347827"/>
      <w:bookmarkStart w:id="19" w:name="_Toc198879555"/>
      <w:bookmarkStart w:id="20" w:name="_Toc162326791"/>
      <w:bookmarkStart w:id="21" w:name="_Toc198879108"/>
      <w:bookmarkStart w:id="22" w:name="_Toc198989709"/>
      <w:bookmarkStart w:id="23" w:name="_Toc168888752"/>
      <w:bookmarkStart w:id="24" w:name="_Toc169012205"/>
      <w:bookmarkStart w:id="25" w:name="_Toc204083327"/>
      <w:bookmarkStart w:id="26" w:name="_Toc198879318"/>
      <w:bookmarkStart w:id="27" w:name="_Toc198990052"/>
      <w:bookmarkStart w:id="28" w:name="_Toc417412290"/>
      <w:bookmarkStart w:id="29" w:name="_Toc207700347"/>
      <w:bookmarkStart w:id="30" w:name="_Toc221896088"/>
      <w:bookmarkStart w:id="31" w:name="_Toc207625675"/>
      <w:bookmarkStart w:id="32" w:name="_Toc209160997"/>
      <w:bookmarkStart w:id="33" w:name="_Toc221895757"/>
      <w:bookmarkStart w:id="34" w:name="_Toc207625491"/>
      <w:bookmarkStart w:id="35" w:name="_Toc281388969"/>
      <w:bookmarkStart w:id="36" w:name="_Toc282985257"/>
      <w:bookmarkStart w:id="37" w:name="_Toc232508567"/>
      <w:bookmarkStart w:id="38" w:name="_Toc286261298"/>
      <w:bookmarkStart w:id="39" w:name="_Toc225781495"/>
      <w:bookmarkStart w:id="40" w:name="_Toc209161094"/>
      <w:bookmarkStart w:id="41" w:name="_Toc334008411"/>
      <w:bookmarkStart w:id="42" w:name="_Toc204572529"/>
      <w:bookmarkStart w:id="43" w:name="_Toc221895964"/>
      <w:bookmarkStart w:id="44" w:name="_Toc204752353"/>
      <w:bookmarkStart w:id="45" w:name="_Toc212541491"/>
      <w:bookmarkStart w:id="46" w:name="_Toc15848"/>
      <w:r>
        <w:rPr>
          <w:rFonts w:hint="default" w:ascii="Times New Roman" w:hAnsi="Times New Roman" w:eastAsia="仿宋_GB2312" w:cs="Times New Roman"/>
          <w:color w:val="auto"/>
          <w:highlight w:val="none"/>
        </w:rPr>
        <w:t>1.1</w:t>
      </w:r>
      <w:bookmarkEnd w:id="18"/>
      <w:bookmarkEnd w:id="19"/>
      <w:bookmarkEnd w:id="20"/>
      <w:bookmarkEnd w:id="21"/>
      <w:bookmarkEnd w:id="22"/>
      <w:bookmarkEnd w:id="23"/>
      <w:bookmarkEnd w:id="24"/>
      <w:bookmarkEnd w:id="25"/>
      <w:bookmarkEnd w:id="26"/>
      <w:bookmarkEnd w:id="27"/>
      <w:r>
        <w:rPr>
          <w:rFonts w:hint="default" w:ascii="Times New Roman" w:hAnsi="Times New Roman" w:eastAsia="仿宋_GB2312" w:cs="Times New Roman"/>
          <w:color w:val="auto"/>
          <w:highlight w:val="none"/>
        </w:rPr>
        <w:t xml:space="preserve">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hint="default" w:ascii="Times New Roman" w:hAnsi="Times New Roman" w:eastAsia="仿宋_GB2312" w:cs="Times New Roman"/>
          <w:color w:val="auto"/>
          <w:highlight w:val="none"/>
        </w:rPr>
        <w:t>项目简况</w:t>
      </w:r>
      <w:bookmarkEnd w:id="46"/>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1.1.1 项目基本情况</w:t>
      </w:r>
    </w:p>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1.1.1.1 项目建设必要性</w:t>
      </w:r>
    </w:p>
    <w:p>
      <w:pPr>
        <w:overflowPunct w:val="0"/>
        <w:autoSpaceDE w:val="0"/>
        <w:autoSpaceDN w:val="0"/>
        <w:ind w:firstLine="480"/>
        <w:jc w:val="left"/>
        <w:rPr>
          <w:rFonts w:hint="default" w:ascii="Times New Roman" w:hAnsi="Times New Roman" w:eastAsia="仿宋_GB2312" w:cs="Times New Roman"/>
          <w:snapToGrid w:val="0"/>
          <w:color w:val="auto"/>
          <w:kern w:val="24"/>
          <w:szCs w:val="24"/>
          <w:highlight w:val="none"/>
        </w:rPr>
      </w:pPr>
      <w:r>
        <w:rPr>
          <w:rFonts w:hint="default" w:ascii="Times New Roman" w:hAnsi="Times New Roman" w:eastAsia="仿宋_GB2312" w:cs="Times New Roman"/>
          <w:snapToGrid w:val="0"/>
          <w:color w:val="auto"/>
          <w:kern w:val="24"/>
          <w:szCs w:val="24"/>
          <w:highlight w:val="none"/>
        </w:rPr>
        <w:t>随着</w:t>
      </w:r>
      <w:r>
        <w:rPr>
          <w:rFonts w:hint="eastAsia" w:eastAsia="仿宋_GB2312" w:cs="Times New Roman"/>
          <w:snapToGrid w:val="0"/>
          <w:color w:val="auto"/>
          <w:kern w:val="24"/>
          <w:szCs w:val="24"/>
          <w:highlight w:val="none"/>
          <w:lang w:eastAsia="zh-CN"/>
        </w:rPr>
        <w:t>和田地区</w:t>
      </w:r>
      <w:r>
        <w:rPr>
          <w:rFonts w:hint="default" w:ascii="Times New Roman" w:hAnsi="Times New Roman" w:eastAsia="仿宋_GB2312" w:cs="Times New Roman"/>
          <w:snapToGrid w:val="0"/>
          <w:color w:val="auto"/>
          <w:kern w:val="24"/>
          <w:szCs w:val="24"/>
          <w:highlight w:val="none"/>
        </w:rPr>
        <w:t>及周边经济社会的全面跨越式发展，运输车、旅游来往车辆及私家车等各种车辆的不断增多，对油品的需求量也不断增加。为提升公司竞争能力和经济效益，</w:t>
      </w:r>
      <w:r>
        <w:rPr>
          <w:rFonts w:hint="eastAsia" w:eastAsia="仿宋_GB2312" w:cs="Times New Roman"/>
          <w:snapToGrid w:val="0"/>
          <w:color w:val="auto"/>
          <w:kern w:val="24"/>
          <w:szCs w:val="24"/>
          <w:highlight w:val="none"/>
          <w:lang w:eastAsia="zh-CN"/>
        </w:rPr>
        <w:t>决定</w:t>
      </w:r>
      <w:r>
        <w:rPr>
          <w:rFonts w:hint="default" w:ascii="Times New Roman" w:hAnsi="Times New Roman" w:eastAsia="仿宋_GB2312" w:cs="Times New Roman"/>
          <w:snapToGrid w:val="0"/>
          <w:color w:val="auto"/>
          <w:kern w:val="24"/>
          <w:szCs w:val="24"/>
          <w:highlight w:val="none"/>
          <w:lang w:val="zh-CN"/>
        </w:rPr>
        <w:t>在</w:t>
      </w:r>
      <w:r>
        <w:rPr>
          <w:rFonts w:hint="eastAsia" w:eastAsia="仿宋_GB2312" w:cs="Times New Roman"/>
          <w:snapToGrid w:val="0"/>
          <w:color w:val="auto"/>
          <w:kern w:val="24"/>
          <w:szCs w:val="24"/>
          <w:highlight w:val="none"/>
          <w:lang w:val="zh-CN"/>
        </w:rPr>
        <w:t>策勒县</w:t>
      </w:r>
      <w:r>
        <w:rPr>
          <w:rFonts w:hint="default" w:ascii="Times New Roman" w:hAnsi="Times New Roman" w:eastAsia="仿宋_GB2312" w:cs="Times New Roman"/>
          <w:snapToGrid w:val="0"/>
          <w:color w:val="auto"/>
          <w:kern w:val="24"/>
          <w:szCs w:val="24"/>
          <w:highlight w:val="none"/>
          <w:lang w:val="zh-CN"/>
        </w:rPr>
        <w:t>天津工业园区和平北路东侧</w:t>
      </w:r>
      <w:r>
        <w:rPr>
          <w:rFonts w:hint="default" w:ascii="Times New Roman" w:hAnsi="Times New Roman" w:eastAsia="仿宋_GB2312" w:cs="Times New Roman"/>
          <w:snapToGrid w:val="0"/>
          <w:color w:val="auto"/>
          <w:kern w:val="24"/>
          <w:szCs w:val="24"/>
          <w:highlight w:val="none"/>
        </w:rPr>
        <w:t>新建</w:t>
      </w:r>
      <w:r>
        <w:rPr>
          <w:rFonts w:hint="eastAsia" w:eastAsia="仿宋_GB2312" w:cs="Times New Roman"/>
          <w:snapToGrid w:val="0"/>
          <w:color w:val="auto"/>
          <w:kern w:val="24"/>
          <w:szCs w:val="24"/>
          <w:highlight w:val="none"/>
          <w:lang w:eastAsia="zh-CN"/>
        </w:rPr>
        <w:t>策勒县城东加油站项目</w:t>
      </w:r>
      <w:r>
        <w:rPr>
          <w:rFonts w:hint="default" w:ascii="Times New Roman" w:hAnsi="Times New Roman" w:eastAsia="仿宋_GB2312" w:cs="Times New Roman"/>
          <w:snapToGrid w:val="0"/>
          <w:color w:val="auto"/>
          <w:kern w:val="24"/>
          <w:szCs w:val="24"/>
          <w:highlight w:val="none"/>
        </w:rPr>
        <w:t>，可满足及方便经过</w:t>
      </w:r>
      <w:r>
        <w:rPr>
          <w:rFonts w:hint="eastAsia" w:eastAsia="仿宋_GB2312" w:cs="Times New Roman"/>
          <w:snapToGrid w:val="0"/>
          <w:color w:val="auto"/>
          <w:kern w:val="24"/>
          <w:szCs w:val="24"/>
          <w:highlight w:val="none"/>
          <w:lang w:eastAsia="zh-CN"/>
        </w:rPr>
        <w:t>策勒县</w:t>
      </w:r>
      <w:r>
        <w:rPr>
          <w:rFonts w:hint="default" w:ascii="Times New Roman" w:hAnsi="Times New Roman" w:eastAsia="仿宋_GB2312" w:cs="Times New Roman"/>
          <w:snapToGrid w:val="0"/>
          <w:color w:val="auto"/>
          <w:kern w:val="24"/>
          <w:szCs w:val="24"/>
          <w:highlight w:val="none"/>
        </w:rPr>
        <w:t>的运输车、旅游来往车辆及私家车等各种车辆的对油品的需求量，为</w:t>
      </w:r>
      <w:r>
        <w:rPr>
          <w:rFonts w:hint="eastAsia" w:eastAsia="仿宋_GB2312" w:cs="Times New Roman"/>
          <w:snapToGrid w:val="0"/>
          <w:color w:val="auto"/>
          <w:kern w:val="24"/>
          <w:szCs w:val="24"/>
          <w:highlight w:val="none"/>
          <w:lang w:eastAsia="zh-CN"/>
        </w:rPr>
        <w:t>策勒县</w:t>
      </w:r>
      <w:r>
        <w:rPr>
          <w:rFonts w:hint="default" w:ascii="Times New Roman" w:hAnsi="Times New Roman" w:eastAsia="仿宋_GB2312" w:cs="Times New Roman"/>
          <w:snapToGrid w:val="0"/>
          <w:color w:val="auto"/>
          <w:kern w:val="24"/>
          <w:szCs w:val="24"/>
          <w:highlight w:val="none"/>
        </w:rPr>
        <w:t>提供油源保障。</w:t>
      </w:r>
    </w:p>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1.1.1.2 地理位置</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cs="Times New Roman"/>
          <w:color w:val="auto"/>
          <w:highlight w:val="none"/>
        </w:rPr>
        <w:t>本项目位</w:t>
      </w:r>
      <w:r>
        <w:rPr>
          <w:rFonts w:hint="eastAsia" w:cs="Times New Roman"/>
          <w:color w:val="auto"/>
          <w:highlight w:val="none"/>
          <w:lang w:eastAsia="zh-CN"/>
        </w:rPr>
        <w:t>于策勒县天津工业园区和平北路东侧</w:t>
      </w:r>
      <w:r>
        <w:rPr>
          <w:rFonts w:hint="default" w:ascii="Times New Roman" w:hAnsi="Times New Roman" w:cs="Times New Roman"/>
          <w:color w:val="auto"/>
          <w:highlight w:val="none"/>
        </w:rPr>
        <w:t>。</w:t>
      </w:r>
      <w:r>
        <w:rPr>
          <w:rFonts w:hint="eastAsia" w:cs="Times New Roman"/>
          <w:color w:val="auto"/>
          <w:highlight w:val="none"/>
          <w:lang w:eastAsia="zh-CN"/>
        </w:rPr>
        <w:t>中心地理位置坐标是北纬</w:t>
      </w:r>
      <w:r>
        <w:rPr>
          <w:rFonts w:hint="eastAsia" w:cs="Times New Roman"/>
          <w:color w:val="auto"/>
          <w:highlight w:val="none"/>
          <w:lang w:val="en-US" w:eastAsia="zh-CN"/>
        </w:rPr>
        <w:t>36°57.52′70″，东经80°50.01′21</w:t>
      </w:r>
      <w:r>
        <w:rPr>
          <w:rFonts w:hint="default" w:ascii="Times New Roman" w:hAnsi="Times New Roman" w:eastAsia="仿宋_GB2312" w:cs="Times New Roman"/>
          <w:color w:val="auto"/>
          <w:highlight w:val="none"/>
        </w:rPr>
        <w:t>″。</w:t>
      </w:r>
      <w:r>
        <w:rPr>
          <w:rFonts w:hint="eastAsia" w:cs="Times New Roman"/>
          <w:color w:val="auto"/>
          <w:highlight w:val="none"/>
          <w:lang w:eastAsia="zh-CN"/>
        </w:rPr>
        <w:t>项目区距离策勒县中心约</w:t>
      </w:r>
      <w:r>
        <w:rPr>
          <w:rFonts w:hint="eastAsia" w:cs="Times New Roman"/>
          <w:color w:val="auto"/>
          <w:highlight w:val="none"/>
          <w:lang w:val="en-US" w:eastAsia="zh-CN"/>
        </w:rPr>
        <w:t>4km，距离G315公路约100m，交通方便。</w:t>
      </w:r>
    </w:p>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1.1.1.3 基本情况</w:t>
      </w:r>
    </w:p>
    <w:p>
      <w:pPr>
        <w:pStyle w:val="55"/>
        <w:ind w:firstLine="480"/>
        <w:rPr>
          <w:rFonts w:hint="default" w:ascii="Times New Roman" w:hAnsi="Times New Roman" w:eastAsia="仿宋_GB2312" w:cs="Times New Roman"/>
          <w:color w:val="auto"/>
          <w:highlight w:val="none"/>
        </w:rPr>
      </w:pPr>
      <w:r>
        <w:rPr>
          <w:rFonts w:hint="eastAsia" w:cs="Times New Roman"/>
          <w:color w:val="auto"/>
          <w:highlight w:val="none"/>
          <w:lang w:eastAsia="zh-CN"/>
        </w:rPr>
        <w:t>策勒县城东加油站项目</w:t>
      </w:r>
      <w:r>
        <w:rPr>
          <w:rFonts w:hint="default" w:ascii="Times New Roman" w:hAnsi="Times New Roman" w:eastAsia="仿宋_GB2312" w:cs="Times New Roman"/>
          <w:color w:val="auto"/>
          <w:highlight w:val="none"/>
        </w:rPr>
        <w:t>为新建建设类项目，建设单位为</w:t>
      </w:r>
      <w:r>
        <w:rPr>
          <w:rFonts w:hint="eastAsia" w:ascii="Times New Roman" w:hAnsi="Times New Roman" w:eastAsia="仿宋_GB2312" w:cs="Times New Roman"/>
          <w:color w:val="auto"/>
          <w:highlight w:val="none"/>
          <w:lang w:eastAsia="zh-CN"/>
        </w:rPr>
        <w:t>中国石化销售</w:t>
      </w:r>
      <w:r>
        <w:rPr>
          <w:rFonts w:hint="eastAsia" w:cs="Times New Roman"/>
          <w:color w:val="auto"/>
          <w:highlight w:val="none"/>
          <w:lang w:eastAsia="zh-CN"/>
        </w:rPr>
        <w:t>股份</w:t>
      </w:r>
      <w:r>
        <w:rPr>
          <w:rFonts w:hint="eastAsia" w:ascii="Times New Roman" w:hAnsi="Times New Roman" w:eastAsia="仿宋_GB2312" w:cs="Times New Roman"/>
          <w:color w:val="auto"/>
          <w:highlight w:val="none"/>
          <w:lang w:eastAsia="zh-CN"/>
        </w:rPr>
        <w:t>有限公司新疆和田石油分公司</w:t>
      </w:r>
      <w:r>
        <w:rPr>
          <w:rFonts w:hint="default" w:ascii="Times New Roman" w:hAnsi="Times New Roman" w:eastAsia="仿宋_GB2312" w:cs="Times New Roman"/>
          <w:color w:val="auto"/>
          <w:highlight w:val="none"/>
        </w:rPr>
        <w:t>。本站预计加油量</w:t>
      </w:r>
      <w:r>
        <w:rPr>
          <w:rFonts w:hint="eastAsia" w:cs="Times New Roman"/>
          <w:color w:val="auto"/>
          <w:highlight w:val="none"/>
          <w:lang w:val="en-US" w:eastAsia="zh-CN"/>
        </w:rPr>
        <w:t>3</w:t>
      </w:r>
      <w:r>
        <w:rPr>
          <w:rFonts w:hint="default" w:ascii="Times New Roman" w:hAnsi="Times New Roman" w:eastAsia="仿宋_GB2312" w:cs="Times New Roman"/>
          <w:color w:val="auto"/>
          <w:highlight w:val="none"/>
        </w:rPr>
        <w:t>500吨/年。</w:t>
      </w:r>
    </w:p>
    <w:p>
      <w:pPr>
        <w:overflowPunct w:val="0"/>
        <w:autoSpaceDE w:val="0"/>
        <w:autoSpaceDN w:val="0"/>
        <w:ind w:firstLine="480"/>
        <w:jc w:val="left"/>
        <w:rPr>
          <w:rFonts w:hint="default" w:ascii="Times New Roman" w:hAnsi="Times New Roman" w:eastAsia="仿宋_GB2312" w:cs="Times New Roman"/>
          <w:color w:val="auto"/>
          <w:highlight w:val="none"/>
        </w:rPr>
      </w:pPr>
      <w:r>
        <w:rPr>
          <w:rFonts w:hint="eastAsia" w:eastAsia="仿宋_GB2312" w:cs="Times New Roman"/>
          <w:snapToGrid w:val="0"/>
          <w:color w:val="auto"/>
          <w:kern w:val="24"/>
          <w:szCs w:val="24"/>
          <w:highlight w:val="none"/>
          <w:lang w:eastAsia="zh-CN"/>
        </w:rPr>
        <w:t>建设规模及内容：本项目</w:t>
      </w:r>
      <w:r>
        <w:rPr>
          <w:rFonts w:hint="default" w:ascii="Times New Roman" w:hAnsi="Times New Roman" w:eastAsia="仿宋_GB2312" w:cs="Times New Roman"/>
          <w:snapToGrid w:val="0"/>
          <w:color w:val="auto"/>
          <w:kern w:val="24"/>
          <w:szCs w:val="24"/>
          <w:highlight w:val="none"/>
        </w:rPr>
        <w:t>新建一座</w:t>
      </w:r>
      <w:r>
        <w:rPr>
          <w:rFonts w:hint="eastAsia" w:eastAsia="仿宋_GB2312" w:cs="Times New Roman"/>
          <w:snapToGrid w:val="0"/>
          <w:color w:val="auto"/>
          <w:kern w:val="24"/>
          <w:szCs w:val="24"/>
          <w:highlight w:val="none"/>
          <w:lang w:val="en-US" w:eastAsia="zh-CN"/>
        </w:rPr>
        <w:t>1</w:t>
      </w:r>
      <w:r>
        <w:rPr>
          <w:rFonts w:hint="default" w:ascii="Times New Roman" w:hAnsi="Times New Roman" w:eastAsia="仿宋_GB2312" w:cs="Times New Roman"/>
          <w:snapToGrid w:val="0"/>
          <w:color w:val="auto"/>
          <w:kern w:val="24"/>
          <w:szCs w:val="24"/>
          <w:highlight w:val="none"/>
        </w:rPr>
        <w:t>层</w:t>
      </w:r>
      <w:r>
        <w:rPr>
          <w:rFonts w:hint="eastAsia" w:eastAsia="仿宋_GB2312" w:cs="Times New Roman"/>
          <w:color w:val="auto"/>
          <w:highlight w:val="none"/>
          <w:lang w:val="en-US" w:eastAsia="zh-CN"/>
        </w:rPr>
        <w:t>267.3</w:t>
      </w:r>
      <w:r>
        <w:rPr>
          <w:rFonts w:hint="eastAsia" w:eastAsia="仿宋_GB2312" w:cs="Times New Roman"/>
          <w:color w:val="auto"/>
          <w:highlight w:val="none"/>
          <w:lang w:eastAsia="zh-CN"/>
        </w:rPr>
        <w:t>m²</w:t>
      </w:r>
      <w:r>
        <w:rPr>
          <w:rFonts w:hint="default" w:ascii="Times New Roman" w:hAnsi="Times New Roman" w:eastAsia="仿宋_GB2312" w:cs="Times New Roman"/>
          <w:snapToGrid w:val="0"/>
          <w:color w:val="auto"/>
          <w:kern w:val="24"/>
          <w:szCs w:val="24"/>
          <w:highlight w:val="none"/>
        </w:rPr>
        <w:t>框架结构站房，新建一座罩棚，</w:t>
      </w:r>
      <w:r>
        <w:rPr>
          <w:rFonts w:hint="eastAsia" w:eastAsia="仿宋_GB2312" w:cs="Times New Roman"/>
          <w:snapToGrid w:val="0"/>
          <w:color w:val="auto"/>
          <w:kern w:val="24"/>
          <w:szCs w:val="24"/>
          <w:highlight w:val="none"/>
          <w:lang w:eastAsia="zh-CN"/>
        </w:rPr>
        <w:t>同时配套</w:t>
      </w:r>
      <w:r>
        <w:rPr>
          <w:rFonts w:hint="default" w:ascii="Times New Roman" w:hAnsi="Times New Roman" w:eastAsia="仿宋_GB2312" w:cs="Times New Roman"/>
          <w:snapToGrid w:val="0"/>
          <w:color w:val="auto"/>
          <w:kern w:val="24"/>
          <w:szCs w:val="24"/>
          <w:highlight w:val="none"/>
        </w:rPr>
        <w:t>站内给排水、采暖通风、供电通信、静电接地等设施。</w:t>
      </w:r>
      <w:r>
        <w:rPr>
          <w:rFonts w:hint="eastAsia" w:eastAsia="仿宋_GB2312" w:cs="Times New Roman"/>
          <w:snapToGrid w:val="0"/>
          <w:color w:val="auto"/>
          <w:kern w:val="24"/>
          <w:szCs w:val="24"/>
          <w:highlight w:val="none"/>
          <w:lang w:eastAsia="zh-CN"/>
        </w:rPr>
        <w:t>加油站配有</w:t>
      </w:r>
      <w:r>
        <w:rPr>
          <w:rFonts w:hint="default" w:ascii="Times New Roman" w:hAnsi="Times New Roman" w:eastAsia="仿宋_GB2312" w:cs="Times New Roman"/>
          <w:color w:val="auto"/>
          <w:highlight w:val="none"/>
        </w:rPr>
        <w:t>2座50</w:t>
      </w:r>
      <w:r>
        <w:rPr>
          <w:rFonts w:hint="eastAsia" w:cs="Times New Roman"/>
          <w:color w:val="auto"/>
          <w:highlight w:val="none"/>
          <w:lang w:eastAsia="zh-CN"/>
        </w:rPr>
        <w:t>m³</w:t>
      </w:r>
      <w:r>
        <w:rPr>
          <w:rFonts w:hint="default" w:ascii="Times New Roman" w:hAnsi="Times New Roman" w:eastAsia="仿宋_GB2312" w:cs="Times New Roman"/>
          <w:color w:val="auto"/>
          <w:highlight w:val="none"/>
        </w:rPr>
        <w:t>埋地柴油罐，2座</w:t>
      </w:r>
      <w:r>
        <w:rPr>
          <w:rFonts w:hint="eastAsia" w:cs="Times New Roman"/>
          <w:color w:val="auto"/>
          <w:highlight w:val="none"/>
          <w:lang w:val="en-US" w:eastAsia="zh-CN"/>
        </w:rPr>
        <w:t>3</w:t>
      </w:r>
      <w:r>
        <w:rPr>
          <w:rFonts w:hint="default" w:ascii="Times New Roman" w:hAnsi="Times New Roman" w:eastAsia="仿宋_GB2312" w:cs="Times New Roman"/>
          <w:color w:val="auto"/>
          <w:highlight w:val="none"/>
        </w:rPr>
        <w:t>0</w:t>
      </w:r>
      <w:r>
        <w:rPr>
          <w:rFonts w:hint="eastAsia" w:cs="Times New Roman"/>
          <w:color w:val="auto"/>
          <w:highlight w:val="none"/>
          <w:lang w:eastAsia="zh-CN"/>
        </w:rPr>
        <w:t>m³</w:t>
      </w:r>
      <w:r>
        <w:rPr>
          <w:rFonts w:hint="default" w:ascii="Times New Roman" w:hAnsi="Times New Roman" w:eastAsia="仿宋_GB2312" w:cs="Times New Roman"/>
          <w:color w:val="auto"/>
          <w:highlight w:val="none"/>
        </w:rPr>
        <w:t>埋地汽油罐</w:t>
      </w:r>
      <w:r>
        <w:rPr>
          <w:rFonts w:hint="eastAsia" w:eastAsia="仿宋_GB2312" w:cs="Times New Roman"/>
          <w:color w:val="auto"/>
          <w:highlight w:val="none"/>
          <w:lang w:eastAsia="zh-CN"/>
        </w:rPr>
        <w:t>以及</w:t>
      </w:r>
      <w:r>
        <w:rPr>
          <w:rFonts w:hint="eastAsia" w:cs="Times New Roman"/>
          <w:color w:val="auto"/>
          <w:highlight w:val="none"/>
          <w:lang w:val="en-US" w:eastAsia="zh-CN"/>
        </w:rPr>
        <w:t>4</w:t>
      </w:r>
      <w:r>
        <w:rPr>
          <w:rFonts w:hint="default" w:ascii="Times New Roman" w:hAnsi="Times New Roman" w:eastAsia="仿宋_GB2312" w:cs="Times New Roman"/>
          <w:color w:val="auto"/>
          <w:highlight w:val="none"/>
        </w:rPr>
        <w:t>台</w:t>
      </w:r>
      <w:r>
        <w:rPr>
          <w:rFonts w:hint="eastAsia" w:eastAsia="仿宋_GB2312" w:cs="Times New Roman"/>
          <w:color w:val="auto"/>
          <w:highlight w:val="none"/>
          <w:lang w:eastAsia="zh-CN"/>
        </w:rPr>
        <w:t>双枪</w:t>
      </w:r>
      <w:r>
        <w:rPr>
          <w:rFonts w:hint="default" w:ascii="Times New Roman" w:hAnsi="Times New Roman" w:eastAsia="仿宋_GB2312" w:cs="Times New Roman"/>
          <w:color w:val="auto"/>
          <w:highlight w:val="none"/>
        </w:rPr>
        <w:t>加油机。</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本项目主要由建筑物区、</w:t>
      </w:r>
      <w:r>
        <w:rPr>
          <w:rFonts w:hint="eastAsia" w:cs="Times New Roman"/>
          <w:color w:val="auto"/>
          <w:highlight w:val="none"/>
          <w:lang w:eastAsia="zh-CN"/>
        </w:rPr>
        <w:t>道路及</w:t>
      </w:r>
      <w:r>
        <w:rPr>
          <w:rFonts w:hint="default" w:ascii="Times New Roman" w:hAnsi="Times New Roman" w:eastAsia="仿宋_GB2312" w:cs="Times New Roman"/>
          <w:color w:val="auto"/>
          <w:highlight w:val="none"/>
        </w:rPr>
        <w:t>硬化区、</w:t>
      </w:r>
      <w:r>
        <w:rPr>
          <w:rFonts w:hint="eastAsia" w:cs="Times New Roman"/>
          <w:color w:val="auto"/>
          <w:highlight w:val="none"/>
          <w:lang w:eastAsia="zh-CN"/>
        </w:rPr>
        <w:t>管线工程区（重复占地）及施工生产生活区</w:t>
      </w:r>
      <w:r>
        <w:rPr>
          <w:rFonts w:hint="default" w:ascii="Times New Roman" w:hAnsi="Times New Roman" w:eastAsia="仿宋_GB2312" w:cs="Times New Roman"/>
          <w:color w:val="auto"/>
          <w:highlight w:val="none"/>
        </w:rPr>
        <w:t>（重复占地），建筑物区包括</w:t>
      </w:r>
      <w:r>
        <w:rPr>
          <w:rFonts w:hint="eastAsia" w:cs="Times New Roman"/>
          <w:color w:val="auto"/>
          <w:highlight w:val="none"/>
          <w:lang w:eastAsia="zh-CN"/>
        </w:rPr>
        <w:t>站房、</w:t>
      </w:r>
      <w:r>
        <w:rPr>
          <w:rFonts w:hint="default" w:ascii="Times New Roman" w:hAnsi="Times New Roman" w:eastAsia="仿宋_GB2312" w:cs="Times New Roman"/>
          <w:color w:val="auto"/>
          <w:highlight w:val="none"/>
        </w:rPr>
        <w:t>油罐区、加油区</w:t>
      </w:r>
      <w:r>
        <w:rPr>
          <w:rFonts w:hint="eastAsia" w:cs="Times New Roman"/>
          <w:color w:val="auto"/>
          <w:highlight w:val="none"/>
          <w:lang w:eastAsia="zh-CN"/>
        </w:rPr>
        <w:t>及绿化区</w:t>
      </w:r>
      <w:r>
        <w:rPr>
          <w:rFonts w:hint="default" w:ascii="Times New Roman" w:hAnsi="Times New Roman" w:eastAsia="仿宋_GB2312" w:cs="Times New Roman"/>
          <w:color w:val="auto"/>
          <w:highlight w:val="none"/>
        </w:rPr>
        <w:t>。项目建设总占地面积</w:t>
      </w:r>
      <w:r>
        <w:rPr>
          <w:rFonts w:hint="eastAsia" w:cs="Times New Roman"/>
          <w:color w:val="auto"/>
          <w:highlight w:val="none"/>
          <w:lang w:val="en-US" w:eastAsia="zh-CN"/>
        </w:rPr>
        <w:t>0.45h</w:t>
      </w:r>
      <w:r>
        <w:rPr>
          <w:rFonts w:hint="default" w:ascii="Times New Roman" w:hAnsi="Times New Roman" w:eastAsia="仿宋_GB2312" w:cs="Times New Roman"/>
          <w:color w:val="auto"/>
          <w:highlight w:val="none"/>
        </w:rPr>
        <w:t>m²，永久占地</w:t>
      </w:r>
      <w:r>
        <w:rPr>
          <w:rFonts w:hint="eastAsia" w:cs="Times New Roman"/>
          <w:color w:val="auto"/>
          <w:highlight w:val="none"/>
          <w:lang w:eastAsia="zh-CN"/>
        </w:rPr>
        <w:t>面积</w:t>
      </w:r>
      <w:r>
        <w:rPr>
          <w:rFonts w:hint="eastAsia" w:cs="Times New Roman"/>
          <w:color w:val="auto"/>
          <w:highlight w:val="none"/>
          <w:lang w:val="en-US" w:eastAsia="zh-CN"/>
        </w:rPr>
        <w:t>0.45hm²</w:t>
      </w:r>
      <w:r>
        <w:rPr>
          <w:rFonts w:hint="default" w:ascii="Times New Roman" w:hAnsi="Times New Roman" w:eastAsia="仿宋_GB2312" w:cs="Times New Roman"/>
          <w:color w:val="auto"/>
          <w:highlight w:val="none"/>
        </w:rPr>
        <w:t>，</w:t>
      </w:r>
      <w:r>
        <w:rPr>
          <w:rFonts w:hint="eastAsia" w:cs="Times New Roman"/>
          <w:color w:val="auto"/>
          <w:highlight w:val="none"/>
          <w:lang w:eastAsia="zh-CN"/>
        </w:rPr>
        <w:t>其中包含红线外永久占地</w:t>
      </w:r>
      <w:r>
        <w:rPr>
          <w:rFonts w:hint="eastAsia" w:cs="Times New Roman"/>
          <w:color w:val="auto"/>
          <w:highlight w:val="none"/>
          <w:lang w:val="en-US" w:eastAsia="zh-CN"/>
        </w:rPr>
        <w:t>0.05hm²，</w:t>
      </w:r>
      <w:r>
        <w:rPr>
          <w:rFonts w:hint="default" w:ascii="Times New Roman" w:hAnsi="Times New Roman" w:eastAsia="仿宋_GB2312" w:cs="Times New Roman"/>
          <w:color w:val="auto"/>
          <w:highlight w:val="none"/>
        </w:rPr>
        <w:t>占地类型为</w:t>
      </w:r>
      <w:r>
        <w:rPr>
          <w:rFonts w:hint="eastAsia" w:cs="Times New Roman"/>
          <w:color w:val="auto"/>
          <w:highlight w:val="none"/>
          <w:lang w:eastAsia="zh-CN"/>
        </w:rPr>
        <w:t>商业用地</w:t>
      </w:r>
      <w:r>
        <w:rPr>
          <w:rFonts w:hint="default" w:ascii="Times New Roman" w:hAnsi="Times New Roman" w:eastAsia="仿宋_GB2312" w:cs="Times New Roman"/>
          <w:color w:val="auto"/>
          <w:highlight w:val="none"/>
        </w:rPr>
        <w:t>。根据主体资料，本工程总挖方</w:t>
      </w:r>
      <w:r>
        <w:rPr>
          <w:rFonts w:hint="eastAsia" w:cs="Times New Roman"/>
          <w:color w:val="auto"/>
          <w:highlight w:val="none"/>
          <w:lang w:val="en-US" w:eastAsia="zh-CN"/>
        </w:rPr>
        <w:t>0.14万</w:t>
      </w:r>
      <w:r>
        <w:rPr>
          <w:rFonts w:hint="default" w:ascii="Times New Roman" w:hAnsi="Times New Roman" w:eastAsia="仿宋_GB2312" w:cs="Times New Roman"/>
          <w:color w:val="auto"/>
          <w:highlight w:val="none"/>
        </w:rPr>
        <w:t>m³，填方</w:t>
      </w:r>
      <w:r>
        <w:rPr>
          <w:rFonts w:hint="eastAsia" w:cs="Times New Roman"/>
          <w:color w:val="auto"/>
          <w:highlight w:val="none"/>
          <w:lang w:val="en-US" w:eastAsia="zh-CN"/>
        </w:rPr>
        <w:t>0.14万</w:t>
      </w:r>
      <w:r>
        <w:rPr>
          <w:rFonts w:hint="default" w:ascii="Times New Roman" w:hAnsi="Times New Roman" w:eastAsia="仿宋_GB2312" w:cs="Times New Roman"/>
          <w:color w:val="auto"/>
          <w:highlight w:val="none"/>
        </w:rPr>
        <w:t>m³，无借方，无弃方。涉及土方主要为建筑物基础、管沟开挖回填。</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项目区占地范围内无居民点以及生产设施等，本项目建设不存在拆迁安置问题。</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工程</w:t>
      </w:r>
      <w:r>
        <w:rPr>
          <w:rFonts w:hint="eastAsia" w:cs="Times New Roman"/>
          <w:color w:val="auto"/>
          <w:highlight w:val="none"/>
          <w:lang w:eastAsia="zh-CN"/>
        </w:rPr>
        <w:t>将于</w:t>
      </w:r>
      <w:r>
        <w:rPr>
          <w:rFonts w:hint="default" w:ascii="Times New Roman" w:hAnsi="Times New Roman" w:eastAsia="仿宋_GB2312" w:cs="Times New Roman"/>
          <w:color w:val="auto"/>
          <w:highlight w:val="none"/>
        </w:rPr>
        <w:t>202</w:t>
      </w:r>
      <w:r>
        <w:rPr>
          <w:rFonts w:hint="eastAsia" w:cs="Times New Roman"/>
          <w:color w:val="auto"/>
          <w:highlight w:val="none"/>
          <w:lang w:val="en-US" w:eastAsia="zh-CN"/>
        </w:rPr>
        <w:t>1</w:t>
      </w:r>
      <w:r>
        <w:rPr>
          <w:rFonts w:hint="default" w:ascii="Times New Roman" w:hAnsi="Times New Roman" w:eastAsia="仿宋_GB2312" w:cs="Times New Roman"/>
          <w:color w:val="auto"/>
          <w:highlight w:val="none"/>
        </w:rPr>
        <w:t>年</w:t>
      </w:r>
      <w:r>
        <w:rPr>
          <w:rFonts w:hint="eastAsia" w:cs="Times New Roman"/>
          <w:color w:val="auto"/>
          <w:highlight w:val="none"/>
          <w:lang w:val="en-US" w:eastAsia="zh-CN"/>
        </w:rPr>
        <w:t>8</w:t>
      </w:r>
      <w:r>
        <w:rPr>
          <w:rFonts w:hint="default" w:ascii="Times New Roman" w:hAnsi="Times New Roman" w:eastAsia="仿宋_GB2312" w:cs="Times New Roman"/>
          <w:color w:val="auto"/>
          <w:highlight w:val="none"/>
        </w:rPr>
        <w:t>月开工，</w:t>
      </w:r>
      <w:r>
        <w:rPr>
          <w:rFonts w:hint="eastAsia" w:cs="Times New Roman"/>
          <w:color w:val="auto"/>
          <w:highlight w:val="none"/>
          <w:lang w:val="en-US" w:eastAsia="zh-CN"/>
        </w:rPr>
        <w:t>2022年6月完工，</w:t>
      </w:r>
      <w:r>
        <w:rPr>
          <w:rFonts w:hint="default" w:ascii="Times New Roman" w:hAnsi="Times New Roman" w:eastAsia="仿宋_GB2312" w:cs="Times New Roman"/>
          <w:color w:val="auto"/>
          <w:highlight w:val="none"/>
        </w:rPr>
        <w:t>总工期</w:t>
      </w:r>
      <w:r>
        <w:rPr>
          <w:rFonts w:hint="eastAsia" w:cs="Times New Roman"/>
          <w:color w:val="auto"/>
          <w:highlight w:val="none"/>
          <w:lang w:val="en-US" w:eastAsia="zh-CN"/>
        </w:rPr>
        <w:t>11</w:t>
      </w:r>
      <w:r>
        <w:rPr>
          <w:rFonts w:hint="default" w:ascii="Times New Roman" w:hAnsi="Times New Roman" w:eastAsia="仿宋_GB2312" w:cs="Times New Roman"/>
          <w:color w:val="auto"/>
          <w:highlight w:val="none"/>
        </w:rPr>
        <w:t>个月。</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项目建设总投资</w:t>
      </w:r>
      <w:r>
        <w:rPr>
          <w:rFonts w:hint="eastAsia" w:cs="Times New Roman"/>
          <w:color w:val="auto"/>
          <w:highlight w:val="none"/>
          <w:lang w:eastAsia="zh-CN"/>
        </w:rPr>
        <w:t>829.55</w:t>
      </w:r>
      <w:r>
        <w:rPr>
          <w:rFonts w:hint="default" w:ascii="Times New Roman" w:hAnsi="Times New Roman" w:eastAsia="仿宋_GB2312" w:cs="Times New Roman"/>
          <w:color w:val="auto"/>
          <w:highlight w:val="none"/>
        </w:rPr>
        <w:t>万元，其中土建投资</w:t>
      </w:r>
      <w:r>
        <w:rPr>
          <w:rFonts w:hint="eastAsia" w:cs="Times New Roman"/>
          <w:color w:val="auto"/>
          <w:highlight w:val="none"/>
          <w:lang w:eastAsia="zh-CN"/>
        </w:rPr>
        <w:t>720.61</w:t>
      </w:r>
      <w:r>
        <w:rPr>
          <w:rFonts w:hint="default" w:ascii="Times New Roman" w:hAnsi="Times New Roman" w:eastAsia="仿宋_GB2312" w:cs="Times New Roman"/>
          <w:color w:val="auto"/>
          <w:highlight w:val="none"/>
        </w:rPr>
        <w:t>万元，均由建设单位自筹解决。</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1.1.2 项目前期工作情况进展</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（1）项目前期工作情况</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w:t>
      </w:r>
      <w:r>
        <w:rPr>
          <w:rFonts w:hint="eastAsia" w:cs="Times New Roman"/>
          <w:color w:val="auto"/>
          <w:highlight w:val="none"/>
          <w:lang w:val="en-US" w:eastAsia="zh-CN"/>
        </w:rPr>
        <w:t>21</w:t>
      </w:r>
      <w:r>
        <w:rPr>
          <w:rFonts w:hint="default" w:ascii="Times New Roman" w:hAnsi="Times New Roman" w:eastAsia="仿宋_GB2312" w:cs="Times New Roman"/>
          <w:color w:val="auto"/>
          <w:highlight w:val="none"/>
        </w:rPr>
        <w:t>年7月，</w:t>
      </w:r>
      <w:r>
        <w:rPr>
          <w:rFonts w:hint="eastAsia" w:cs="Times New Roman"/>
          <w:color w:val="auto"/>
          <w:highlight w:val="none"/>
          <w:lang w:eastAsia="zh-CN"/>
        </w:rPr>
        <w:t>策勒县</w:t>
      </w:r>
      <w:r>
        <w:rPr>
          <w:rFonts w:hint="default" w:ascii="Times New Roman" w:hAnsi="Times New Roman" w:eastAsia="仿宋_GB2312" w:cs="Times New Roman"/>
          <w:color w:val="auto"/>
          <w:highlight w:val="none"/>
        </w:rPr>
        <w:t>自然资源局会下发“</w:t>
      </w:r>
      <w:r>
        <w:rPr>
          <w:rFonts w:hint="eastAsia" w:cs="Times New Roman"/>
          <w:color w:val="auto"/>
          <w:highlight w:val="none"/>
          <w:lang w:eastAsia="zh-CN"/>
        </w:rPr>
        <w:t>策勒县城东加油站项目</w:t>
      </w:r>
      <w:r>
        <w:rPr>
          <w:rFonts w:hint="default" w:ascii="Times New Roman" w:hAnsi="Times New Roman" w:eastAsia="仿宋_GB2312" w:cs="Times New Roman"/>
          <w:color w:val="auto"/>
          <w:highlight w:val="none"/>
        </w:rPr>
        <w:t>”建设用地规划许可证；</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w:t>
      </w:r>
      <w:r>
        <w:rPr>
          <w:rFonts w:hint="eastAsia" w:cs="Times New Roman"/>
          <w:color w:val="auto"/>
          <w:highlight w:val="none"/>
          <w:lang w:val="en-US" w:eastAsia="zh-CN"/>
        </w:rPr>
        <w:t>21</w:t>
      </w:r>
      <w:r>
        <w:rPr>
          <w:rFonts w:hint="default" w:ascii="Times New Roman" w:hAnsi="Times New Roman" w:eastAsia="仿宋_GB2312" w:cs="Times New Roman"/>
          <w:color w:val="auto"/>
          <w:highlight w:val="none"/>
        </w:rPr>
        <w:t>年</w:t>
      </w:r>
      <w:r>
        <w:rPr>
          <w:rFonts w:hint="eastAsia" w:cs="Times New Roman"/>
          <w:color w:val="auto"/>
          <w:highlight w:val="none"/>
          <w:lang w:val="en-US" w:eastAsia="zh-CN"/>
        </w:rPr>
        <w:t>5</w:t>
      </w:r>
      <w:r>
        <w:rPr>
          <w:rFonts w:hint="default" w:ascii="Times New Roman" w:hAnsi="Times New Roman" w:eastAsia="仿宋_GB2312" w:cs="Times New Roman"/>
          <w:color w:val="auto"/>
          <w:highlight w:val="none"/>
        </w:rPr>
        <w:t>月，</w:t>
      </w:r>
      <w:r>
        <w:rPr>
          <w:rFonts w:hint="eastAsia" w:cs="Times New Roman"/>
          <w:color w:val="auto"/>
          <w:highlight w:val="none"/>
          <w:lang w:eastAsia="zh-CN"/>
        </w:rPr>
        <w:t>策勒县</w:t>
      </w:r>
      <w:r>
        <w:rPr>
          <w:rFonts w:hint="default" w:ascii="Times New Roman" w:hAnsi="Times New Roman" w:eastAsia="仿宋_GB2312" w:cs="Times New Roman"/>
          <w:color w:val="auto"/>
          <w:highlight w:val="none"/>
        </w:rPr>
        <w:t>发展和改革委员会下发关于“</w:t>
      </w:r>
      <w:r>
        <w:rPr>
          <w:rFonts w:hint="eastAsia" w:cs="Times New Roman"/>
          <w:color w:val="auto"/>
          <w:highlight w:val="none"/>
          <w:lang w:eastAsia="zh-CN"/>
        </w:rPr>
        <w:t>策勒县城东加油站项目</w:t>
      </w:r>
      <w:r>
        <w:rPr>
          <w:rFonts w:hint="default" w:ascii="Times New Roman" w:hAnsi="Times New Roman" w:eastAsia="仿宋_GB2312" w:cs="Times New Roman"/>
          <w:color w:val="auto"/>
          <w:highlight w:val="none"/>
        </w:rPr>
        <w:t>”</w:t>
      </w:r>
      <w:r>
        <w:rPr>
          <w:rFonts w:hint="eastAsia" w:cs="Times New Roman"/>
          <w:color w:val="auto"/>
          <w:highlight w:val="none"/>
          <w:lang w:eastAsia="zh-CN"/>
        </w:rPr>
        <w:t>登记备案证</w:t>
      </w:r>
      <w:r>
        <w:rPr>
          <w:rFonts w:hint="default" w:ascii="Times New Roman" w:hAnsi="Times New Roman" w:eastAsia="仿宋_GB2312" w:cs="Times New Roman"/>
          <w:color w:val="auto"/>
          <w:highlight w:val="none"/>
        </w:rPr>
        <w:t>；</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2019年6月，</w:t>
      </w:r>
      <w:r>
        <w:rPr>
          <w:rFonts w:hint="eastAsia" w:cs="Times New Roman"/>
          <w:color w:val="auto"/>
          <w:highlight w:val="none"/>
          <w:lang w:eastAsia="zh-CN"/>
        </w:rPr>
        <w:t>策勒县</w:t>
      </w:r>
      <w:r>
        <w:rPr>
          <w:rFonts w:hint="default" w:ascii="Times New Roman" w:hAnsi="Times New Roman" w:eastAsia="仿宋_GB2312" w:cs="Times New Roman"/>
          <w:color w:val="auto"/>
          <w:highlight w:val="none"/>
        </w:rPr>
        <w:t>环境保护局会下发关于“</w:t>
      </w:r>
      <w:r>
        <w:rPr>
          <w:rFonts w:hint="eastAsia" w:cs="Times New Roman"/>
          <w:color w:val="auto"/>
          <w:highlight w:val="none"/>
          <w:lang w:eastAsia="zh-CN"/>
        </w:rPr>
        <w:t>策勒县城东加油站项目</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highlight w:val="none"/>
          <w:lang w:eastAsia="zh-CN"/>
        </w:rPr>
        <w:t>环境影响</w:t>
      </w:r>
      <w:r>
        <w:rPr>
          <w:rFonts w:hint="default" w:ascii="Times New Roman" w:hAnsi="Times New Roman" w:eastAsia="仿宋_GB2312" w:cs="Times New Roman"/>
          <w:color w:val="auto"/>
          <w:highlight w:val="none"/>
        </w:rPr>
        <w:t>报告表批复（</w:t>
      </w:r>
      <w:r>
        <w:rPr>
          <w:rFonts w:hint="eastAsia" w:cs="Times New Roman"/>
          <w:color w:val="auto"/>
          <w:highlight w:val="none"/>
          <w:lang w:eastAsia="zh-CN"/>
        </w:rPr>
        <w:t>策环建函</w:t>
      </w:r>
      <w:r>
        <w:rPr>
          <w:rFonts w:hint="default" w:ascii="Times New Roman" w:hAnsi="Times New Roman" w:eastAsia="仿宋_GB2312" w:cs="Times New Roman"/>
          <w:color w:val="auto"/>
          <w:highlight w:val="none"/>
        </w:rPr>
        <w:t>[2019]</w:t>
      </w:r>
      <w:r>
        <w:rPr>
          <w:rFonts w:hint="eastAsia" w:cs="Times New Roman"/>
          <w:color w:val="auto"/>
          <w:highlight w:val="none"/>
          <w:lang w:val="en-US" w:eastAsia="zh-CN"/>
        </w:rPr>
        <w:t>37</w:t>
      </w:r>
      <w:r>
        <w:rPr>
          <w:rFonts w:hint="default" w:ascii="Times New Roman" w:hAnsi="Times New Roman" w:eastAsia="仿宋_GB2312" w:cs="Times New Roman"/>
          <w:color w:val="auto"/>
          <w:highlight w:val="none"/>
        </w:rPr>
        <w:t>号）；</w:t>
      </w:r>
    </w:p>
    <w:p>
      <w:pPr>
        <w:pStyle w:val="55"/>
        <w:ind w:firstLine="480"/>
        <w:rPr>
          <w:rFonts w:hint="default" w:ascii="Times New Roman" w:hAnsi="Times New Roman" w:eastAsia="仿宋_GB2312" w:cs="Times New Roman"/>
          <w:color w:val="auto"/>
          <w:highlight w:val="none"/>
          <w:lang w:val="zh-CN"/>
        </w:rPr>
      </w:pPr>
      <w:r>
        <w:rPr>
          <w:rFonts w:hint="eastAsia" w:cs="Times New Roman"/>
          <w:color w:val="auto"/>
          <w:highlight w:val="none"/>
          <w:lang w:eastAsia="zh-CN"/>
        </w:rPr>
        <w:t>策勒县城东加油站项目将于</w:t>
      </w:r>
      <w:r>
        <w:rPr>
          <w:rFonts w:hint="default" w:ascii="Times New Roman" w:hAnsi="Times New Roman" w:eastAsia="仿宋_GB2312" w:cs="Times New Roman"/>
          <w:color w:val="auto"/>
          <w:highlight w:val="none"/>
        </w:rPr>
        <w:t>202</w:t>
      </w:r>
      <w:r>
        <w:rPr>
          <w:rFonts w:hint="eastAsia" w:cs="Times New Roman"/>
          <w:color w:val="auto"/>
          <w:highlight w:val="none"/>
          <w:lang w:val="en-US" w:eastAsia="zh-CN"/>
        </w:rPr>
        <w:t>1</w:t>
      </w:r>
      <w:r>
        <w:rPr>
          <w:rFonts w:hint="default" w:ascii="Times New Roman" w:hAnsi="Times New Roman" w:eastAsia="仿宋_GB2312" w:cs="Times New Roman"/>
          <w:color w:val="auto"/>
          <w:highlight w:val="none"/>
          <w:lang w:val="zh-CN"/>
        </w:rPr>
        <w:t>年</w:t>
      </w:r>
      <w:r>
        <w:rPr>
          <w:rFonts w:hint="eastAsia" w:cs="Times New Roman"/>
          <w:color w:val="auto"/>
          <w:highlight w:val="none"/>
          <w:lang w:val="en-US" w:eastAsia="zh-CN"/>
        </w:rPr>
        <w:t>8</w:t>
      </w:r>
      <w:r>
        <w:rPr>
          <w:rFonts w:hint="default" w:ascii="Times New Roman" w:hAnsi="Times New Roman" w:eastAsia="仿宋_GB2312" w:cs="Times New Roman"/>
          <w:color w:val="auto"/>
          <w:highlight w:val="none"/>
          <w:lang w:val="zh-CN"/>
        </w:rPr>
        <w:t>月正式</w:t>
      </w:r>
      <w:r>
        <w:rPr>
          <w:rFonts w:hint="default" w:ascii="Times New Roman" w:hAnsi="Times New Roman" w:eastAsia="仿宋_GB2312" w:cs="Times New Roman"/>
          <w:color w:val="auto"/>
          <w:highlight w:val="none"/>
        </w:rPr>
        <w:t>开工</w:t>
      </w:r>
      <w:r>
        <w:rPr>
          <w:rFonts w:hint="default" w:ascii="Times New Roman" w:hAnsi="Times New Roman" w:eastAsia="仿宋_GB2312" w:cs="Times New Roman"/>
          <w:color w:val="auto"/>
          <w:highlight w:val="none"/>
          <w:lang w:val="zh-CN"/>
        </w:rPr>
        <w:t>。</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（2）方案编制情况</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202</w:t>
      </w:r>
      <w:r>
        <w:rPr>
          <w:rFonts w:hint="eastAsia" w:cs="Times New Roman"/>
          <w:color w:val="auto"/>
          <w:highlight w:val="none"/>
          <w:lang w:val="en-US" w:eastAsia="zh-CN"/>
        </w:rPr>
        <w:t>1</w:t>
      </w:r>
      <w:r>
        <w:rPr>
          <w:rFonts w:hint="default" w:ascii="Times New Roman" w:hAnsi="Times New Roman" w:eastAsia="仿宋_GB2312" w:cs="Times New Roman"/>
          <w:color w:val="auto"/>
          <w:highlight w:val="none"/>
        </w:rPr>
        <w:t>年</w:t>
      </w:r>
      <w:r>
        <w:rPr>
          <w:rFonts w:hint="eastAsia" w:cs="Times New Roman"/>
          <w:color w:val="auto"/>
          <w:highlight w:val="none"/>
          <w:lang w:val="en-US" w:eastAsia="zh-CN"/>
        </w:rPr>
        <w:t>7</w:t>
      </w:r>
      <w:r>
        <w:rPr>
          <w:rFonts w:hint="default" w:ascii="Times New Roman" w:hAnsi="Times New Roman" w:eastAsia="仿宋_GB2312" w:cs="Times New Roman"/>
          <w:color w:val="auto"/>
          <w:highlight w:val="none"/>
        </w:rPr>
        <w:t>月，</w:t>
      </w:r>
      <w:r>
        <w:rPr>
          <w:rFonts w:hint="eastAsia" w:ascii="Times New Roman" w:hAnsi="Times New Roman" w:eastAsia="仿宋_GB2312" w:cs="Times New Roman"/>
          <w:color w:val="auto"/>
          <w:highlight w:val="none"/>
          <w:lang w:eastAsia="zh-CN"/>
        </w:rPr>
        <w:t>中国石化销售</w:t>
      </w:r>
      <w:r>
        <w:rPr>
          <w:rFonts w:hint="eastAsia" w:cs="Times New Roman"/>
          <w:color w:val="auto"/>
          <w:highlight w:val="none"/>
          <w:lang w:eastAsia="zh-CN"/>
        </w:rPr>
        <w:t>股份</w:t>
      </w:r>
      <w:r>
        <w:rPr>
          <w:rFonts w:hint="eastAsia" w:ascii="Times New Roman" w:hAnsi="Times New Roman" w:eastAsia="仿宋_GB2312" w:cs="Times New Roman"/>
          <w:color w:val="auto"/>
          <w:highlight w:val="none"/>
          <w:lang w:eastAsia="zh-CN"/>
        </w:rPr>
        <w:t>有限公司新疆和田石油分公司</w:t>
      </w:r>
      <w:r>
        <w:rPr>
          <w:rFonts w:hint="default" w:ascii="Times New Roman" w:hAnsi="Times New Roman" w:eastAsia="仿宋_GB2312" w:cs="Times New Roman"/>
          <w:color w:val="auto"/>
          <w:highlight w:val="none"/>
        </w:rPr>
        <w:t>委托新疆万汇工程项目管理有限公司承担《</w:t>
      </w:r>
      <w:r>
        <w:rPr>
          <w:rFonts w:hint="eastAsia" w:cs="Times New Roman"/>
          <w:color w:val="auto"/>
          <w:highlight w:val="none"/>
          <w:lang w:eastAsia="zh-CN"/>
        </w:rPr>
        <w:t>策勒县城东加油站项目</w:t>
      </w:r>
      <w:r>
        <w:rPr>
          <w:rFonts w:hint="default" w:ascii="Times New Roman" w:hAnsi="Times New Roman" w:eastAsia="仿宋_GB2312" w:cs="Times New Roman"/>
          <w:color w:val="auto"/>
          <w:highlight w:val="none"/>
        </w:rPr>
        <w:t>水土保持方案报告表》的编制工作。接受委托后，我公司立即组织相关技术人员对工程设计资料进行认真分析，在对项目区进行了详细调研和现场踏勘的基础上，按照开发建设项目相关水土保持法律法规、规章和规范性文件及技术规范和标准的要求，于202</w:t>
      </w:r>
      <w:r>
        <w:rPr>
          <w:rFonts w:hint="eastAsia" w:cs="Times New Roman"/>
          <w:color w:val="auto"/>
          <w:highlight w:val="none"/>
          <w:lang w:val="en-US" w:eastAsia="zh-CN"/>
        </w:rPr>
        <w:t>1</w:t>
      </w:r>
      <w:r>
        <w:rPr>
          <w:rFonts w:hint="default" w:ascii="Times New Roman" w:hAnsi="Times New Roman" w:eastAsia="仿宋_GB2312" w:cs="Times New Roman"/>
          <w:color w:val="auto"/>
          <w:highlight w:val="none"/>
        </w:rPr>
        <w:t>年</w:t>
      </w:r>
      <w:r>
        <w:rPr>
          <w:rFonts w:hint="eastAsia" w:cs="Times New Roman"/>
          <w:color w:val="auto"/>
          <w:highlight w:val="none"/>
          <w:lang w:val="en-US" w:eastAsia="zh-CN"/>
        </w:rPr>
        <w:t>8</w:t>
      </w:r>
      <w:r>
        <w:rPr>
          <w:rFonts w:hint="default" w:ascii="Times New Roman" w:hAnsi="Times New Roman" w:eastAsia="仿宋_GB2312" w:cs="Times New Roman"/>
          <w:color w:val="auto"/>
          <w:highlight w:val="none"/>
        </w:rPr>
        <w:t>月编制完成了《</w:t>
      </w:r>
      <w:r>
        <w:rPr>
          <w:rFonts w:hint="eastAsia" w:cs="Times New Roman"/>
          <w:color w:val="auto"/>
          <w:highlight w:val="none"/>
          <w:lang w:eastAsia="zh-CN"/>
        </w:rPr>
        <w:t>策勒县城东加油站项目</w:t>
      </w:r>
      <w:r>
        <w:rPr>
          <w:rFonts w:hint="default" w:ascii="Times New Roman" w:hAnsi="Times New Roman" w:eastAsia="仿宋_GB2312" w:cs="Times New Roman"/>
          <w:color w:val="auto"/>
          <w:highlight w:val="none"/>
        </w:rPr>
        <w:t>水土保持方案报告表（送审稿）》。</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1.1.3 自然概况</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（1）项目区位于策勒县天津工业园区和平北路东侧。地理坐标是北纬36°57.52′70″，东经80°50.01′21″。项目区地形南高北低，地貌类型</w:t>
      </w:r>
      <w:r>
        <w:rPr>
          <w:rFonts w:hint="eastAsia" w:cs="Times New Roman"/>
          <w:color w:val="auto"/>
          <w:highlight w:val="none"/>
          <w:lang w:eastAsia="zh-CN"/>
        </w:rPr>
        <w:t>属于冲洪积</w:t>
      </w:r>
      <w:r>
        <w:rPr>
          <w:rFonts w:hint="default" w:ascii="Times New Roman" w:hAnsi="Times New Roman" w:eastAsia="仿宋_GB2312" w:cs="Times New Roman"/>
          <w:color w:val="auto"/>
          <w:highlight w:val="none"/>
        </w:rPr>
        <w:t>平原。</w:t>
      </w:r>
    </w:p>
    <w:p>
      <w:pPr>
        <w:ind w:firstLine="480"/>
        <w:rPr>
          <w:rStyle w:val="123"/>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r>
        <w:rPr>
          <w:rStyle w:val="123"/>
          <w:rFonts w:hint="eastAsia" w:eastAsia="仿宋_GB2312" w:cs="Times New Roman"/>
          <w:color w:val="auto"/>
          <w:highlight w:val="none"/>
          <w:lang w:eastAsia="zh-CN"/>
        </w:rPr>
        <w:t>项目区</w:t>
      </w:r>
      <w:r>
        <w:rPr>
          <w:rStyle w:val="123"/>
          <w:rFonts w:hint="default" w:ascii="Times New Roman" w:hAnsi="Times New Roman" w:eastAsia="仿宋_GB2312" w:cs="Times New Roman"/>
          <w:color w:val="auto"/>
          <w:highlight w:val="none"/>
        </w:rPr>
        <w:t>所在区域气候干燥，属中温带大陆性干旱气候，干旱少雨，夏季炎热，冬季寒冷，年温差和日温差较大。春秋多风是其突出的气候特征，春秋季时间短，多大风，强度大。多年平均气温为12.2℃；多年降水量平均为35.5mm；多年蒸发量平均为2741.6mm；多年平均风速为1.6m/s，全年主导风向为东北；最大冻土层深度63cm。</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（3）项目区</w:t>
      </w:r>
      <w:r>
        <w:rPr>
          <w:rStyle w:val="123"/>
          <w:rFonts w:hint="default" w:ascii="Times New Roman" w:hAnsi="Times New Roman" w:eastAsia="仿宋_GB2312" w:cs="Times New Roman"/>
          <w:color w:val="auto"/>
          <w:highlight w:val="none"/>
        </w:rPr>
        <w:t>场地主要土壤类型为棕钙土。地表植被类型为荒漠旱生植被，项目区植被主要是南疆荒漠植被，植物群落以旱生的假木贼、盐爪爪、</w:t>
      </w:r>
      <w:r>
        <w:rPr>
          <w:rStyle w:val="123"/>
          <w:rFonts w:hint="eastAsia" w:cs="Times New Roman"/>
          <w:color w:val="auto"/>
          <w:highlight w:val="none"/>
          <w:lang w:eastAsia="zh-CN"/>
        </w:rPr>
        <w:t>芨芨草</w:t>
      </w:r>
      <w:r>
        <w:rPr>
          <w:rStyle w:val="123"/>
          <w:rFonts w:hint="default" w:ascii="Times New Roman" w:hAnsi="Times New Roman" w:eastAsia="仿宋_GB2312" w:cs="Times New Roman"/>
          <w:color w:val="auto"/>
          <w:highlight w:val="none"/>
        </w:rPr>
        <w:t>、红柳等南疆常见的植被为主，植被覆盖率</w:t>
      </w:r>
      <w:r>
        <w:rPr>
          <w:rStyle w:val="123"/>
          <w:rFonts w:hint="eastAsia" w:cs="Times New Roman"/>
          <w:color w:val="auto"/>
          <w:highlight w:val="none"/>
          <w:lang w:eastAsia="zh-CN"/>
        </w:rPr>
        <w:t>在</w:t>
      </w:r>
      <w:r>
        <w:rPr>
          <w:rStyle w:val="123"/>
          <w:rFonts w:hint="default" w:ascii="Times New Roman" w:hAnsi="Times New Roman" w:eastAsia="仿宋_GB2312" w:cs="Times New Roman"/>
          <w:color w:val="auto"/>
          <w:highlight w:val="none"/>
        </w:rPr>
        <w:t>1</w:t>
      </w:r>
      <w:r>
        <w:rPr>
          <w:rStyle w:val="123"/>
          <w:rFonts w:hint="eastAsia" w:cs="Times New Roman"/>
          <w:color w:val="auto"/>
          <w:highlight w:val="none"/>
          <w:lang w:val="en-US" w:eastAsia="zh-CN"/>
        </w:rPr>
        <w:t>0</w:t>
      </w:r>
      <w:r>
        <w:rPr>
          <w:rStyle w:val="123"/>
          <w:rFonts w:hint="default" w:ascii="Times New Roman" w:hAnsi="Times New Roman" w:eastAsia="仿宋_GB2312" w:cs="Times New Roman"/>
          <w:color w:val="auto"/>
          <w:highlight w:val="none"/>
        </w:rPr>
        <w:t>%</w:t>
      </w:r>
      <w:r>
        <w:rPr>
          <w:rStyle w:val="123"/>
          <w:rFonts w:hint="eastAsia" w:cs="Times New Roman"/>
          <w:color w:val="auto"/>
          <w:highlight w:val="none"/>
          <w:lang w:eastAsia="zh-CN"/>
        </w:rPr>
        <w:t>左右</w:t>
      </w:r>
      <w:r>
        <w:rPr>
          <w:rFonts w:hint="default" w:ascii="Times New Roman" w:hAnsi="Times New Roman" w:eastAsia="仿宋_GB2312" w:cs="Times New Roman"/>
          <w:color w:val="auto"/>
          <w:highlight w:val="none"/>
        </w:rPr>
        <w:t>。</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（4）本项目位于</w:t>
      </w:r>
      <w:r>
        <w:rPr>
          <w:rFonts w:hint="eastAsia" w:cs="Times New Roman"/>
          <w:color w:val="auto"/>
          <w:highlight w:val="none"/>
          <w:lang w:eastAsia="zh-CN"/>
        </w:rPr>
        <w:t>策勒县</w:t>
      </w:r>
      <w:r>
        <w:rPr>
          <w:rFonts w:hint="default" w:ascii="Times New Roman" w:hAnsi="Times New Roman" w:eastAsia="仿宋_GB2312" w:cs="Times New Roman"/>
          <w:color w:val="auto"/>
          <w:highlight w:val="none"/>
        </w:rPr>
        <w:t>，同时根据《全国水土保持区划（试行）》，本项目所在区域均位于北方风沙区。</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根据工程区踏勘、测量及综合分析，确定本工程区的气象、地表组成、植被覆盖度等自然环境状况，结合全疆第一次水土流失普查结果，确定项目区在原地表稳定层未破坏的条件下，原生地表土壤侵蚀强度属于</w:t>
      </w:r>
      <w:r>
        <w:rPr>
          <w:rFonts w:hint="eastAsia" w:cs="Times New Roman"/>
          <w:color w:val="auto"/>
          <w:highlight w:val="none"/>
          <w:lang w:eastAsia="zh-CN"/>
        </w:rPr>
        <w:t>轻</w:t>
      </w:r>
      <w:r>
        <w:rPr>
          <w:rFonts w:hint="default" w:ascii="Times New Roman" w:hAnsi="Times New Roman" w:eastAsia="仿宋_GB2312" w:cs="Times New Roman"/>
          <w:color w:val="auto"/>
          <w:highlight w:val="none"/>
        </w:rPr>
        <w:t>度风</w:t>
      </w:r>
      <w:r>
        <w:rPr>
          <w:rFonts w:hint="eastAsia" w:cs="Times New Roman"/>
          <w:color w:val="auto"/>
          <w:highlight w:val="none"/>
          <w:lang w:eastAsia="zh-CN"/>
        </w:rPr>
        <w:t>力侵</w:t>
      </w:r>
      <w:r>
        <w:rPr>
          <w:rFonts w:hint="default" w:ascii="Times New Roman" w:hAnsi="Times New Roman" w:eastAsia="仿宋_GB2312" w:cs="Times New Roman"/>
          <w:color w:val="auto"/>
          <w:highlight w:val="none"/>
        </w:rPr>
        <w:t>蚀；最终确定项目区的原生地貌土壤侵蚀模数为1</w:t>
      </w:r>
      <w:r>
        <w:rPr>
          <w:rFonts w:hint="eastAsia" w:cs="Times New Roman"/>
          <w:color w:val="auto"/>
          <w:highlight w:val="none"/>
          <w:lang w:val="en-US" w:eastAsia="zh-CN"/>
        </w:rPr>
        <w:t>0</w:t>
      </w:r>
      <w:r>
        <w:rPr>
          <w:rFonts w:hint="default" w:ascii="Times New Roman" w:hAnsi="Times New Roman" w:eastAsia="仿宋_GB2312" w:cs="Times New Roman"/>
          <w:color w:val="auto"/>
          <w:highlight w:val="none"/>
        </w:rPr>
        <w:t>00t/（km²·a）。同时根据项目区所属的水土流失类型、项目区的实际情况，确定工程区土壤容许流失量为1</w:t>
      </w:r>
      <w:r>
        <w:rPr>
          <w:rFonts w:hint="eastAsia" w:cs="Times New Roman"/>
          <w:color w:val="auto"/>
          <w:highlight w:val="none"/>
          <w:lang w:val="en-US" w:eastAsia="zh-CN"/>
        </w:rPr>
        <w:t>0</w:t>
      </w:r>
      <w:r>
        <w:rPr>
          <w:rFonts w:hint="default" w:ascii="Times New Roman" w:hAnsi="Times New Roman" w:eastAsia="仿宋_GB2312" w:cs="Times New Roman"/>
          <w:color w:val="auto"/>
          <w:highlight w:val="none"/>
        </w:rPr>
        <w:t>00t/（km²·a）。</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（6）项目区不涉及饮用水源保护区、水功能一级区的保护区和保留区、自然保护区、世界文化和自然遗产地、风景名胜区、地质公园、森林公园、重要湿地等。</w:t>
      </w:r>
    </w:p>
    <w:p>
      <w:pPr>
        <w:pStyle w:val="66"/>
        <w:ind w:firstLine="148"/>
        <w:rPr>
          <w:rFonts w:hint="default" w:ascii="Times New Roman" w:hAnsi="Times New Roman" w:eastAsia="仿宋_GB2312" w:cs="Times New Roman"/>
          <w:color w:val="auto"/>
          <w:highlight w:val="none"/>
        </w:rPr>
      </w:pPr>
      <w:bookmarkStart w:id="47" w:name="_Toc417412291"/>
      <w:bookmarkStart w:id="48" w:name="_Toc10476"/>
      <w:r>
        <w:rPr>
          <w:rFonts w:hint="default" w:ascii="Times New Roman" w:hAnsi="Times New Roman" w:eastAsia="仿宋_GB2312" w:cs="Times New Roman"/>
          <w:color w:val="auto"/>
          <w:highlight w:val="none"/>
        </w:rPr>
        <w:t xml:space="preserve">1.2 </w:t>
      </w:r>
      <w:bookmarkEnd w:id="47"/>
      <w:r>
        <w:rPr>
          <w:rFonts w:hint="default" w:ascii="Times New Roman" w:hAnsi="Times New Roman" w:eastAsia="仿宋_GB2312" w:cs="Times New Roman"/>
          <w:color w:val="auto"/>
          <w:highlight w:val="none"/>
        </w:rPr>
        <w:t>编制依据</w:t>
      </w:r>
      <w:bookmarkEnd w:id="48"/>
    </w:p>
    <w:p>
      <w:pPr>
        <w:pStyle w:val="69"/>
        <w:rPr>
          <w:rFonts w:hint="default" w:ascii="Times New Roman" w:hAnsi="Times New Roman" w:eastAsia="仿宋_GB2312" w:cs="Times New Roman"/>
          <w:color w:val="auto"/>
          <w:highlight w:val="none"/>
        </w:rPr>
      </w:pPr>
      <w:bookmarkStart w:id="49" w:name="_Toc417412292"/>
      <w:bookmarkStart w:id="50" w:name="_Toc407014508"/>
      <w:r>
        <w:rPr>
          <w:rFonts w:hint="default" w:ascii="Times New Roman" w:hAnsi="Times New Roman" w:eastAsia="仿宋_GB2312" w:cs="Times New Roman"/>
          <w:color w:val="auto"/>
          <w:highlight w:val="none"/>
        </w:rPr>
        <w:t>1.2.1 部委规章</w:t>
      </w:r>
    </w:p>
    <w:p>
      <w:pPr>
        <w:pStyle w:val="55"/>
        <w:numPr>
          <w:ilvl w:val="0"/>
          <w:numId w:val="1"/>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《中华人民共和国水土保持法》，(中华人民共和国主席令39号，2010年12月25日修订，自2011年3月1日起施行)；</w:t>
      </w:r>
    </w:p>
    <w:p>
      <w:pPr>
        <w:pStyle w:val="55"/>
        <w:numPr>
          <w:ilvl w:val="0"/>
          <w:numId w:val="1"/>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《水利部关于废止和修改部分规章的决定》（中华人民共和国水利部令第49号，2017.12.22）；</w:t>
      </w:r>
    </w:p>
    <w:p>
      <w:pPr>
        <w:pStyle w:val="55"/>
        <w:numPr>
          <w:ilvl w:val="0"/>
          <w:numId w:val="1"/>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水利部关于加强事中事后监管规范生产建设项目水土保持设施自主验收的通知（水保〔2017〕365号）；</w:t>
      </w:r>
    </w:p>
    <w:p>
      <w:pPr>
        <w:pStyle w:val="55"/>
        <w:numPr>
          <w:ilvl w:val="0"/>
          <w:numId w:val="1"/>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水利部关于进一步深化“放管服”改革，全面加强水土保持监管的意见（水保〔2019〕160号）。</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1.2.2 法律法规</w:t>
      </w:r>
    </w:p>
    <w:p>
      <w:pPr>
        <w:pStyle w:val="55"/>
        <w:numPr>
          <w:ilvl w:val="0"/>
          <w:numId w:val="2"/>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水利部办公厅关于印发《全国水土保持规划国家级水土流失重点预防区和重点治理区复核划分成果》的通知（办水保[2013]188号）；</w:t>
      </w:r>
    </w:p>
    <w:p>
      <w:pPr>
        <w:pStyle w:val="55"/>
        <w:numPr>
          <w:ilvl w:val="0"/>
          <w:numId w:val="2"/>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水利部办公厅关于贯彻落实国发〔2015〕58号文件进一步做好水土保持行政审批工作的通知(水利部办公厅，办水保〔2015〕247号，2015年11月20日)；</w:t>
      </w:r>
    </w:p>
    <w:p>
      <w:pPr>
        <w:pStyle w:val="55"/>
        <w:numPr>
          <w:ilvl w:val="0"/>
          <w:numId w:val="2"/>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水利部办公厅关于强化依法行政进一步规范生产建设项目水土保持监督管理工作的通知（办水保[2016]21号）；</w:t>
      </w:r>
    </w:p>
    <w:p>
      <w:pPr>
        <w:pStyle w:val="55"/>
        <w:numPr>
          <w:ilvl w:val="0"/>
          <w:numId w:val="2"/>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水利部办公厅关于印发生产建设项目水土保持设施自主验收规程（试行）的通知（办水保〔2018〕133号）；</w:t>
      </w:r>
    </w:p>
    <w:p>
      <w:pPr>
        <w:pStyle w:val="55"/>
        <w:numPr>
          <w:ilvl w:val="0"/>
          <w:numId w:val="2"/>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水利部办公厅关于印发生产建设项目水土保持技术文件编写和印制格式规定（试行）的通知（办水保〔2018〕135号）；</w:t>
      </w:r>
    </w:p>
    <w:p>
      <w:pPr>
        <w:pStyle w:val="55"/>
        <w:numPr>
          <w:ilvl w:val="0"/>
          <w:numId w:val="2"/>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水利部办公厅关于印发生产建设项目水土保持监督管理办法的通知（办水保〔2019〕172号）；</w:t>
      </w:r>
    </w:p>
    <w:p>
      <w:pPr>
        <w:pStyle w:val="55"/>
        <w:numPr>
          <w:ilvl w:val="0"/>
          <w:numId w:val="2"/>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《新疆维吾尔自治区实施&lt;中华人民共和国水土保持法&gt;办法》(2013年7月31日修订通过，2013年10月1日施行)；</w:t>
      </w:r>
    </w:p>
    <w:p>
      <w:pPr>
        <w:pStyle w:val="55"/>
        <w:numPr>
          <w:ilvl w:val="0"/>
          <w:numId w:val="2"/>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关于印发《新疆维吾尔自治区水土保持设施补偿费征收使用管理办法》的通知，新财非税[2015]10号；</w:t>
      </w:r>
    </w:p>
    <w:p>
      <w:pPr>
        <w:pStyle w:val="55"/>
        <w:numPr>
          <w:ilvl w:val="0"/>
          <w:numId w:val="2"/>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《关于印发《新疆维吾尔自治区生产建设项目水土保持方案管理办法》(修订稿)的通知》(新疆维吾尔自治区水利厅，新水厅〔2016〕112号，2016年11月17日)；</w:t>
      </w:r>
    </w:p>
    <w:p>
      <w:pPr>
        <w:pStyle w:val="55"/>
        <w:numPr>
          <w:ilvl w:val="0"/>
          <w:numId w:val="2"/>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《新疆维吾尔自治区水利厅关于加强事中事后监管规范生产建设项目水土保持设施自主验收实施意见的通知》（新水办水保〔2017〕121号）；</w:t>
      </w:r>
    </w:p>
    <w:p>
      <w:pPr>
        <w:pStyle w:val="55"/>
        <w:numPr>
          <w:ilvl w:val="0"/>
          <w:numId w:val="2"/>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新疆维吾尔自治区水利厅文件转发《水利部办公厅&lt;关于印发生产建设项目水土保持技术文件编写和印刷格式规定（试行）的通知&gt;》的通知（新水办水保〔2018〕49号）；</w:t>
      </w:r>
    </w:p>
    <w:p>
      <w:pPr>
        <w:pStyle w:val="55"/>
        <w:numPr>
          <w:ilvl w:val="0"/>
          <w:numId w:val="2"/>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新疆维吾尔自治区水利厅关于印发《新疆水利厅生产建设项目水土保持方案技术评审细则（试行）》的通知（新水厅〔2018〕75号）；</w:t>
      </w:r>
    </w:p>
    <w:p>
      <w:pPr>
        <w:pStyle w:val="55"/>
        <w:numPr>
          <w:ilvl w:val="0"/>
          <w:numId w:val="2"/>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新疆维吾尔自治区水利厅关于印发《新疆自治区级水土流失重点预防区和重点治理区复核划分成果的通知》（新水水保〔2019〕4号）；</w:t>
      </w:r>
    </w:p>
    <w:p>
      <w:pPr>
        <w:pStyle w:val="55"/>
        <w:numPr>
          <w:ilvl w:val="0"/>
          <w:numId w:val="2"/>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新疆维吾尔自治区水利厅文件转发水利部关于进一步深化“放管服”改革，全面加强水土保持监管意见的通知（新水水保〔2019〕29号）。</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1.2.3 技术标准</w:t>
      </w:r>
    </w:p>
    <w:p>
      <w:pPr>
        <w:pStyle w:val="55"/>
        <w:numPr>
          <w:ilvl w:val="0"/>
          <w:numId w:val="3"/>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《生产建设项目水土保持技术标准》（GB 50433-2018）；</w:t>
      </w:r>
    </w:p>
    <w:p>
      <w:pPr>
        <w:pStyle w:val="55"/>
        <w:numPr>
          <w:ilvl w:val="0"/>
          <w:numId w:val="3"/>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《生产建设项目水土流失防治标准》（GB/T 50434-2018）； </w:t>
      </w:r>
    </w:p>
    <w:p>
      <w:pPr>
        <w:pStyle w:val="55"/>
        <w:numPr>
          <w:ilvl w:val="0"/>
          <w:numId w:val="3"/>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《土壤侵蚀分类分级标准》（SL190-2007）；</w:t>
      </w:r>
    </w:p>
    <w:p>
      <w:pPr>
        <w:pStyle w:val="55"/>
        <w:numPr>
          <w:ilvl w:val="0"/>
          <w:numId w:val="3"/>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《水利水电工程制图标准水土保持图》（SL73.6-2015）；</w:t>
      </w:r>
    </w:p>
    <w:p>
      <w:pPr>
        <w:pStyle w:val="55"/>
        <w:numPr>
          <w:ilvl w:val="0"/>
          <w:numId w:val="3"/>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《防洪标准》（GB50201-2014）；</w:t>
      </w:r>
    </w:p>
    <w:p>
      <w:pPr>
        <w:pStyle w:val="55"/>
        <w:numPr>
          <w:ilvl w:val="0"/>
          <w:numId w:val="3"/>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《土地利用现状分类》（GB/T21010-2017）；</w:t>
      </w:r>
    </w:p>
    <w:p>
      <w:pPr>
        <w:pStyle w:val="55"/>
        <w:numPr>
          <w:ilvl w:val="0"/>
          <w:numId w:val="3"/>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《水土保持工程质量评定规程》（SL336-2006）；</w:t>
      </w:r>
    </w:p>
    <w:p>
      <w:pPr>
        <w:pStyle w:val="55"/>
        <w:numPr>
          <w:ilvl w:val="0"/>
          <w:numId w:val="3"/>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《中国地震动参数区划图》（GB18306-2015）。</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1.2.4 技术资料</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w:t>
      </w:r>
      <w:r>
        <w:rPr>
          <w:rFonts w:hint="eastAsia" w:cs="Times New Roman"/>
          <w:color w:val="auto"/>
          <w:highlight w:val="none"/>
          <w:lang w:eastAsia="zh-CN"/>
        </w:rPr>
        <w:t>策勒县</w:t>
      </w:r>
      <w:r>
        <w:rPr>
          <w:rFonts w:hint="default" w:ascii="Times New Roman" w:hAnsi="Times New Roman" w:eastAsia="仿宋_GB2312" w:cs="Times New Roman"/>
          <w:color w:val="auto"/>
          <w:highlight w:val="none"/>
        </w:rPr>
        <w:t>自然资源局下发</w:t>
      </w:r>
      <w:r>
        <w:rPr>
          <w:rFonts w:hint="eastAsia" w:cs="Times New Roman"/>
          <w:color w:val="auto"/>
          <w:highlight w:val="none"/>
          <w:lang w:eastAsia="zh-CN"/>
        </w:rPr>
        <w:t>的</w:t>
      </w:r>
      <w:r>
        <w:rPr>
          <w:rFonts w:hint="default" w:ascii="Times New Roman" w:hAnsi="Times New Roman" w:eastAsia="仿宋_GB2312" w:cs="Times New Roman"/>
          <w:color w:val="auto"/>
          <w:highlight w:val="none"/>
        </w:rPr>
        <w:t>“</w:t>
      </w:r>
      <w:r>
        <w:rPr>
          <w:rFonts w:hint="eastAsia" w:cs="Times New Roman"/>
          <w:color w:val="auto"/>
          <w:highlight w:val="none"/>
          <w:lang w:eastAsia="zh-CN"/>
        </w:rPr>
        <w:t>策勒县城东加油站项目</w:t>
      </w:r>
      <w:r>
        <w:rPr>
          <w:rFonts w:hint="default" w:ascii="Times New Roman" w:hAnsi="Times New Roman" w:eastAsia="仿宋_GB2312" w:cs="Times New Roman"/>
          <w:color w:val="auto"/>
          <w:highlight w:val="none"/>
        </w:rPr>
        <w:t>”建设用地规划许可证；</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（2）“关于</w:t>
      </w:r>
      <w:r>
        <w:rPr>
          <w:rFonts w:hint="eastAsia" w:cs="Times New Roman"/>
          <w:color w:val="auto"/>
          <w:highlight w:val="none"/>
          <w:lang w:eastAsia="zh-CN"/>
        </w:rPr>
        <w:t>策勒县城东加油站项目</w:t>
      </w:r>
      <w:r>
        <w:rPr>
          <w:rFonts w:hint="default" w:ascii="Times New Roman" w:hAnsi="Times New Roman" w:eastAsia="仿宋_GB2312" w:cs="Times New Roman"/>
          <w:color w:val="auto"/>
          <w:highlight w:val="none"/>
        </w:rPr>
        <w:t>”环境影响报告表的批复（（</w:t>
      </w:r>
      <w:r>
        <w:rPr>
          <w:rFonts w:hint="eastAsia" w:cs="Times New Roman"/>
          <w:color w:val="auto"/>
          <w:highlight w:val="none"/>
          <w:lang w:eastAsia="zh-CN"/>
        </w:rPr>
        <w:t>策环建函</w:t>
      </w:r>
      <w:r>
        <w:rPr>
          <w:rFonts w:hint="default" w:ascii="Times New Roman" w:hAnsi="Times New Roman" w:eastAsia="仿宋_GB2312" w:cs="Times New Roman"/>
          <w:color w:val="auto"/>
          <w:highlight w:val="none"/>
        </w:rPr>
        <w:t>[2019]3</w:t>
      </w:r>
      <w:r>
        <w:rPr>
          <w:rFonts w:hint="eastAsia" w:cs="Times New Roman"/>
          <w:color w:val="auto"/>
          <w:highlight w:val="none"/>
          <w:lang w:val="en-US" w:eastAsia="zh-CN"/>
        </w:rPr>
        <w:t>6</w:t>
      </w:r>
      <w:r>
        <w:rPr>
          <w:rFonts w:hint="default" w:ascii="Times New Roman" w:hAnsi="Times New Roman" w:eastAsia="仿宋_GB2312" w:cs="Times New Roman"/>
          <w:color w:val="auto"/>
          <w:highlight w:val="none"/>
        </w:rPr>
        <w:t>号），201</w:t>
      </w:r>
      <w:r>
        <w:rPr>
          <w:rFonts w:hint="eastAsia" w:cs="Times New Roman"/>
          <w:color w:val="auto"/>
          <w:highlight w:val="none"/>
          <w:lang w:val="en-US" w:eastAsia="zh-CN"/>
        </w:rPr>
        <w:t>9</w:t>
      </w:r>
      <w:r>
        <w:rPr>
          <w:rFonts w:hint="default" w:ascii="Times New Roman" w:hAnsi="Times New Roman" w:eastAsia="仿宋_GB2312" w:cs="Times New Roman"/>
          <w:color w:val="auto"/>
          <w:highlight w:val="none"/>
        </w:rPr>
        <w:t>年</w:t>
      </w:r>
      <w:r>
        <w:rPr>
          <w:rFonts w:hint="eastAsia" w:cs="Times New Roman"/>
          <w:color w:val="auto"/>
          <w:highlight w:val="none"/>
          <w:lang w:val="en-US" w:eastAsia="zh-CN"/>
        </w:rPr>
        <w:t>9</w:t>
      </w:r>
      <w:r>
        <w:rPr>
          <w:rFonts w:hint="default" w:ascii="Times New Roman" w:hAnsi="Times New Roman" w:eastAsia="仿宋_GB2312" w:cs="Times New Roman"/>
          <w:color w:val="auto"/>
          <w:highlight w:val="none"/>
        </w:rPr>
        <w:t>月</w:t>
      </w:r>
      <w:r>
        <w:rPr>
          <w:rFonts w:hint="eastAsia" w:cs="Times New Roman"/>
          <w:color w:val="auto"/>
          <w:highlight w:val="none"/>
          <w:lang w:val="en-US" w:eastAsia="zh-CN"/>
        </w:rPr>
        <w:t>2</w:t>
      </w:r>
      <w:r>
        <w:rPr>
          <w:rFonts w:hint="default" w:ascii="Times New Roman" w:hAnsi="Times New Roman" w:eastAsia="仿宋_GB2312" w:cs="Times New Roman"/>
          <w:color w:val="auto"/>
          <w:highlight w:val="none"/>
        </w:rPr>
        <w:t>日，新疆</w:t>
      </w:r>
      <w:r>
        <w:rPr>
          <w:rFonts w:hint="eastAsia" w:cs="Times New Roman"/>
          <w:color w:val="auto"/>
          <w:highlight w:val="none"/>
          <w:lang w:eastAsia="zh-CN"/>
        </w:rPr>
        <w:t>策勒县</w:t>
      </w:r>
      <w:r>
        <w:rPr>
          <w:rFonts w:hint="default" w:ascii="Times New Roman" w:hAnsi="Times New Roman" w:eastAsia="仿宋_GB2312" w:cs="Times New Roman"/>
          <w:color w:val="auto"/>
          <w:highlight w:val="none"/>
        </w:rPr>
        <w:t>环境保护局）；</w:t>
      </w:r>
    </w:p>
    <w:p>
      <w:pPr>
        <w:pStyle w:val="55"/>
        <w:ind w:left="480" w:firstLine="0" w:firstLineChars="0"/>
        <w:rPr>
          <w:rFonts w:hint="eastAsia" w:cs="Times New Roman"/>
          <w:color w:val="auto"/>
          <w:highlight w:val="none"/>
          <w:lang w:eastAsia="zh-CN"/>
        </w:rPr>
      </w:pPr>
      <w:r>
        <w:rPr>
          <w:rFonts w:hint="default" w:ascii="Times New Roman" w:hAnsi="Times New Roman" w:eastAsia="仿宋_GB2312" w:cs="Times New Roman"/>
          <w:color w:val="auto"/>
          <w:highlight w:val="none"/>
        </w:rPr>
        <w:t>（</w:t>
      </w:r>
      <w:r>
        <w:rPr>
          <w:rFonts w:hint="eastAsia" w:cs="Times New Roman"/>
          <w:color w:val="auto"/>
          <w:highlight w:val="none"/>
          <w:lang w:val="en-US" w:eastAsia="zh-CN"/>
        </w:rPr>
        <w:t>3</w:t>
      </w:r>
      <w:r>
        <w:rPr>
          <w:rFonts w:hint="default" w:ascii="Times New Roman" w:hAnsi="Times New Roman" w:eastAsia="仿宋_GB2312" w:cs="Times New Roman"/>
          <w:color w:val="auto"/>
          <w:highlight w:val="none"/>
        </w:rPr>
        <w:t>）本项目施工图</w:t>
      </w:r>
      <w:r>
        <w:rPr>
          <w:rFonts w:hint="eastAsia" w:cs="Times New Roman"/>
          <w:color w:val="auto"/>
          <w:highlight w:val="none"/>
          <w:lang w:eastAsia="zh-CN"/>
        </w:rPr>
        <w:t>；</w:t>
      </w:r>
    </w:p>
    <w:p>
      <w:pPr>
        <w:pStyle w:val="55"/>
        <w:ind w:left="48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）202</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年7月，现场查勘资料；</w:t>
      </w:r>
    </w:p>
    <w:p>
      <w:pPr>
        <w:pStyle w:val="55"/>
        <w:numPr>
          <w:ilvl w:val="0"/>
          <w:numId w:val="0"/>
        </w:numPr>
        <w:ind w:left="480" w:leftChars="0"/>
        <w:rPr>
          <w:rFonts w:hint="default" w:ascii="Times New Roman" w:hAnsi="Times New Roman" w:eastAsia="仿宋_GB2312"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5</w:t>
      </w:r>
      <w:r>
        <w:rPr>
          <w:rFonts w:hint="eastAsia" w:cs="Times New Roman"/>
          <w:color w:val="auto"/>
          <w:highlight w:val="none"/>
          <w:lang w:eastAsia="zh-CN"/>
        </w:rPr>
        <w:t>）</w:t>
      </w:r>
      <w:r>
        <w:rPr>
          <w:rFonts w:hint="default" w:ascii="Times New Roman" w:hAnsi="Times New Roman" w:eastAsia="仿宋_GB2312" w:cs="Times New Roman"/>
          <w:color w:val="auto"/>
          <w:highlight w:val="none"/>
        </w:rPr>
        <w:t>项目区气象、水文资料及社会统计年鉴。</w:t>
      </w:r>
    </w:p>
    <w:p>
      <w:pPr>
        <w:pStyle w:val="66"/>
        <w:ind w:firstLine="148"/>
        <w:rPr>
          <w:rFonts w:hint="default" w:ascii="Times New Roman" w:hAnsi="Times New Roman" w:eastAsia="仿宋_GB2312" w:cs="Times New Roman"/>
          <w:color w:val="auto"/>
          <w:highlight w:val="none"/>
        </w:rPr>
      </w:pPr>
      <w:bookmarkStart w:id="51" w:name="_Toc19125"/>
      <w:r>
        <w:rPr>
          <w:rFonts w:hint="default" w:ascii="Times New Roman" w:hAnsi="Times New Roman" w:eastAsia="仿宋_GB2312" w:cs="Times New Roman"/>
          <w:color w:val="auto"/>
          <w:highlight w:val="none"/>
        </w:rPr>
        <w:t>1.3 设计水平年</w:t>
      </w:r>
      <w:bookmarkEnd w:id="51"/>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方案设计水平年是指主体工程完工后，水土保持措施实施完毕并初步发挥效益的时间，届时方案确定的各项防治措施均布设到位，能初步发挥水土保持功能，达到方案确定的防治目标，满足水土保持专项设施验收的要求。</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本项目为建设类项目，工程</w:t>
      </w:r>
      <w:r>
        <w:rPr>
          <w:rFonts w:hint="eastAsia" w:cs="Times New Roman"/>
          <w:color w:val="auto"/>
          <w:highlight w:val="none"/>
          <w:lang w:eastAsia="zh-CN"/>
        </w:rPr>
        <w:t>将于</w:t>
      </w:r>
      <w:r>
        <w:rPr>
          <w:rFonts w:hint="default" w:ascii="Times New Roman" w:hAnsi="Times New Roman" w:eastAsia="仿宋_GB2312" w:cs="Times New Roman"/>
          <w:color w:val="auto"/>
          <w:highlight w:val="none"/>
        </w:rPr>
        <w:t>202</w:t>
      </w:r>
      <w:r>
        <w:rPr>
          <w:rFonts w:hint="eastAsia" w:cs="Times New Roman"/>
          <w:color w:val="auto"/>
          <w:highlight w:val="none"/>
          <w:lang w:val="en-US" w:eastAsia="zh-CN"/>
        </w:rPr>
        <w:t>1</w:t>
      </w:r>
      <w:r>
        <w:rPr>
          <w:rFonts w:hint="default" w:ascii="Times New Roman" w:hAnsi="Times New Roman" w:eastAsia="仿宋_GB2312" w:cs="Times New Roman"/>
          <w:color w:val="auto"/>
          <w:highlight w:val="none"/>
        </w:rPr>
        <w:t>年</w:t>
      </w:r>
      <w:r>
        <w:rPr>
          <w:rFonts w:hint="eastAsia" w:cs="Times New Roman"/>
          <w:color w:val="auto"/>
          <w:highlight w:val="none"/>
          <w:lang w:val="en-US" w:eastAsia="zh-CN"/>
        </w:rPr>
        <w:t>8</w:t>
      </w:r>
      <w:r>
        <w:rPr>
          <w:rFonts w:hint="default" w:ascii="Times New Roman" w:hAnsi="Times New Roman" w:eastAsia="仿宋_GB2312" w:cs="Times New Roman"/>
          <w:color w:val="auto"/>
          <w:highlight w:val="none"/>
        </w:rPr>
        <w:t>月开工建设，</w:t>
      </w:r>
      <w:r>
        <w:rPr>
          <w:rFonts w:hint="default" w:ascii="Times New Roman" w:hAnsi="Times New Roman" w:eastAsia="仿宋_GB2312" w:cs="Times New Roman"/>
          <w:color w:val="auto"/>
          <w:highlight w:val="none"/>
          <w:lang w:eastAsia="zh-CN"/>
        </w:rPr>
        <w:t>计划</w:t>
      </w:r>
      <w:r>
        <w:rPr>
          <w:rFonts w:hint="default" w:ascii="Times New Roman" w:hAnsi="Times New Roman" w:eastAsia="仿宋_GB2312" w:cs="Times New Roman"/>
          <w:color w:val="auto"/>
          <w:highlight w:val="none"/>
        </w:rPr>
        <w:t>于202</w:t>
      </w:r>
      <w:r>
        <w:rPr>
          <w:rFonts w:hint="eastAsia" w:cs="Times New Roman"/>
          <w:color w:val="auto"/>
          <w:highlight w:val="none"/>
          <w:lang w:val="en-US" w:eastAsia="zh-CN"/>
        </w:rPr>
        <w:t>2</w:t>
      </w:r>
      <w:r>
        <w:rPr>
          <w:rFonts w:hint="default" w:ascii="Times New Roman" w:hAnsi="Times New Roman" w:eastAsia="仿宋_GB2312" w:cs="Times New Roman"/>
          <w:color w:val="auto"/>
          <w:highlight w:val="none"/>
        </w:rPr>
        <w:t>年</w:t>
      </w:r>
      <w:r>
        <w:rPr>
          <w:rFonts w:hint="eastAsia" w:cs="Times New Roman"/>
          <w:color w:val="auto"/>
          <w:highlight w:val="none"/>
          <w:lang w:val="en-US" w:eastAsia="zh-CN"/>
        </w:rPr>
        <w:t>6</w:t>
      </w:r>
      <w:r>
        <w:rPr>
          <w:rFonts w:hint="default" w:ascii="Times New Roman" w:hAnsi="Times New Roman" w:eastAsia="仿宋_GB2312" w:cs="Times New Roman"/>
          <w:color w:val="auto"/>
          <w:highlight w:val="none"/>
        </w:rPr>
        <w:t>月建设完成，总工期</w:t>
      </w:r>
      <w:r>
        <w:rPr>
          <w:rFonts w:hint="eastAsia" w:cs="Times New Roman"/>
          <w:color w:val="auto"/>
          <w:highlight w:val="none"/>
          <w:lang w:val="en-US" w:eastAsia="zh-CN"/>
        </w:rPr>
        <w:t>11</w:t>
      </w:r>
      <w:r>
        <w:rPr>
          <w:rFonts w:hint="default" w:ascii="Times New Roman" w:hAnsi="Times New Roman" w:eastAsia="仿宋_GB2312" w:cs="Times New Roman"/>
          <w:color w:val="auto"/>
          <w:highlight w:val="none"/>
        </w:rPr>
        <w:t>个月。根据主体工程建设及水土保持设施实施情况，确定本方案设计水平年为202</w:t>
      </w:r>
      <w:r>
        <w:rPr>
          <w:rFonts w:hint="eastAsia" w:cs="Times New Roman"/>
          <w:color w:val="auto"/>
          <w:highlight w:val="none"/>
          <w:lang w:val="en-US" w:eastAsia="zh-CN"/>
        </w:rPr>
        <w:t>3</w:t>
      </w:r>
      <w:r>
        <w:rPr>
          <w:rFonts w:hint="default" w:ascii="Times New Roman" w:hAnsi="Times New Roman" w:eastAsia="仿宋_GB2312" w:cs="Times New Roman"/>
          <w:color w:val="auto"/>
          <w:highlight w:val="none"/>
        </w:rPr>
        <w:t>年。</w:t>
      </w:r>
    </w:p>
    <w:p>
      <w:pPr>
        <w:pStyle w:val="66"/>
        <w:ind w:firstLine="148"/>
        <w:rPr>
          <w:rFonts w:hint="default" w:ascii="Times New Roman" w:hAnsi="Times New Roman" w:eastAsia="仿宋_GB2312" w:cs="Times New Roman"/>
          <w:color w:val="auto"/>
          <w:highlight w:val="none"/>
        </w:rPr>
      </w:pPr>
      <w:bookmarkStart w:id="52" w:name="_Toc28046"/>
      <w:r>
        <w:rPr>
          <w:rFonts w:hint="default" w:ascii="Times New Roman" w:hAnsi="Times New Roman" w:eastAsia="仿宋_GB2312" w:cs="Times New Roman"/>
          <w:color w:val="auto"/>
          <w:highlight w:val="none"/>
        </w:rPr>
        <w:t xml:space="preserve">1.4 </w:t>
      </w:r>
      <w:bookmarkEnd w:id="49"/>
      <w:bookmarkEnd w:id="50"/>
      <w:r>
        <w:rPr>
          <w:rFonts w:hint="default" w:ascii="Times New Roman" w:hAnsi="Times New Roman" w:eastAsia="仿宋_GB2312" w:cs="Times New Roman"/>
          <w:color w:val="auto"/>
          <w:highlight w:val="none"/>
        </w:rPr>
        <w:t>水土流失防治责任范围</w:t>
      </w:r>
      <w:bookmarkEnd w:id="52"/>
    </w:p>
    <w:p>
      <w:pPr>
        <w:pStyle w:val="55"/>
        <w:ind w:firstLine="480"/>
        <w:rPr>
          <w:rFonts w:hint="eastAsia" w:ascii="Times New Roman" w:hAnsi="Times New Roman" w:eastAsia="仿宋_GB2312" w:cs="Times New Roman"/>
          <w:color w:val="auto"/>
          <w:highlight w:val="none"/>
          <w:lang w:eastAsia="zh-CN"/>
        </w:rPr>
      </w:pPr>
      <w:bookmarkStart w:id="53" w:name="_Toc407014509"/>
      <w:bookmarkStart w:id="54" w:name="_Toc417412293"/>
      <w:r>
        <w:rPr>
          <w:rFonts w:hint="default" w:ascii="Times New Roman" w:hAnsi="Times New Roman" w:eastAsia="仿宋_GB2312" w:cs="Times New Roman"/>
          <w:color w:val="auto"/>
          <w:highlight w:val="none"/>
        </w:rPr>
        <w:t>根据《生产建设项目水土保持技术标准》（GB 50433-2018）中规定的“谁开发谁保护，谁造成水土流失谁负责治理”的原则，结合本项目的建设情况和施工特点，对各单项工程的水土流失特征进行综合分析，确定本项目水土流失防治责任范围。水土流失防治责任范围应包括项目永久征地、临时占地（含租赁土地）以及其他使用及管辖区域。本项目水土流失防治责任范围为</w:t>
      </w:r>
      <w:r>
        <w:rPr>
          <w:rFonts w:hint="eastAsia" w:cs="Times New Roman"/>
          <w:color w:val="auto"/>
          <w:highlight w:val="none"/>
          <w:lang w:val="en-US" w:eastAsia="zh-CN"/>
        </w:rPr>
        <w:t>0.45h</w:t>
      </w:r>
      <w:r>
        <w:rPr>
          <w:rFonts w:hint="default" w:ascii="Times New Roman" w:hAnsi="Times New Roman" w:eastAsia="仿宋_GB2312" w:cs="Times New Roman"/>
          <w:color w:val="auto"/>
          <w:highlight w:val="none"/>
        </w:rPr>
        <w:t>m²，其中项目建设</w:t>
      </w:r>
      <w:r>
        <w:rPr>
          <w:rFonts w:hint="eastAsia" w:cs="Times New Roman"/>
          <w:color w:val="auto"/>
          <w:highlight w:val="none"/>
          <w:lang w:eastAsia="zh-CN"/>
        </w:rPr>
        <w:t>红线内</w:t>
      </w:r>
      <w:r>
        <w:rPr>
          <w:rFonts w:hint="default" w:ascii="Times New Roman" w:hAnsi="Times New Roman" w:eastAsia="仿宋_GB2312" w:cs="Times New Roman"/>
          <w:color w:val="auto"/>
          <w:highlight w:val="none"/>
        </w:rPr>
        <w:t>面积</w:t>
      </w:r>
      <w:r>
        <w:rPr>
          <w:rFonts w:hint="eastAsia" w:cs="Times New Roman"/>
          <w:color w:val="auto"/>
          <w:highlight w:val="none"/>
          <w:lang w:val="en-US" w:eastAsia="zh-CN"/>
        </w:rPr>
        <w:t>0.40h</w:t>
      </w:r>
      <w:r>
        <w:rPr>
          <w:rFonts w:hint="default" w:ascii="Times New Roman" w:hAnsi="Times New Roman" w:eastAsia="仿宋_GB2312" w:cs="Times New Roman"/>
          <w:color w:val="auto"/>
          <w:highlight w:val="none"/>
        </w:rPr>
        <w:t>m²，红线外占地面积</w:t>
      </w:r>
      <w:r>
        <w:rPr>
          <w:rFonts w:hint="eastAsia" w:cs="Times New Roman"/>
          <w:color w:val="auto"/>
          <w:highlight w:val="none"/>
          <w:lang w:val="en-US" w:eastAsia="zh-CN"/>
        </w:rPr>
        <w:t>0.05h</w:t>
      </w:r>
      <w:r>
        <w:rPr>
          <w:rFonts w:hint="default" w:ascii="Times New Roman" w:hAnsi="Times New Roman" w:eastAsia="仿宋_GB2312" w:cs="Times New Roman"/>
          <w:color w:val="auto"/>
          <w:highlight w:val="none"/>
        </w:rPr>
        <w:t>m²。</w:t>
      </w:r>
      <w:r>
        <w:rPr>
          <w:rFonts w:hint="eastAsia" w:cs="Times New Roman"/>
          <w:color w:val="auto"/>
          <w:highlight w:val="none"/>
          <w:lang w:eastAsia="zh-CN"/>
        </w:rPr>
        <w:t>本项目行政区划属于新疆维吾尔自治区和田地区策勒县，责任主体为</w:t>
      </w:r>
      <w:r>
        <w:rPr>
          <w:rFonts w:hint="eastAsia" w:ascii="Times New Roman" w:hAnsi="Times New Roman" w:eastAsia="仿宋_GB2312" w:cs="Times New Roman"/>
          <w:color w:val="auto"/>
          <w:highlight w:val="none"/>
          <w:lang w:eastAsia="zh-CN"/>
        </w:rPr>
        <w:t>中国石化销售</w:t>
      </w:r>
      <w:r>
        <w:rPr>
          <w:rFonts w:hint="eastAsia" w:cs="Times New Roman"/>
          <w:color w:val="auto"/>
          <w:highlight w:val="none"/>
          <w:lang w:eastAsia="zh-CN"/>
        </w:rPr>
        <w:t>股份</w:t>
      </w:r>
      <w:r>
        <w:rPr>
          <w:rFonts w:hint="eastAsia" w:ascii="Times New Roman" w:hAnsi="Times New Roman" w:eastAsia="仿宋_GB2312" w:cs="Times New Roman"/>
          <w:color w:val="auto"/>
          <w:highlight w:val="none"/>
          <w:lang w:eastAsia="zh-CN"/>
        </w:rPr>
        <w:t>有限公司新疆和田石油分公司</w:t>
      </w:r>
      <w:r>
        <w:rPr>
          <w:rFonts w:hint="eastAsia" w:ascii="Times New Roman" w:hAnsi="Times New Roman" w:cs="Times New Roman"/>
          <w:color w:val="auto"/>
          <w:highlight w:val="none"/>
          <w:lang w:eastAsia="zh-CN"/>
        </w:rPr>
        <w:t>。</w:t>
      </w:r>
    </w:p>
    <w:p>
      <w:pPr>
        <w:pStyle w:val="66"/>
        <w:ind w:firstLine="148"/>
        <w:rPr>
          <w:rFonts w:hint="default" w:ascii="Times New Roman" w:hAnsi="Times New Roman" w:eastAsia="仿宋_GB2312" w:cs="Times New Roman"/>
          <w:color w:val="auto"/>
          <w:highlight w:val="none"/>
        </w:rPr>
      </w:pPr>
      <w:bookmarkStart w:id="55" w:name="_Toc6747"/>
      <w:r>
        <w:rPr>
          <w:rFonts w:hint="default" w:ascii="Times New Roman" w:hAnsi="Times New Roman" w:eastAsia="仿宋_GB2312" w:cs="Times New Roman"/>
          <w:color w:val="auto"/>
          <w:highlight w:val="none"/>
        </w:rPr>
        <w:t xml:space="preserve">1.5 </w:t>
      </w:r>
      <w:bookmarkEnd w:id="53"/>
      <w:bookmarkEnd w:id="54"/>
      <w:r>
        <w:rPr>
          <w:rFonts w:hint="default" w:ascii="Times New Roman" w:hAnsi="Times New Roman" w:eastAsia="仿宋_GB2312" w:cs="Times New Roman"/>
          <w:color w:val="auto"/>
          <w:highlight w:val="none"/>
        </w:rPr>
        <w:t>水土流失防治目标</w:t>
      </w:r>
      <w:bookmarkEnd w:id="55"/>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1.5.1 执行标准等级</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本项目属</w:t>
      </w:r>
      <w:r>
        <w:rPr>
          <w:rFonts w:hint="default" w:ascii="Times New Roman" w:hAnsi="Times New Roman" w:eastAsia="仿宋_GB2312" w:cs="Times New Roman"/>
          <w:color w:val="auto"/>
          <w:highlight w:val="none"/>
          <w:lang w:eastAsia="zh-CN"/>
        </w:rPr>
        <w:t>建设类</w:t>
      </w:r>
      <w:r>
        <w:rPr>
          <w:rFonts w:hint="default" w:ascii="Times New Roman" w:hAnsi="Times New Roman" w:eastAsia="仿宋_GB2312" w:cs="Times New Roman"/>
          <w:color w:val="auto"/>
          <w:highlight w:val="none"/>
        </w:rPr>
        <w:t>项目，位于新疆维吾尔自治区</w:t>
      </w:r>
      <w:r>
        <w:rPr>
          <w:rFonts w:hint="eastAsia" w:cs="Times New Roman"/>
          <w:color w:val="auto"/>
          <w:highlight w:val="none"/>
          <w:lang w:eastAsia="zh-CN"/>
        </w:rPr>
        <w:t>策勒县</w:t>
      </w:r>
      <w:r>
        <w:rPr>
          <w:rFonts w:hint="default" w:ascii="Times New Roman" w:hAnsi="Times New Roman" w:eastAsia="仿宋_GB2312" w:cs="Times New Roman"/>
          <w:color w:val="auto"/>
          <w:highlight w:val="none"/>
        </w:rPr>
        <w:t>城区，根据“水利部办公厅印发《全国水土保持规划国家级水士流失重点预防区和重点治理区复核划分成果》的通知）（办水保〔2013〕188号）及《新疆维吾尔自治区水利厅关于印发新疆自治区级水土流失重点预防区和重点治理区复核划分成果的通知》（新水水保〔2019〕4号），项目区属于</w:t>
      </w:r>
      <w:r>
        <w:rPr>
          <w:rFonts w:hint="eastAsia" w:cs="Times New Roman"/>
          <w:color w:val="auto"/>
          <w:highlight w:val="none"/>
          <w:lang w:eastAsia="zh-CN"/>
        </w:rPr>
        <w:t>塔里木河国家级水土流失重点预防区</w:t>
      </w:r>
      <w:r>
        <w:rPr>
          <w:rFonts w:hint="default" w:ascii="Times New Roman" w:hAnsi="Times New Roman" w:eastAsia="仿宋_GB2312" w:cs="Times New Roman"/>
          <w:color w:val="auto"/>
          <w:highlight w:val="none"/>
        </w:rPr>
        <w:t>。根据《生产建设项目水土流失防治标准》（GB/T 50434-2018）规定，本项目执行</w:t>
      </w:r>
      <w:r>
        <w:rPr>
          <w:rFonts w:hint="default" w:ascii="Times New Roman" w:hAnsi="Times New Roman" w:eastAsia="仿宋_GB2312" w:cs="Times New Roman"/>
          <w:color w:val="auto"/>
          <w:highlight w:val="none"/>
          <w:lang w:eastAsia="zh-CN"/>
        </w:rPr>
        <w:t>建设类</w:t>
      </w:r>
      <w:r>
        <w:rPr>
          <w:rFonts w:hint="default" w:ascii="Times New Roman" w:hAnsi="Times New Roman" w:eastAsia="仿宋_GB2312" w:cs="Times New Roman"/>
          <w:color w:val="auto"/>
          <w:highlight w:val="none"/>
        </w:rPr>
        <w:t>项目水土流失防治标准中的一级标准。</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本项目位于</w:t>
      </w:r>
      <w:r>
        <w:rPr>
          <w:rFonts w:hint="eastAsia" w:cs="Times New Roman"/>
          <w:color w:val="auto"/>
          <w:highlight w:val="none"/>
          <w:lang w:eastAsia="zh-CN"/>
        </w:rPr>
        <w:t>策勒县</w:t>
      </w:r>
      <w:r>
        <w:rPr>
          <w:rFonts w:hint="default" w:ascii="Times New Roman" w:hAnsi="Times New Roman" w:eastAsia="仿宋_GB2312" w:cs="Times New Roman"/>
          <w:color w:val="auto"/>
          <w:highlight w:val="none"/>
        </w:rPr>
        <w:t>，同时根据《</w:t>
      </w:r>
      <w:r>
        <w:rPr>
          <w:rFonts w:hint="eastAsia" w:cs="Times New Roman"/>
          <w:color w:val="auto"/>
          <w:highlight w:val="none"/>
          <w:lang w:eastAsia="zh-CN"/>
        </w:rPr>
        <w:t>全国水土保持区划</w:t>
      </w:r>
      <w:r>
        <w:rPr>
          <w:rFonts w:hint="default" w:ascii="Times New Roman" w:hAnsi="Times New Roman" w:eastAsia="仿宋_GB2312" w:cs="Times New Roman"/>
          <w:color w:val="auto"/>
          <w:highlight w:val="none"/>
        </w:rPr>
        <w:t>（试行）》，本项目所在区域均位于北方风沙区。因此本项目水土流失防治标准采取北方风沙区水土流失一级防治标准。</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1.5.2 防治目标</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以上分析，本项目水土流失防治标准采取北方风沙区水土流失一级防治标准。根据《生产建设项目水土流失防治标准》水土流失防治标准一级标准规定，当项目占地类型为耕地、园地时应剥离和保护表土，表土保护率根据实际情况确定。考虑本项目位于</w:t>
      </w:r>
      <w:r>
        <w:rPr>
          <w:rFonts w:hint="eastAsia" w:cs="Times New Roman"/>
          <w:color w:val="auto"/>
          <w:highlight w:val="none"/>
          <w:lang w:eastAsia="zh-CN"/>
        </w:rPr>
        <w:t>策勒县</w:t>
      </w:r>
      <w:r>
        <w:rPr>
          <w:rFonts w:hint="default" w:ascii="Times New Roman" w:hAnsi="Times New Roman" w:eastAsia="仿宋_GB2312" w:cs="Times New Roman"/>
          <w:color w:val="auto"/>
          <w:highlight w:val="none"/>
        </w:rPr>
        <w:t>，占地类型为荒漠草地，同时通过现场踏勘分析，项目占地范围内植被稀疏，腐殖质土层</w:t>
      </w:r>
      <w:r>
        <w:rPr>
          <w:rFonts w:hint="eastAsia" w:cs="Times New Roman"/>
          <w:color w:val="auto"/>
          <w:highlight w:val="none"/>
          <w:lang w:eastAsia="zh-CN"/>
        </w:rPr>
        <w:t>较薄</w:t>
      </w:r>
      <w:r>
        <w:rPr>
          <w:rFonts w:hint="default" w:ascii="Times New Roman" w:hAnsi="Times New Roman" w:eastAsia="仿宋_GB2312" w:cs="Times New Roman"/>
          <w:color w:val="auto"/>
          <w:highlight w:val="none"/>
        </w:rPr>
        <w:t>，因此表土保护率不做要求。</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土流失治理度（%）、林草植被恢复率（%）和林草覆盖率（%）的数值可根据干旱程度进行调整；土壤流失控制比是以现状土壤侵蚀强度属中度侵蚀为主的区域为基准制定的。结合本工程的特点和工程所在区域的自然环境状况，对本水土保持方案的计划和实施的6项防治标准做出适当修正，作为本项目的防治标准，用以指导方案编制时的防治措施布局，同时作为工程水土保持验收的指针。各区域经过修正后具体目标如下：水土流失治理度85%、土壤流失控制比1.0，林草植被恢复率</w:t>
      </w:r>
      <w:r>
        <w:rPr>
          <w:rFonts w:hint="eastAsia" w:cs="Times New Roman"/>
          <w:color w:val="auto"/>
          <w:highlight w:val="none"/>
          <w:lang w:val="en-US" w:eastAsia="zh-CN"/>
        </w:rPr>
        <w:t>93</w:t>
      </w:r>
      <w:r>
        <w:rPr>
          <w:rFonts w:hint="eastAsia" w:cs="Times New Roman"/>
          <w:color w:val="auto"/>
          <w:highlight w:val="none"/>
          <w:lang w:eastAsia="zh-CN"/>
        </w:rPr>
        <w:t>%</w:t>
      </w:r>
      <w:r>
        <w:rPr>
          <w:rFonts w:hint="default" w:ascii="Times New Roman" w:hAnsi="Times New Roman" w:eastAsia="仿宋_GB2312" w:cs="Times New Roman"/>
          <w:color w:val="auto"/>
          <w:highlight w:val="none"/>
        </w:rPr>
        <w:t>、林草覆盖率20%，渣土防护率</w:t>
      </w:r>
      <w:r>
        <w:rPr>
          <w:rFonts w:hint="eastAsia" w:cs="Times New Roman"/>
          <w:color w:val="auto"/>
          <w:highlight w:val="none"/>
          <w:lang w:eastAsia="zh-CN"/>
        </w:rPr>
        <w:t>8</w:t>
      </w:r>
      <w:r>
        <w:rPr>
          <w:rFonts w:hint="eastAsia" w:cs="Times New Roman"/>
          <w:color w:val="auto"/>
          <w:highlight w:val="none"/>
          <w:lang w:val="en-US" w:eastAsia="zh-CN"/>
        </w:rPr>
        <w:t>9</w:t>
      </w:r>
      <w:r>
        <w:rPr>
          <w:rFonts w:hint="eastAsia" w:cs="Times New Roman"/>
          <w:color w:val="auto"/>
          <w:highlight w:val="none"/>
          <w:lang w:eastAsia="zh-CN"/>
        </w:rPr>
        <w:t>%</w:t>
      </w:r>
      <w:r>
        <w:rPr>
          <w:rFonts w:hint="default" w:ascii="Times New Roman" w:hAnsi="Times New Roman" w:eastAsia="仿宋_GB2312" w:cs="Times New Roman"/>
          <w:color w:val="auto"/>
          <w:highlight w:val="none"/>
        </w:rPr>
        <w:t>，表土保护率不做要求。经调整后的防治目标详见表1.5-1。</w:t>
      </w: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表1.5-1本项目水土流失调整后防治目标值</w:t>
      </w:r>
    </w:p>
    <w:tbl>
      <w:tblPr>
        <w:tblStyle w:val="25"/>
        <w:tblW w:w="91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56"/>
        <w:gridCol w:w="682"/>
        <w:gridCol w:w="850"/>
        <w:gridCol w:w="679"/>
        <w:gridCol w:w="991"/>
        <w:gridCol w:w="1171"/>
        <w:gridCol w:w="980"/>
        <w:gridCol w:w="705"/>
        <w:gridCol w:w="96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156" w:type="dxa"/>
            <w:vMerge w:val="restart"/>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六项指标</w:t>
            </w:r>
          </w:p>
        </w:tc>
        <w:tc>
          <w:tcPr>
            <w:tcW w:w="1532" w:type="dxa"/>
            <w:gridSpan w:val="2"/>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一级标准</w:t>
            </w:r>
          </w:p>
        </w:tc>
        <w:tc>
          <w:tcPr>
            <w:tcW w:w="1670" w:type="dxa"/>
            <w:gridSpan w:val="2"/>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按干旱程度修正</w:t>
            </w:r>
          </w:p>
        </w:tc>
        <w:tc>
          <w:tcPr>
            <w:tcW w:w="2151" w:type="dxa"/>
            <w:gridSpan w:val="2"/>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按土壤侵蚀强度修正</w:t>
            </w:r>
          </w:p>
        </w:tc>
        <w:tc>
          <w:tcPr>
            <w:tcW w:w="1671" w:type="dxa"/>
            <w:gridSpan w:val="2"/>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本项目采用标准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5" w:hRule="exact"/>
          <w:jc w:val="center"/>
        </w:trPr>
        <w:tc>
          <w:tcPr>
            <w:tcW w:w="2156" w:type="dxa"/>
            <w:vMerge w:val="continue"/>
            <w:vAlign w:val="center"/>
          </w:tcPr>
          <w:p>
            <w:pPr>
              <w:pStyle w:val="84"/>
              <w:rPr>
                <w:rFonts w:hint="default" w:ascii="Times New Roman" w:hAnsi="Times New Roman" w:eastAsia="仿宋_GB2312" w:cs="Times New Roman"/>
                <w:color w:val="auto"/>
                <w:highlight w:val="none"/>
              </w:rPr>
            </w:pPr>
          </w:p>
        </w:tc>
        <w:tc>
          <w:tcPr>
            <w:tcW w:w="682"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施工期</w:t>
            </w:r>
          </w:p>
        </w:tc>
        <w:tc>
          <w:tcPr>
            <w:tcW w:w="850"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设计水平年</w:t>
            </w:r>
          </w:p>
        </w:tc>
        <w:tc>
          <w:tcPr>
            <w:tcW w:w="679"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施工期</w:t>
            </w:r>
          </w:p>
        </w:tc>
        <w:tc>
          <w:tcPr>
            <w:tcW w:w="991"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设计水平年</w:t>
            </w:r>
          </w:p>
        </w:tc>
        <w:tc>
          <w:tcPr>
            <w:tcW w:w="1171"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施工期</w:t>
            </w:r>
          </w:p>
        </w:tc>
        <w:tc>
          <w:tcPr>
            <w:tcW w:w="980"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设计水平年</w:t>
            </w:r>
          </w:p>
        </w:tc>
        <w:tc>
          <w:tcPr>
            <w:tcW w:w="705"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施工期</w:t>
            </w:r>
          </w:p>
        </w:tc>
        <w:tc>
          <w:tcPr>
            <w:tcW w:w="966"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设计水平年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156"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水土流失治理（%）</w:t>
            </w:r>
          </w:p>
        </w:tc>
        <w:tc>
          <w:tcPr>
            <w:tcW w:w="682"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p>
        </w:tc>
        <w:tc>
          <w:tcPr>
            <w:tcW w:w="850"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85 </w:t>
            </w:r>
          </w:p>
        </w:tc>
        <w:tc>
          <w:tcPr>
            <w:tcW w:w="679"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991"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1171"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980"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705"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p>
        </w:tc>
        <w:tc>
          <w:tcPr>
            <w:tcW w:w="966"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85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156"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土壤流失控制比</w:t>
            </w:r>
          </w:p>
        </w:tc>
        <w:tc>
          <w:tcPr>
            <w:tcW w:w="682"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p>
        </w:tc>
        <w:tc>
          <w:tcPr>
            <w:tcW w:w="850"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0.80 </w:t>
            </w:r>
          </w:p>
        </w:tc>
        <w:tc>
          <w:tcPr>
            <w:tcW w:w="679"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991"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1171"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980"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+0.20 </w:t>
            </w:r>
          </w:p>
        </w:tc>
        <w:tc>
          <w:tcPr>
            <w:tcW w:w="705"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p>
        </w:tc>
        <w:tc>
          <w:tcPr>
            <w:tcW w:w="966"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1.00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156" w:type="dxa"/>
            <w:shd w:val="clear" w:color="auto" w:fill="auto"/>
            <w:vAlign w:val="center"/>
          </w:tcPr>
          <w:p>
            <w:pPr>
              <w:pStyle w:val="84"/>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渣土防护率（%）</w:t>
            </w:r>
          </w:p>
        </w:tc>
        <w:tc>
          <w:tcPr>
            <w:tcW w:w="682"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85 </w:t>
            </w:r>
          </w:p>
        </w:tc>
        <w:tc>
          <w:tcPr>
            <w:tcW w:w="850"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87 </w:t>
            </w:r>
          </w:p>
        </w:tc>
        <w:tc>
          <w:tcPr>
            <w:tcW w:w="679"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991"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1171"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980" w:type="dxa"/>
            <w:shd w:val="clear" w:color="auto" w:fill="auto"/>
            <w:vAlign w:val="center"/>
          </w:tcPr>
          <w:p>
            <w:pPr>
              <w:pStyle w:val="84"/>
              <w:rPr>
                <w:rFonts w:hint="default" w:ascii="Times New Roman" w:hAnsi="Times New Roman" w:eastAsia="仿宋_GB2312" w:cs="Times New Roman"/>
                <w:color w:val="auto"/>
                <w:highlight w:val="none"/>
              </w:rPr>
            </w:pPr>
            <w:r>
              <w:rPr>
                <w:rFonts w:hint="eastAsia" w:cs="Times New Roman"/>
                <w:color w:val="auto"/>
                <w:highlight w:val="none"/>
                <w:lang w:val="en-US" w:eastAsia="zh-CN"/>
              </w:rPr>
              <w:t>+2</w:t>
            </w:r>
            <w:r>
              <w:rPr>
                <w:rFonts w:hint="default" w:ascii="Times New Roman" w:hAnsi="Times New Roman" w:eastAsia="仿宋_GB2312" w:cs="Times New Roman"/>
                <w:color w:val="auto"/>
                <w:highlight w:val="none"/>
              </w:rPr>
              <w:t>　</w:t>
            </w:r>
          </w:p>
        </w:tc>
        <w:tc>
          <w:tcPr>
            <w:tcW w:w="705"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85 </w:t>
            </w:r>
          </w:p>
        </w:tc>
        <w:tc>
          <w:tcPr>
            <w:tcW w:w="966"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w:t>
            </w:r>
            <w:r>
              <w:rPr>
                <w:rFonts w:hint="eastAsia" w:cs="Times New Roman"/>
                <w:color w:val="auto"/>
                <w:highlight w:val="none"/>
                <w:lang w:val="en-US" w:eastAsia="zh-CN"/>
              </w:rPr>
              <w:t>9</w:t>
            </w:r>
            <w:r>
              <w:rPr>
                <w:rFonts w:hint="default" w:ascii="Times New Roman" w:hAnsi="Times New Roman" w:eastAsia="仿宋_GB2312" w:cs="Times New Roman"/>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156" w:type="dxa"/>
            <w:shd w:val="clear" w:color="auto" w:fill="auto"/>
            <w:vAlign w:val="center"/>
          </w:tcPr>
          <w:p>
            <w:pPr>
              <w:pStyle w:val="84"/>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表土保护率（%）</w:t>
            </w:r>
          </w:p>
        </w:tc>
        <w:tc>
          <w:tcPr>
            <w:tcW w:w="682"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p>
        </w:tc>
        <w:tc>
          <w:tcPr>
            <w:tcW w:w="850"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p>
        </w:tc>
        <w:tc>
          <w:tcPr>
            <w:tcW w:w="679"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991"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1171"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980"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705"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p>
        </w:tc>
        <w:tc>
          <w:tcPr>
            <w:tcW w:w="966"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156" w:type="dxa"/>
            <w:shd w:val="clear" w:color="auto" w:fill="auto"/>
            <w:vAlign w:val="center"/>
          </w:tcPr>
          <w:p>
            <w:pPr>
              <w:pStyle w:val="84"/>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林草植被恢复率（%）</w:t>
            </w:r>
          </w:p>
        </w:tc>
        <w:tc>
          <w:tcPr>
            <w:tcW w:w="682"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p>
        </w:tc>
        <w:tc>
          <w:tcPr>
            <w:tcW w:w="850"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93 </w:t>
            </w:r>
          </w:p>
        </w:tc>
        <w:tc>
          <w:tcPr>
            <w:tcW w:w="679"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991"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1171"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980"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705"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p>
        </w:tc>
        <w:tc>
          <w:tcPr>
            <w:tcW w:w="966" w:type="dxa"/>
            <w:shd w:val="clear" w:color="auto" w:fill="auto"/>
            <w:vAlign w:val="center"/>
          </w:tcPr>
          <w:p>
            <w:pPr>
              <w:pStyle w:val="84"/>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93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2156" w:type="dxa"/>
            <w:shd w:val="clear" w:color="auto" w:fill="auto"/>
            <w:vAlign w:val="center"/>
          </w:tcPr>
          <w:p>
            <w:pPr>
              <w:pStyle w:val="84"/>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林草覆盖率（%）</w:t>
            </w:r>
          </w:p>
        </w:tc>
        <w:tc>
          <w:tcPr>
            <w:tcW w:w="682"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p>
        </w:tc>
        <w:tc>
          <w:tcPr>
            <w:tcW w:w="850"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20</w:t>
            </w:r>
          </w:p>
        </w:tc>
        <w:tc>
          <w:tcPr>
            <w:tcW w:w="679"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991" w:type="dxa"/>
            <w:shd w:val="clear" w:color="auto" w:fill="auto"/>
            <w:vAlign w:val="center"/>
          </w:tcPr>
          <w:p>
            <w:pPr>
              <w:pStyle w:val="84"/>
              <w:rPr>
                <w:rFonts w:hint="default" w:ascii="Times New Roman" w:hAnsi="Times New Roman" w:eastAsia="仿宋_GB2312" w:cs="Times New Roman"/>
                <w:color w:val="auto"/>
                <w:highlight w:val="none"/>
              </w:rPr>
            </w:pPr>
          </w:p>
        </w:tc>
        <w:tc>
          <w:tcPr>
            <w:tcW w:w="1171"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980"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w:t>
            </w:r>
          </w:p>
        </w:tc>
        <w:tc>
          <w:tcPr>
            <w:tcW w:w="705"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p>
        </w:tc>
        <w:tc>
          <w:tcPr>
            <w:tcW w:w="966"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20 </w:t>
            </w:r>
          </w:p>
        </w:tc>
      </w:tr>
    </w:tbl>
    <w:p>
      <w:pPr>
        <w:pStyle w:val="66"/>
        <w:ind w:firstLine="148"/>
        <w:rPr>
          <w:rFonts w:hint="default" w:ascii="Times New Roman" w:hAnsi="Times New Roman" w:eastAsia="仿宋_GB2312" w:cs="Times New Roman"/>
          <w:color w:val="auto"/>
          <w:highlight w:val="none"/>
        </w:rPr>
      </w:pPr>
      <w:bookmarkStart w:id="56" w:name="_Toc417412294"/>
      <w:bookmarkStart w:id="57" w:name="_Toc407014510"/>
      <w:bookmarkStart w:id="58" w:name="_Toc2589"/>
      <w:r>
        <w:rPr>
          <w:rFonts w:hint="default" w:ascii="Times New Roman" w:hAnsi="Times New Roman" w:eastAsia="仿宋_GB2312" w:cs="Times New Roman"/>
          <w:color w:val="auto"/>
          <w:highlight w:val="none"/>
        </w:rPr>
        <w:t xml:space="preserve">1.6 </w:t>
      </w:r>
      <w:bookmarkEnd w:id="56"/>
      <w:bookmarkEnd w:id="57"/>
      <w:r>
        <w:rPr>
          <w:rFonts w:hint="default" w:ascii="Times New Roman" w:hAnsi="Times New Roman" w:eastAsia="仿宋_GB2312" w:cs="Times New Roman"/>
          <w:color w:val="auto"/>
          <w:highlight w:val="none"/>
        </w:rPr>
        <w:t>项目水土保持评价结论</w:t>
      </w:r>
      <w:bookmarkEnd w:id="58"/>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1.6.1 主体工程选址（线）评价</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本工程属于新建项目，按《中华人民共和国水土保持法》相关规定，</w:t>
      </w:r>
      <w:r>
        <w:rPr>
          <w:rFonts w:hint="eastAsia" w:cs="Times New Roman"/>
          <w:color w:val="auto"/>
          <w:highlight w:val="none"/>
          <w:lang w:eastAsia="zh-CN"/>
        </w:rPr>
        <w:t>根据</w:t>
      </w:r>
      <w:r>
        <w:rPr>
          <w:rFonts w:hint="default" w:ascii="Times New Roman" w:hAnsi="Times New Roman" w:eastAsia="仿宋_GB2312" w:cs="Times New Roman"/>
          <w:color w:val="auto"/>
          <w:highlight w:val="none"/>
        </w:rPr>
        <w:t>《生产建设项目水土保持技术标准》（GB50433-2018）3.2.1及4.3.12节规定进行逐条分析，本项目建设没有水土保持限制性因素。</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1.6.2 建设方案与布局评价</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（1）本项目位于</w:t>
      </w:r>
      <w:r>
        <w:rPr>
          <w:rFonts w:hint="eastAsia" w:cs="Times New Roman"/>
          <w:color w:val="auto"/>
          <w:highlight w:val="none"/>
          <w:lang w:eastAsia="zh-CN"/>
        </w:rPr>
        <w:t>策勒县</w:t>
      </w:r>
      <w:r>
        <w:rPr>
          <w:rFonts w:hint="default" w:ascii="Times New Roman" w:hAnsi="Times New Roman" w:eastAsia="仿宋_GB2312" w:cs="Times New Roman"/>
          <w:color w:val="auto"/>
          <w:highlight w:val="none"/>
        </w:rPr>
        <w:t>，项目区沿现有</w:t>
      </w:r>
      <w:r>
        <w:rPr>
          <w:rFonts w:hint="eastAsia" w:cs="Times New Roman"/>
          <w:color w:val="auto"/>
          <w:highlight w:val="none"/>
          <w:lang w:eastAsia="zh-CN"/>
        </w:rPr>
        <w:t>园区道路</w:t>
      </w:r>
      <w:r>
        <w:rPr>
          <w:rFonts w:hint="default" w:ascii="Times New Roman" w:hAnsi="Times New Roman" w:eastAsia="仿宋_GB2312" w:cs="Times New Roman"/>
          <w:color w:val="auto"/>
          <w:highlight w:val="none"/>
        </w:rPr>
        <w:t>铺设，施工期间可直接利用周边现有道路作为施工道路，施工临时道路可利用主体工程设计的加油站车辆进出口道路；同时施工期间站内建设最大程度布设在站区内，最大程度的不扰动项目区以外的区域。本工程属点状开发建设项目，土方挖方较小，项目区属于平坡式的布置方式。加油站整个场地分为建筑物区</w:t>
      </w:r>
      <w:r>
        <w:rPr>
          <w:rFonts w:hint="eastAsia" w:cs="Times New Roman"/>
          <w:color w:val="auto"/>
          <w:highlight w:val="none"/>
          <w:lang w:eastAsia="zh-CN"/>
        </w:rPr>
        <w:t>，管线工程区，道路及硬化区，施工生产生活区</w:t>
      </w:r>
      <w:r>
        <w:rPr>
          <w:rFonts w:hint="default" w:ascii="Times New Roman" w:hAnsi="Times New Roman" w:eastAsia="仿宋_GB2312" w:cs="Times New Roman"/>
          <w:color w:val="auto"/>
          <w:highlight w:val="none"/>
        </w:rPr>
        <w:t>。</w:t>
      </w:r>
      <w:r>
        <w:rPr>
          <w:rFonts w:hint="eastAsia" w:cs="Times New Roman"/>
          <w:color w:val="auto"/>
          <w:highlight w:val="none"/>
          <w:lang w:eastAsia="zh-CN"/>
        </w:rPr>
        <w:t>建筑物区又分为站房区，加油区，油罐区以及绿化区。</w:t>
      </w:r>
      <w:r>
        <w:rPr>
          <w:rFonts w:hint="default" w:ascii="Times New Roman" w:hAnsi="Times New Roman" w:eastAsia="仿宋_GB2312" w:cs="Times New Roman"/>
          <w:color w:val="auto"/>
          <w:highlight w:val="none"/>
        </w:rPr>
        <w:t>站房布置于站区的</w:t>
      </w:r>
      <w:r>
        <w:rPr>
          <w:rFonts w:hint="eastAsia" w:cs="Times New Roman"/>
          <w:color w:val="auto"/>
          <w:highlight w:val="none"/>
          <w:lang w:eastAsia="zh-CN"/>
        </w:rPr>
        <w:t>南</w:t>
      </w:r>
      <w:r>
        <w:rPr>
          <w:rFonts w:hint="default" w:ascii="Times New Roman" w:hAnsi="Times New Roman" w:eastAsia="仿宋_GB2312" w:cs="Times New Roman"/>
          <w:color w:val="auto"/>
          <w:highlight w:val="none"/>
        </w:rPr>
        <w:t>侧，分为办公室、营业室、发电机间、配电室等；加油罩棚位于站区</w:t>
      </w:r>
      <w:r>
        <w:rPr>
          <w:rFonts w:hint="eastAsia" w:cs="Times New Roman"/>
          <w:color w:val="auto"/>
          <w:highlight w:val="none"/>
          <w:lang w:eastAsia="zh-CN"/>
        </w:rPr>
        <w:t>中部</w:t>
      </w:r>
      <w:r>
        <w:rPr>
          <w:rFonts w:hint="default" w:ascii="Times New Roman" w:hAnsi="Times New Roman" w:eastAsia="仿宋_GB2312" w:cs="Times New Roman"/>
          <w:color w:val="auto"/>
          <w:highlight w:val="none"/>
        </w:rPr>
        <w:t>，罩棚下布置4台加油机；油罐位于战区中</w:t>
      </w:r>
      <w:r>
        <w:rPr>
          <w:rFonts w:hint="eastAsia" w:cs="Times New Roman"/>
          <w:color w:val="auto"/>
          <w:highlight w:val="none"/>
          <w:lang w:eastAsia="zh-CN"/>
        </w:rPr>
        <w:t>东</w:t>
      </w:r>
      <w:r>
        <w:rPr>
          <w:rFonts w:hint="default" w:ascii="Times New Roman" w:hAnsi="Times New Roman" w:eastAsia="仿宋_GB2312" w:cs="Times New Roman"/>
          <w:color w:val="auto"/>
          <w:highlight w:val="none"/>
        </w:rPr>
        <w:t>部，埋设4座埋地油罐。站区绿化区域位于站区南北侧及</w:t>
      </w:r>
      <w:r>
        <w:rPr>
          <w:rFonts w:hint="eastAsia" w:cs="Times New Roman"/>
          <w:color w:val="auto"/>
          <w:highlight w:val="none"/>
          <w:lang w:eastAsia="zh-CN"/>
        </w:rPr>
        <w:t>西</w:t>
      </w:r>
      <w:r>
        <w:rPr>
          <w:rFonts w:hint="default" w:ascii="Times New Roman" w:hAnsi="Times New Roman" w:eastAsia="仿宋_GB2312" w:cs="Times New Roman"/>
          <w:color w:val="auto"/>
          <w:highlight w:val="none"/>
        </w:rPr>
        <w:t>侧。站区布置紧凑，方便管理，周边交通便利，车辆进出顺畅。项目区工程占地、施工总体布局、施工组织、施工工艺和方法等的选择合理，不仅有利于经济、高效和施工方便，而且有利于开挖工程量，减少施工扰动原地貌和植被面积，减轻人为水土流失。综上所述，项目区整体布局紧凑，各构筑物布置合理，建设期间最大程度利用周边现有设施，有利于水土保持，主体工程符合《生产建设项目水土保持技术标准》(GB-50433-2018)中规定的工程选址、建设方案及布局要求。</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从占地类型、面积和占地性质分析认为：主体工程设计布局较为合理，工程占地面积基本合理，没有乱占乱挖土地和随意破坏地表植被等不合理占地情况，符合水土保持要求。工程建设占用荒漠草地，扰动后施工结束后，裸露地表均硬化及绿化处理，不会对当地居民的生产</w:t>
      </w:r>
      <w:r>
        <w:rPr>
          <w:rFonts w:hint="eastAsia" w:cs="Times New Roman"/>
          <w:color w:val="auto"/>
          <w:highlight w:val="none"/>
          <w:lang w:val="en-US" w:eastAsia="zh-CN"/>
        </w:rPr>
        <w:t xml:space="preserve"> </w:t>
      </w:r>
      <w:r>
        <w:rPr>
          <w:rFonts w:hint="default" w:ascii="Times New Roman" w:hAnsi="Times New Roman" w:eastAsia="仿宋_GB2312" w:cs="Times New Roman"/>
          <w:color w:val="auto"/>
          <w:highlight w:val="none"/>
        </w:rPr>
        <w:t>生活造成明显影响，也不会对当地的生态环境和自然植被造成明显破坏。符合水土保持要求。</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（3）根据主体资料，本工程总挖方</w:t>
      </w:r>
      <w:r>
        <w:rPr>
          <w:rFonts w:hint="eastAsia" w:cs="Times New Roman"/>
          <w:color w:val="auto"/>
          <w:highlight w:val="none"/>
          <w:lang w:val="en-US" w:eastAsia="zh-CN"/>
        </w:rPr>
        <w:t>0.14万</w:t>
      </w:r>
      <w:r>
        <w:rPr>
          <w:rFonts w:hint="default" w:ascii="Times New Roman" w:hAnsi="Times New Roman" w:eastAsia="仿宋_GB2312" w:cs="Times New Roman"/>
          <w:color w:val="auto"/>
          <w:highlight w:val="none"/>
        </w:rPr>
        <w:t>m³，填方</w:t>
      </w:r>
      <w:r>
        <w:rPr>
          <w:rFonts w:hint="eastAsia" w:cs="Times New Roman"/>
          <w:color w:val="auto"/>
          <w:highlight w:val="none"/>
          <w:lang w:val="en-US" w:eastAsia="zh-CN"/>
        </w:rPr>
        <w:t>0.14万</w:t>
      </w:r>
      <w:r>
        <w:rPr>
          <w:rFonts w:hint="default" w:ascii="Times New Roman" w:hAnsi="Times New Roman" w:eastAsia="仿宋_GB2312" w:cs="Times New Roman"/>
          <w:color w:val="auto"/>
          <w:highlight w:val="none"/>
        </w:rPr>
        <w:t>m³，无借方，无弃方。涉及土方主要为建筑物基础、管沟开挖回填。各构筑物基础开挖土方临时堆置在开挖基础周边，后期回填利用。管沟开挖土方临时堆置在管沟开挖一侧，后期管线铺设完成后回填利用。同时为减少工程建设产生的土石方，主体最优布设相应的管线，最大程度减少工程重复扰动以及减少土石方开挖量。综上所述，本项目土石方来源及去向明确，土石方利用和调配合理、有序；土石方组成符合要求，运距合理。</w:t>
      </w:r>
      <w:r>
        <w:rPr>
          <w:rFonts w:hint="default" w:ascii="Times New Roman" w:hAnsi="Times New Roman" w:eastAsia="仿宋_GB2312" w:cs="Times New Roman"/>
          <w:bCs/>
          <w:color w:val="auto"/>
          <w:highlight w:val="none"/>
        </w:rPr>
        <w:t>工程开挖土方全部得到了合理处置，满足水土保持的要求。</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本项目建设所需的混凝土砂砾石拌合料从当地商品料场购买，其水土保持责任由砂砾石料厂承担，不设置专用料场。本工程建设期间挖方均用于后期回填，无永久弃方，因此无永久弃渣场。但本项目涉及土方主要为各构筑物基础开挖土方以及管沟开挖土方，在施工完成后均回填利用，因此该部分土石方均需要临时堆置。经分析确定，主体未设置永久弃渣场，工程涉及土石方均综合利用，有利于水土保持；同时施工期间产生的临时堆土均有序堆置，未乱堆乱弃，且后期均综合利用，有利于水土保持。</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根据施工程序和施工进度安排，结合本工程地形条件、以及施工需要，主体考虑施工生产生活区布设于永久占地范围内，回填土方均利用开挖土方，避免了较多的外借土方，间接的减少了地表扰动面积，并且工程建设回填利用的土方有序临时堆置，采取防护措施，避免的弃土乱堆乱发，符合水土保持的要求。</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本项目管线及各构筑物和设备基础均采用施工机械开挖，部分区域采取人工开挖，主体工程施工组织合理，施工方法、工艺与时序可以有效减少开挖土方的堆放时间，采取了有效的防护措施，有利于防治水土流失，符合水土保持要求，但在施工过程中应加强临时防护。综上所述，各区均为常规施工，施工机械化程度高，施工速度快，施工布置合理，施工时序有利于项目水土流失的防治，能够进一步减少施工过程中的水土流失，使项目施工组织符合水土保持要求。</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（7）根据主体工程资料，为保证本项目施工的安全，主体工程设计了绿化区的</w:t>
      </w:r>
      <w:r>
        <w:rPr>
          <w:rFonts w:hint="eastAsia" w:cs="Times New Roman"/>
          <w:color w:val="auto"/>
          <w:highlight w:val="none"/>
          <w:lang w:eastAsia="zh-CN"/>
        </w:rPr>
        <w:t>全面整地和</w:t>
      </w:r>
      <w:r>
        <w:rPr>
          <w:rFonts w:hint="default" w:ascii="Times New Roman" w:hAnsi="Times New Roman" w:eastAsia="仿宋_GB2312" w:cs="Times New Roman"/>
          <w:color w:val="auto"/>
          <w:highlight w:val="none"/>
        </w:rPr>
        <w:t>撒播草籽，</w:t>
      </w:r>
      <w:r>
        <w:rPr>
          <w:rFonts w:hint="eastAsia" w:cs="Times New Roman"/>
          <w:color w:val="auto"/>
          <w:highlight w:val="none"/>
          <w:lang w:eastAsia="zh-CN"/>
        </w:rPr>
        <w:t>施工生产生活区</w:t>
      </w:r>
      <w:r>
        <w:rPr>
          <w:rFonts w:hint="default" w:ascii="Times New Roman" w:hAnsi="Times New Roman" w:eastAsia="仿宋_GB2312" w:cs="Times New Roman"/>
          <w:color w:val="auto"/>
          <w:highlight w:val="none"/>
        </w:rPr>
        <w:t>及</w:t>
      </w:r>
      <w:r>
        <w:rPr>
          <w:rFonts w:hint="eastAsia" w:cs="Times New Roman"/>
          <w:color w:val="auto"/>
          <w:highlight w:val="none"/>
          <w:lang w:eastAsia="zh-CN"/>
        </w:rPr>
        <w:t>进站道路区</w:t>
      </w:r>
      <w:r>
        <w:rPr>
          <w:rFonts w:hint="default" w:ascii="Times New Roman" w:hAnsi="Times New Roman" w:eastAsia="仿宋_GB2312" w:cs="Times New Roman"/>
          <w:color w:val="auto"/>
          <w:highlight w:val="none"/>
        </w:rPr>
        <w:t>的</w:t>
      </w:r>
      <w:r>
        <w:rPr>
          <w:rFonts w:hint="eastAsia" w:cs="Times New Roman"/>
          <w:color w:val="auto"/>
          <w:highlight w:val="none"/>
          <w:lang w:eastAsia="zh-CN"/>
        </w:rPr>
        <w:t>土地平整</w:t>
      </w:r>
      <w:r>
        <w:rPr>
          <w:rFonts w:hint="default" w:ascii="Times New Roman" w:hAnsi="Times New Roman" w:eastAsia="仿宋_GB2312" w:cs="Times New Roman"/>
          <w:color w:val="auto"/>
          <w:highlight w:val="none"/>
        </w:rPr>
        <w:t>，对工程建设施工期间及后期能够形成了一定的防护系统。通过从水土保持角度及预防和保护项目区生态环境、全面治理因项目建设引起的水土流失的角度看，主体工程设计的具有水土保持功能的措施有效的减轻了工程施工后期过程中的水土流失，可有效地治理工程建设产生的水土流失。</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从水土保持的角度分析，本项目不存在限制性因素，主体选址、设计、占地、土石方、施工组织、施工方法与工艺合理，项目建设可行。</w:t>
      </w:r>
    </w:p>
    <w:p>
      <w:pPr>
        <w:pStyle w:val="66"/>
        <w:ind w:firstLine="148"/>
        <w:rPr>
          <w:rFonts w:hint="default" w:ascii="Times New Roman" w:hAnsi="Times New Roman" w:eastAsia="仿宋_GB2312" w:cs="Times New Roman"/>
          <w:color w:val="auto"/>
          <w:highlight w:val="none"/>
        </w:rPr>
      </w:pPr>
      <w:bookmarkStart w:id="59" w:name="_Toc417412295"/>
      <w:bookmarkStart w:id="60" w:name="_Toc30157"/>
      <w:r>
        <w:rPr>
          <w:rFonts w:hint="default" w:ascii="Times New Roman" w:hAnsi="Times New Roman" w:eastAsia="仿宋_GB2312" w:cs="Times New Roman"/>
          <w:color w:val="auto"/>
          <w:highlight w:val="none"/>
        </w:rPr>
        <w:t xml:space="preserve">1.7 </w:t>
      </w:r>
      <w:bookmarkEnd w:id="59"/>
      <w:r>
        <w:rPr>
          <w:rFonts w:hint="default" w:ascii="Times New Roman" w:hAnsi="Times New Roman" w:eastAsia="仿宋_GB2312" w:cs="Times New Roman"/>
          <w:color w:val="auto"/>
          <w:highlight w:val="none"/>
        </w:rPr>
        <w:t>水土流失预测结果</w:t>
      </w:r>
      <w:bookmarkEnd w:id="60"/>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根据《生产建设项目水土保持技术标准》（GB 50433-2018）确定的土壤流失预测方法，经计算，本项目扰动后产生的流失总量</w:t>
      </w:r>
      <w:r>
        <w:rPr>
          <w:rFonts w:hint="eastAsia" w:cs="Times New Roman"/>
          <w:color w:val="auto"/>
          <w:highlight w:val="none"/>
          <w:lang w:val="en-US" w:eastAsia="zh-CN"/>
        </w:rPr>
        <w:t>35.06</w:t>
      </w:r>
      <w:r>
        <w:rPr>
          <w:rFonts w:hint="eastAsia" w:cs="Times New Roman"/>
          <w:color w:val="auto"/>
          <w:highlight w:val="none"/>
          <w:lang w:eastAsia="zh-CN"/>
        </w:rPr>
        <w:t>t</w:t>
      </w:r>
      <w:r>
        <w:rPr>
          <w:rFonts w:hint="default" w:ascii="Times New Roman" w:hAnsi="Times New Roman" w:eastAsia="仿宋_GB2312" w:cs="Times New Roman"/>
          <w:color w:val="auto"/>
          <w:highlight w:val="none"/>
        </w:rPr>
        <w:t>，其中背景流失量</w:t>
      </w:r>
      <w:r>
        <w:rPr>
          <w:rFonts w:hint="eastAsia" w:cs="Times New Roman"/>
          <w:color w:val="auto"/>
          <w:highlight w:val="none"/>
          <w:lang w:val="en-US" w:eastAsia="zh-CN"/>
        </w:rPr>
        <w:t>16.66</w:t>
      </w:r>
      <w:r>
        <w:rPr>
          <w:rFonts w:hint="default" w:ascii="Times New Roman" w:hAnsi="Times New Roman" w:eastAsia="仿宋_GB2312" w:cs="Times New Roman"/>
          <w:color w:val="auto"/>
          <w:highlight w:val="none"/>
        </w:rPr>
        <w:t>t，新增流失量</w:t>
      </w:r>
      <w:r>
        <w:rPr>
          <w:rFonts w:hint="eastAsia" w:cs="Times New Roman"/>
          <w:color w:val="auto"/>
          <w:highlight w:val="none"/>
          <w:lang w:val="en-US" w:eastAsia="zh-CN"/>
        </w:rPr>
        <w:t>18.40</w:t>
      </w:r>
      <w:r>
        <w:rPr>
          <w:rFonts w:hint="default" w:ascii="Times New Roman" w:hAnsi="Times New Roman" w:eastAsia="仿宋_GB2312" w:cs="Times New Roman"/>
          <w:color w:val="auto"/>
          <w:highlight w:val="none"/>
        </w:rPr>
        <w:t>t。</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本项目水土流失防治重点区域为</w:t>
      </w:r>
      <w:r>
        <w:rPr>
          <w:rFonts w:hint="eastAsia" w:cs="Times New Roman"/>
          <w:color w:val="auto"/>
          <w:highlight w:val="none"/>
          <w:lang w:eastAsia="zh-CN"/>
        </w:rPr>
        <w:t>建筑物</w:t>
      </w:r>
      <w:r>
        <w:rPr>
          <w:rFonts w:hint="default" w:ascii="Times New Roman" w:hAnsi="Times New Roman" w:eastAsia="仿宋_GB2312" w:cs="Times New Roman"/>
          <w:color w:val="auto"/>
          <w:highlight w:val="none"/>
        </w:rPr>
        <w:t>区。上述区域水土流失影响范围大，土壤侵蚀量较大，因此硬化区应为项目水土流失防治和监测的重点区域。水土流失重点时段为施工期。</w:t>
      </w:r>
    </w:p>
    <w:p>
      <w:pPr>
        <w:pStyle w:val="66"/>
        <w:ind w:firstLine="148"/>
        <w:rPr>
          <w:rFonts w:hint="default" w:ascii="Times New Roman" w:hAnsi="Times New Roman" w:eastAsia="仿宋_GB2312" w:cs="Times New Roman"/>
          <w:color w:val="auto"/>
          <w:highlight w:val="none"/>
        </w:rPr>
      </w:pPr>
      <w:bookmarkStart w:id="61" w:name="_Toc407014512"/>
      <w:bookmarkStart w:id="62" w:name="_Toc417412296"/>
      <w:bookmarkStart w:id="63" w:name="_Toc27018"/>
      <w:r>
        <w:rPr>
          <w:rFonts w:hint="default" w:ascii="Times New Roman" w:hAnsi="Times New Roman" w:eastAsia="仿宋_GB2312" w:cs="Times New Roman"/>
          <w:color w:val="auto"/>
          <w:highlight w:val="none"/>
        </w:rPr>
        <w:t xml:space="preserve">1.8 </w:t>
      </w:r>
      <w:bookmarkEnd w:id="61"/>
      <w:bookmarkEnd w:id="62"/>
      <w:r>
        <w:rPr>
          <w:rFonts w:hint="default" w:ascii="Times New Roman" w:hAnsi="Times New Roman" w:eastAsia="仿宋_GB2312" w:cs="Times New Roman"/>
          <w:color w:val="auto"/>
          <w:highlight w:val="none"/>
        </w:rPr>
        <w:t>水土保持措施布设成果</w:t>
      </w:r>
      <w:bookmarkEnd w:id="63"/>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1.8.1 建筑物区</w:t>
      </w:r>
    </w:p>
    <w:p>
      <w:pPr>
        <w:pStyle w:val="55"/>
        <w:ind w:firstLine="480"/>
        <w:rPr>
          <w:rFonts w:hint="default" w:ascii="Times New Roman" w:hAnsi="Times New Roman" w:cs="Times New Roman"/>
          <w:color w:val="auto"/>
          <w:highlight w:val="none"/>
        </w:rPr>
      </w:pPr>
      <w:r>
        <w:rPr>
          <w:rStyle w:val="123"/>
          <w:rFonts w:hint="eastAsia" w:cs="Times New Roman"/>
          <w:color w:val="auto"/>
          <w:highlight w:val="none"/>
          <w:lang w:eastAsia="zh-CN"/>
        </w:rPr>
        <w:t>方案设计在</w:t>
      </w:r>
      <w:r>
        <w:rPr>
          <w:rStyle w:val="123"/>
          <w:rFonts w:hint="default" w:ascii="Times New Roman" w:hAnsi="Times New Roman" w:cs="Times New Roman"/>
          <w:color w:val="auto"/>
          <w:highlight w:val="none"/>
        </w:rPr>
        <w:t>建构筑物区施工过程中</w:t>
      </w:r>
      <w:r>
        <w:rPr>
          <w:rFonts w:hint="default" w:ascii="Times New Roman" w:hAnsi="Times New Roman" w:cs="Times New Roman"/>
          <w:color w:val="auto"/>
          <w:highlight w:val="none"/>
        </w:rPr>
        <w:t>对基础开挖产生的临时堆土进行防尘网苫盖，对施工过程中产生的扬尘采取洒水，</w:t>
      </w:r>
      <w:r>
        <w:rPr>
          <w:rFonts w:hint="eastAsia" w:cs="Times New Roman"/>
          <w:color w:val="auto"/>
          <w:highlight w:val="none"/>
          <w:lang w:eastAsia="zh-CN"/>
        </w:rPr>
        <w:t>并</w:t>
      </w:r>
      <w:r>
        <w:rPr>
          <w:rFonts w:hint="default" w:ascii="Times New Roman" w:hAnsi="Times New Roman" w:cs="Times New Roman"/>
          <w:color w:val="auto"/>
          <w:highlight w:val="none"/>
        </w:rPr>
        <w:t>对项目区周边采取彩钢板拦挡限制扰动区域。</w:t>
      </w:r>
    </w:p>
    <w:p>
      <w:pPr>
        <w:pStyle w:val="55"/>
        <w:keepNext w:val="0"/>
        <w:keepLines w:val="0"/>
        <w:pageBreakBefore w:val="0"/>
        <w:widowControl/>
        <w:numPr>
          <w:ilvl w:val="0"/>
          <w:numId w:val="0"/>
        </w:numPr>
        <w:tabs>
          <w:tab w:val="left" w:pos="816"/>
        </w:tabs>
        <w:kinsoku/>
        <w:wordWrap/>
        <w:overflowPunct/>
        <w:topLinePunct w:val="0"/>
        <w:autoSpaceDE/>
        <w:autoSpaceDN/>
        <w:bidi w:val="0"/>
        <w:adjustRightInd w:val="0"/>
        <w:snapToGrid w:val="0"/>
        <w:ind w:firstLine="480" w:firstLineChars="200"/>
        <w:textAlignment w:val="auto"/>
        <w:rPr>
          <w:rFonts w:hint="eastAsia" w:cs="Times New Roman"/>
          <w:color w:val="auto"/>
          <w:highlight w:val="none"/>
          <w:lang w:val="en-US" w:eastAsia="zh-CN"/>
        </w:rPr>
      </w:pPr>
      <w:r>
        <w:rPr>
          <w:rFonts w:hint="eastAsia" w:cs="Times New Roman"/>
          <w:color w:val="auto"/>
          <w:highlight w:val="none"/>
          <w:lang w:val="en-US" w:eastAsia="zh-CN"/>
        </w:rPr>
        <w:t>1、工程措施</w:t>
      </w:r>
    </w:p>
    <w:p>
      <w:pPr>
        <w:pStyle w:val="55"/>
        <w:keepNext w:val="0"/>
        <w:keepLines w:val="0"/>
        <w:pageBreakBefore w:val="0"/>
        <w:widowControl/>
        <w:numPr>
          <w:ilvl w:val="0"/>
          <w:numId w:val="0"/>
        </w:numPr>
        <w:tabs>
          <w:tab w:val="left" w:pos="816"/>
        </w:tabs>
        <w:kinsoku/>
        <w:wordWrap/>
        <w:overflowPunct/>
        <w:topLinePunct w:val="0"/>
        <w:autoSpaceDE/>
        <w:autoSpaceDN/>
        <w:bidi w:val="0"/>
        <w:adjustRightInd w:val="0"/>
        <w:snapToGrid w:val="0"/>
        <w:ind w:firstLine="480" w:firstLineChars="200"/>
        <w:textAlignment w:val="auto"/>
        <w:rPr>
          <w:rFonts w:hint="default" w:cs="Times New Roman"/>
          <w:color w:val="auto"/>
          <w:highlight w:val="none"/>
          <w:lang w:val="en-US" w:eastAsia="zh-CN"/>
        </w:rPr>
      </w:pPr>
      <w:r>
        <w:rPr>
          <w:rFonts w:hint="eastAsia" w:cs="Times New Roman"/>
          <w:color w:val="auto"/>
          <w:highlight w:val="none"/>
          <w:lang w:val="en-US" w:eastAsia="zh-CN"/>
        </w:rPr>
        <w:t>①土地平整（主体已列），共计0.08hm²；</w:t>
      </w:r>
    </w:p>
    <w:p>
      <w:pPr>
        <w:pStyle w:val="55"/>
        <w:keepNext w:val="0"/>
        <w:keepLines w:val="0"/>
        <w:pageBreakBefore w:val="0"/>
        <w:widowControl/>
        <w:numPr>
          <w:ilvl w:val="0"/>
          <w:numId w:val="0"/>
        </w:numPr>
        <w:tabs>
          <w:tab w:val="left" w:pos="816"/>
        </w:tabs>
        <w:kinsoku/>
        <w:wordWrap/>
        <w:overflowPunct/>
        <w:topLinePunct w:val="0"/>
        <w:autoSpaceDE/>
        <w:autoSpaceDN/>
        <w:bidi w:val="0"/>
        <w:adjustRightInd w:val="0"/>
        <w:snapToGrid w:val="0"/>
        <w:ind w:firstLine="480" w:firstLineChars="200"/>
        <w:textAlignment w:val="auto"/>
        <w:rPr>
          <w:rFonts w:hint="default" w:cs="Times New Roman"/>
          <w:color w:val="auto"/>
          <w:highlight w:val="none"/>
          <w:lang w:val="en-US" w:eastAsia="zh-CN"/>
        </w:rPr>
      </w:pPr>
      <w:r>
        <w:rPr>
          <w:rFonts w:hint="eastAsia" w:cs="Times New Roman"/>
          <w:color w:val="auto"/>
          <w:highlight w:val="none"/>
          <w:lang w:val="en-US" w:eastAsia="zh-CN"/>
        </w:rPr>
        <w:t>②全面整地（主体已列），共计0.17hm²；</w:t>
      </w:r>
    </w:p>
    <w:p>
      <w:pPr>
        <w:pStyle w:val="55"/>
        <w:keepNext w:val="0"/>
        <w:keepLines w:val="0"/>
        <w:pageBreakBefore w:val="0"/>
        <w:widowControl/>
        <w:numPr>
          <w:ilvl w:val="0"/>
          <w:numId w:val="0"/>
        </w:numPr>
        <w:tabs>
          <w:tab w:val="left" w:pos="816"/>
        </w:tabs>
        <w:kinsoku/>
        <w:wordWrap/>
        <w:overflowPunct/>
        <w:topLinePunct w:val="0"/>
        <w:autoSpaceDE/>
        <w:autoSpaceDN/>
        <w:bidi w:val="0"/>
        <w:adjustRightInd w:val="0"/>
        <w:snapToGrid w:val="0"/>
        <w:ind w:firstLine="480" w:firstLineChars="200"/>
        <w:textAlignment w:val="auto"/>
        <w:rPr>
          <w:rFonts w:hint="eastAsia" w:cs="Times New Roman"/>
          <w:color w:val="auto"/>
          <w:highlight w:val="none"/>
          <w:lang w:val="en-US" w:eastAsia="zh-CN"/>
        </w:rPr>
      </w:pPr>
      <w:r>
        <w:rPr>
          <w:rFonts w:hint="eastAsia" w:cs="Times New Roman"/>
          <w:color w:val="auto"/>
          <w:highlight w:val="none"/>
          <w:lang w:val="en-US" w:eastAsia="zh-CN"/>
        </w:rPr>
        <w:t>2、植物措施</w:t>
      </w:r>
    </w:p>
    <w:p>
      <w:pPr>
        <w:pStyle w:val="55"/>
        <w:keepNext w:val="0"/>
        <w:keepLines w:val="0"/>
        <w:pageBreakBefore w:val="0"/>
        <w:widowControl/>
        <w:numPr>
          <w:ilvl w:val="0"/>
          <w:numId w:val="0"/>
        </w:numPr>
        <w:kinsoku/>
        <w:wordWrap/>
        <w:overflowPunct/>
        <w:topLinePunct w:val="0"/>
        <w:autoSpaceDE/>
        <w:autoSpaceDN/>
        <w:bidi w:val="0"/>
        <w:adjustRightInd w:val="0"/>
        <w:snapToGrid w:val="0"/>
        <w:ind w:firstLine="480" w:firstLineChars="200"/>
        <w:textAlignment w:val="auto"/>
        <w:rPr>
          <w:rFonts w:hint="default" w:cs="Times New Roman"/>
          <w:color w:val="auto"/>
          <w:highlight w:val="none"/>
          <w:lang w:val="en-US" w:eastAsia="zh-CN"/>
        </w:rPr>
      </w:pPr>
      <w:r>
        <w:rPr>
          <w:rFonts w:hint="eastAsia" w:cs="Times New Roman"/>
          <w:color w:val="auto"/>
          <w:highlight w:val="none"/>
          <w:lang w:val="en-US" w:eastAsia="zh-CN"/>
        </w:rPr>
        <w:t>①撒播草籽（主体已列），共计0.17hm²</w:t>
      </w:r>
    </w:p>
    <w:p>
      <w:pPr>
        <w:pStyle w:val="55"/>
        <w:tabs>
          <w:tab w:val="left" w:pos="421"/>
        </w:tabs>
        <w:ind w:firstLine="480"/>
        <w:rPr>
          <w:rFonts w:hint="default" w:ascii="Times New Roman" w:hAnsi="Times New Roman" w:eastAsia="仿宋_GB2312" w:cs="Times New Roman"/>
          <w:color w:val="auto"/>
          <w:highlight w:val="none"/>
        </w:rPr>
      </w:pPr>
      <w:r>
        <w:rPr>
          <w:rFonts w:hint="eastAsia" w:cs="Times New Roman"/>
          <w:color w:val="auto"/>
          <w:highlight w:val="none"/>
          <w:lang w:val="en-US" w:eastAsia="zh-CN"/>
        </w:rPr>
        <w:t>3</w:t>
      </w:r>
      <w:r>
        <w:rPr>
          <w:rFonts w:hint="default" w:ascii="Times New Roman" w:hAnsi="Times New Roman" w:eastAsia="仿宋_GB2312" w:cs="Times New Roman"/>
          <w:color w:val="auto"/>
          <w:highlight w:val="none"/>
        </w:rPr>
        <w:t>、临时措施</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①防尘网苫盖</w:t>
      </w:r>
      <w:r>
        <w:rPr>
          <w:rFonts w:hint="eastAsia" w:cs="Times New Roman"/>
          <w:color w:val="auto"/>
          <w:highlight w:val="none"/>
          <w:lang w:eastAsia="zh-CN"/>
        </w:rPr>
        <w:t>（方案新增），共</w:t>
      </w:r>
      <w:r>
        <w:rPr>
          <w:rFonts w:hint="default" w:ascii="Times New Roman" w:hAnsi="Times New Roman" w:eastAsia="仿宋_GB2312" w:cs="Times New Roman"/>
          <w:color w:val="auto"/>
          <w:highlight w:val="none"/>
        </w:rPr>
        <w:t>需防尘网</w:t>
      </w:r>
      <w:r>
        <w:rPr>
          <w:rFonts w:hint="eastAsia" w:cs="Times New Roman"/>
          <w:color w:val="auto"/>
          <w:highlight w:val="none"/>
          <w:lang w:val="en-US" w:eastAsia="zh-CN"/>
        </w:rPr>
        <w:t>400</w:t>
      </w:r>
      <w:r>
        <w:rPr>
          <w:rFonts w:hint="default" w:ascii="Times New Roman" w:hAnsi="Times New Roman" w:eastAsia="仿宋_GB2312" w:cs="Times New Roman"/>
          <w:color w:val="auto"/>
          <w:highlight w:val="none"/>
        </w:rPr>
        <w:t>m²。</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②洒水降尘</w:t>
      </w:r>
      <w:r>
        <w:rPr>
          <w:rFonts w:hint="eastAsia" w:cs="Times New Roman"/>
          <w:color w:val="auto"/>
          <w:highlight w:val="none"/>
          <w:lang w:eastAsia="zh-CN"/>
        </w:rPr>
        <w:t>（方案新增），</w:t>
      </w:r>
      <w:r>
        <w:rPr>
          <w:rFonts w:hint="default" w:ascii="Times New Roman" w:hAnsi="Times New Roman" w:eastAsia="仿宋_GB2312" w:cs="Times New Roman"/>
          <w:color w:val="auto"/>
          <w:highlight w:val="none"/>
        </w:rPr>
        <w:t>共</w:t>
      </w:r>
      <w:r>
        <w:rPr>
          <w:rFonts w:hint="eastAsia" w:cs="Times New Roman"/>
          <w:color w:val="auto"/>
          <w:highlight w:val="none"/>
          <w:lang w:eastAsia="zh-CN"/>
        </w:rPr>
        <w:t>需</w:t>
      </w:r>
      <w:r>
        <w:rPr>
          <w:rFonts w:hint="default" w:ascii="Times New Roman" w:hAnsi="Times New Roman" w:eastAsia="仿宋_GB2312" w:cs="Times New Roman"/>
          <w:color w:val="auto"/>
          <w:highlight w:val="none"/>
        </w:rPr>
        <w:t>洒水量为</w:t>
      </w:r>
      <w:r>
        <w:rPr>
          <w:rFonts w:hint="eastAsia" w:cs="Times New Roman"/>
          <w:color w:val="auto"/>
          <w:highlight w:val="none"/>
          <w:lang w:val="en-US" w:eastAsia="zh-CN"/>
        </w:rPr>
        <w:t>800</w:t>
      </w:r>
      <w:r>
        <w:rPr>
          <w:rFonts w:hint="default" w:ascii="Times New Roman" w:hAnsi="Times New Roman" w:eastAsia="仿宋_GB2312" w:cs="Times New Roman"/>
          <w:color w:val="auto"/>
          <w:highlight w:val="none"/>
        </w:rPr>
        <w:t>m³。</w:t>
      </w:r>
    </w:p>
    <w:p>
      <w:pPr>
        <w:pStyle w:val="55"/>
        <w:ind w:firstLine="480"/>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eastAsia="zh-CN"/>
        </w:rPr>
        <w:t>③彩钢板围挡（方案新增），共需彩钢板</w:t>
      </w:r>
      <w:r>
        <w:rPr>
          <w:rFonts w:hint="eastAsia" w:cs="Times New Roman"/>
          <w:color w:val="auto"/>
          <w:highlight w:val="none"/>
          <w:lang w:val="en-US" w:eastAsia="zh-CN"/>
        </w:rPr>
        <w:t>260m。</w:t>
      </w:r>
    </w:p>
    <w:p>
      <w:pPr>
        <w:pStyle w:val="69"/>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1.8.2</w:t>
      </w:r>
      <w:r>
        <w:rPr>
          <w:rFonts w:hint="eastAsia" w:cs="Times New Roman"/>
          <w:color w:val="auto"/>
          <w:highlight w:val="none"/>
          <w:lang w:eastAsia="zh-CN"/>
        </w:rPr>
        <w:t>管线工程区</w:t>
      </w:r>
    </w:p>
    <w:p>
      <w:pPr>
        <w:pStyle w:val="55"/>
        <w:ind w:firstLine="480"/>
        <w:rPr>
          <w:rFonts w:hint="default" w:ascii="Times New Roman" w:hAnsi="Times New Roman" w:cs="Times New Roman"/>
          <w:color w:val="auto"/>
          <w:highlight w:val="none"/>
        </w:rPr>
      </w:pPr>
      <w:r>
        <w:rPr>
          <w:rStyle w:val="123"/>
          <w:rFonts w:hint="eastAsia" w:cs="Times New Roman"/>
          <w:color w:val="auto"/>
          <w:highlight w:val="none"/>
          <w:lang w:eastAsia="zh-CN"/>
        </w:rPr>
        <w:t>主体设计在管线工程</w:t>
      </w:r>
      <w:r>
        <w:rPr>
          <w:rStyle w:val="123"/>
          <w:rFonts w:hint="default" w:ascii="Times New Roman" w:hAnsi="Times New Roman" w:cs="Times New Roman"/>
          <w:color w:val="auto"/>
          <w:highlight w:val="none"/>
        </w:rPr>
        <w:t>区实施</w:t>
      </w:r>
      <w:r>
        <w:rPr>
          <w:rStyle w:val="123"/>
          <w:rFonts w:hint="eastAsia" w:cs="Times New Roman"/>
          <w:color w:val="auto"/>
          <w:highlight w:val="none"/>
          <w:lang w:eastAsia="zh-CN"/>
        </w:rPr>
        <w:t>土地平整措施</w:t>
      </w:r>
      <w:r>
        <w:rPr>
          <w:rStyle w:val="123"/>
          <w:rFonts w:hint="default" w:ascii="Times New Roman" w:hAnsi="Times New Roman" w:cs="Times New Roman"/>
          <w:color w:val="auto"/>
          <w:highlight w:val="none"/>
        </w:rPr>
        <w:t>，</w:t>
      </w:r>
      <w:r>
        <w:rPr>
          <w:rFonts w:hint="default" w:ascii="Times New Roman" w:hAnsi="Times New Roman" w:cs="Times New Roman"/>
          <w:color w:val="auto"/>
          <w:highlight w:val="none"/>
        </w:rPr>
        <w:t>方案新增洒水措施</w:t>
      </w:r>
      <w:r>
        <w:rPr>
          <w:rFonts w:hint="eastAsia" w:ascii="Times New Roman" w:hAnsi="Times New Roman" w:cs="Times New Roman"/>
          <w:color w:val="auto"/>
          <w:highlight w:val="none"/>
          <w:lang w:eastAsia="zh-CN"/>
        </w:rPr>
        <w:t>。</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1、工程措施</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①</w:t>
      </w:r>
      <w:r>
        <w:rPr>
          <w:rFonts w:hint="eastAsia" w:cs="Times New Roman"/>
          <w:color w:val="auto"/>
          <w:highlight w:val="none"/>
          <w:lang w:eastAsia="zh-CN"/>
        </w:rPr>
        <w:t>土地平整（主体已列），平整</w:t>
      </w:r>
      <w:r>
        <w:rPr>
          <w:rFonts w:hint="default" w:ascii="Times New Roman" w:hAnsi="Times New Roman" w:eastAsia="仿宋_GB2312" w:cs="Times New Roman"/>
          <w:color w:val="auto"/>
          <w:highlight w:val="none"/>
        </w:rPr>
        <w:t>面积</w:t>
      </w:r>
      <w:r>
        <w:rPr>
          <w:rFonts w:hint="eastAsia" w:cs="Times New Roman"/>
          <w:color w:val="auto"/>
          <w:highlight w:val="none"/>
          <w:lang w:eastAsia="zh-CN"/>
        </w:rPr>
        <w:t>为</w:t>
      </w:r>
      <w:r>
        <w:rPr>
          <w:rFonts w:hint="eastAsia" w:cs="Times New Roman"/>
          <w:color w:val="auto"/>
          <w:highlight w:val="none"/>
          <w:lang w:val="en-US" w:eastAsia="zh-CN"/>
        </w:rPr>
        <w:t>0.02h</w:t>
      </w:r>
      <w:r>
        <w:rPr>
          <w:rFonts w:hint="eastAsia" w:cs="Times New Roman"/>
          <w:color w:val="auto"/>
          <w:highlight w:val="none"/>
          <w:lang w:eastAsia="zh-CN"/>
        </w:rPr>
        <w:t>m²</w:t>
      </w:r>
      <w:r>
        <w:rPr>
          <w:rFonts w:hint="default" w:ascii="Times New Roman" w:hAnsi="Times New Roman" w:eastAsia="仿宋_GB2312" w:cs="Times New Roman"/>
          <w:color w:val="auto"/>
          <w:highlight w:val="none"/>
        </w:rPr>
        <w:t>。</w:t>
      </w:r>
    </w:p>
    <w:p>
      <w:pPr>
        <w:pStyle w:val="55"/>
        <w:ind w:firstLine="480"/>
        <w:rPr>
          <w:rFonts w:hint="default" w:ascii="Times New Roman" w:hAnsi="Times New Roman" w:eastAsia="仿宋_GB2312" w:cs="Times New Roman"/>
          <w:color w:val="auto"/>
          <w:highlight w:val="none"/>
        </w:rPr>
      </w:pPr>
      <w:r>
        <w:rPr>
          <w:rFonts w:hint="eastAsia" w:cs="Times New Roman"/>
          <w:color w:val="auto"/>
          <w:highlight w:val="none"/>
          <w:lang w:val="en-US" w:eastAsia="zh-CN"/>
        </w:rPr>
        <w:t>2</w:t>
      </w:r>
      <w:r>
        <w:rPr>
          <w:rFonts w:hint="default" w:ascii="Times New Roman" w:hAnsi="Times New Roman" w:eastAsia="仿宋_GB2312" w:cs="Times New Roman"/>
          <w:color w:val="auto"/>
          <w:highlight w:val="none"/>
        </w:rPr>
        <w:t>、临时措施</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①</w:t>
      </w:r>
      <w:r>
        <w:rPr>
          <w:rFonts w:hint="eastAsia" w:cs="Times New Roman"/>
          <w:color w:val="auto"/>
          <w:highlight w:val="none"/>
          <w:lang w:eastAsia="zh-CN"/>
        </w:rPr>
        <w:t>防</w:t>
      </w:r>
      <w:r>
        <w:rPr>
          <w:rFonts w:hint="default" w:ascii="Times New Roman" w:hAnsi="Times New Roman" w:eastAsia="仿宋_GB2312" w:cs="Times New Roman"/>
          <w:color w:val="auto"/>
          <w:highlight w:val="none"/>
        </w:rPr>
        <w:t>尘</w:t>
      </w:r>
      <w:r>
        <w:rPr>
          <w:rFonts w:hint="eastAsia" w:cs="Times New Roman"/>
          <w:color w:val="auto"/>
          <w:highlight w:val="none"/>
          <w:lang w:eastAsia="zh-CN"/>
        </w:rPr>
        <w:t>网苫盖（方案新增），</w:t>
      </w:r>
      <w:r>
        <w:rPr>
          <w:rFonts w:hint="default" w:ascii="Times New Roman" w:hAnsi="Times New Roman" w:eastAsia="仿宋_GB2312" w:cs="Times New Roman"/>
          <w:color w:val="auto"/>
          <w:highlight w:val="none"/>
        </w:rPr>
        <w:t>共</w:t>
      </w:r>
      <w:r>
        <w:rPr>
          <w:rFonts w:hint="eastAsia" w:cs="Times New Roman"/>
          <w:color w:val="auto"/>
          <w:highlight w:val="none"/>
          <w:lang w:eastAsia="zh-CN"/>
        </w:rPr>
        <w:t>需防尘网</w:t>
      </w:r>
      <w:r>
        <w:rPr>
          <w:rFonts w:hint="default" w:ascii="Times New Roman" w:hAnsi="Times New Roman" w:eastAsia="仿宋_GB2312" w:cs="Times New Roman"/>
          <w:color w:val="auto"/>
          <w:highlight w:val="none"/>
        </w:rPr>
        <w:t>为</w:t>
      </w:r>
      <w:r>
        <w:rPr>
          <w:rFonts w:hint="eastAsia" w:cs="Times New Roman"/>
          <w:color w:val="auto"/>
          <w:highlight w:val="none"/>
          <w:lang w:val="en-US" w:eastAsia="zh-CN"/>
        </w:rPr>
        <w:t>100</w:t>
      </w:r>
      <w:r>
        <w:rPr>
          <w:rFonts w:hint="default" w:ascii="Times New Roman" w:hAnsi="Times New Roman" w:eastAsia="仿宋_GB2312" w:cs="Times New Roman"/>
          <w:color w:val="auto"/>
          <w:highlight w:val="none"/>
        </w:rPr>
        <w:t>m</w:t>
      </w:r>
      <w:r>
        <w:rPr>
          <w:rFonts w:hint="eastAsia" w:cs="Times New Roman"/>
          <w:color w:val="auto"/>
          <w:highlight w:val="none"/>
          <w:lang w:val="en-US" w:eastAsia="zh-CN"/>
        </w:rPr>
        <w:t>²</w:t>
      </w:r>
      <w:r>
        <w:rPr>
          <w:rFonts w:hint="default" w:ascii="Times New Roman" w:hAnsi="Times New Roman" w:eastAsia="仿宋_GB2312" w:cs="Times New Roman"/>
          <w:color w:val="auto"/>
          <w:highlight w:val="none"/>
        </w:rPr>
        <w:t>。</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1.8.3 </w:t>
      </w:r>
      <w:r>
        <w:rPr>
          <w:rFonts w:hint="eastAsia" w:cs="Times New Roman"/>
          <w:color w:val="auto"/>
          <w:highlight w:val="none"/>
          <w:lang w:eastAsia="zh-CN"/>
        </w:rPr>
        <w:t>道路及</w:t>
      </w:r>
      <w:r>
        <w:rPr>
          <w:rFonts w:hint="default" w:ascii="Times New Roman" w:hAnsi="Times New Roman" w:eastAsia="仿宋_GB2312" w:cs="Times New Roman"/>
          <w:color w:val="auto"/>
          <w:highlight w:val="none"/>
        </w:rPr>
        <w:t>硬化区</w:t>
      </w:r>
    </w:p>
    <w:p>
      <w:pPr>
        <w:pStyle w:val="55"/>
        <w:ind w:firstLine="48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主体对</w:t>
      </w:r>
      <w:r>
        <w:rPr>
          <w:rFonts w:hint="eastAsia" w:cs="Times New Roman"/>
          <w:color w:val="auto"/>
          <w:highlight w:val="none"/>
          <w:lang w:eastAsia="zh-CN"/>
        </w:rPr>
        <w:t>道路及</w:t>
      </w:r>
      <w:r>
        <w:rPr>
          <w:rFonts w:hint="default" w:ascii="Times New Roman" w:hAnsi="Times New Roman" w:cs="Times New Roman"/>
          <w:color w:val="auto"/>
          <w:highlight w:val="none"/>
        </w:rPr>
        <w:t>硬化区施工后扰动区域采取</w:t>
      </w:r>
      <w:r>
        <w:rPr>
          <w:rFonts w:hint="eastAsia" w:ascii="Times New Roman" w:hAnsi="Times New Roman" w:cs="Times New Roman"/>
          <w:color w:val="auto"/>
          <w:highlight w:val="none"/>
          <w:lang w:eastAsia="zh-CN"/>
        </w:rPr>
        <w:t>的</w:t>
      </w:r>
      <w:r>
        <w:rPr>
          <w:rFonts w:hint="default" w:ascii="Times New Roman" w:hAnsi="Times New Roman" w:cs="Times New Roman"/>
          <w:color w:val="auto"/>
          <w:highlight w:val="none"/>
        </w:rPr>
        <w:t>措施有效防治</w:t>
      </w:r>
      <w:r>
        <w:rPr>
          <w:rFonts w:hint="eastAsia" w:cs="Times New Roman"/>
          <w:color w:val="auto"/>
          <w:highlight w:val="none"/>
          <w:lang w:eastAsia="zh-CN"/>
        </w:rPr>
        <w:t>了</w:t>
      </w:r>
      <w:r>
        <w:rPr>
          <w:rFonts w:hint="default" w:ascii="Times New Roman" w:hAnsi="Times New Roman" w:cs="Times New Roman"/>
          <w:color w:val="auto"/>
          <w:highlight w:val="none"/>
        </w:rPr>
        <w:t>施工期间产生的水土流失。方案新增洒水措施</w:t>
      </w:r>
      <w:r>
        <w:rPr>
          <w:rFonts w:hint="eastAsia" w:ascii="Times New Roman" w:hAnsi="Times New Roman" w:cs="Times New Roman"/>
          <w:color w:val="auto"/>
          <w:highlight w:val="none"/>
          <w:lang w:eastAsia="zh-CN"/>
        </w:rPr>
        <w:t>。</w:t>
      </w:r>
    </w:p>
    <w:p>
      <w:pPr>
        <w:pStyle w:val="55"/>
        <w:numPr>
          <w:ilvl w:val="0"/>
          <w:numId w:val="4"/>
        </w:num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临时措施</w:t>
      </w:r>
    </w:p>
    <w:p>
      <w:pPr>
        <w:pStyle w:val="55"/>
        <w:numPr>
          <w:ilvl w:val="0"/>
          <w:numId w:val="0"/>
        </w:numPr>
        <w:ind w:firstLine="480" w:firstLineChars="200"/>
        <w:rPr>
          <w:rFonts w:hint="default" w:ascii="Times New Roman" w:hAnsi="Times New Roman" w:eastAsia="仿宋_GB2312" w:cs="Times New Roman"/>
          <w:b w:val="0"/>
          <w:bCs w:val="0"/>
          <w:snapToGrid w:val="0"/>
          <w:color w:val="auto"/>
          <w:kern w:val="24"/>
          <w:sz w:val="24"/>
          <w:szCs w:val="24"/>
          <w:highlight w:val="none"/>
          <w:lang w:val="en-US" w:eastAsia="zh-CN" w:bidi="ar-SA"/>
        </w:rPr>
      </w:pPr>
      <w:r>
        <w:rPr>
          <w:rFonts w:hint="default" w:ascii="Times New Roman" w:hAnsi="Times New Roman" w:eastAsia="仿宋_GB2312" w:cs="Times New Roman"/>
          <w:b w:val="0"/>
          <w:bCs w:val="0"/>
          <w:snapToGrid w:val="0"/>
          <w:color w:val="auto"/>
          <w:kern w:val="24"/>
          <w:sz w:val="24"/>
          <w:szCs w:val="24"/>
          <w:highlight w:val="none"/>
          <w:lang w:val="en-US" w:eastAsia="zh-CN" w:bidi="ar-SA"/>
        </w:rPr>
        <w:t>①洒水降尘</w:t>
      </w:r>
      <w:r>
        <w:rPr>
          <w:rFonts w:hint="eastAsia" w:ascii="Times New Roman" w:hAnsi="Times New Roman" w:eastAsia="仿宋_GB2312" w:cs="Times New Roman"/>
          <w:b w:val="0"/>
          <w:bCs w:val="0"/>
          <w:snapToGrid w:val="0"/>
          <w:color w:val="auto"/>
          <w:kern w:val="24"/>
          <w:sz w:val="24"/>
          <w:szCs w:val="24"/>
          <w:highlight w:val="none"/>
          <w:lang w:val="en-US" w:eastAsia="zh-CN" w:bidi="ar-SA"/>
        </w:rPr>
        <w:t>（方案新增），</w:t>
      </w:r>
      <w:r>
        <w:rPr>
          <w:rFonts w:hint="default" w:ascii="Times New Roman" w:hAnsi="Times New Roman" w:eastAsia="仿宋_GB2312" w:cs="Times New Roman"/>
          <w:b w:val="0"/>
          <w:bCs w:val="0"/>
          <w:snapToGrid w:val="0"/>
          <w:color w:val="auto"/>
          <w:kern w:val="24"/>
          <w:sz w:val="24"/>
          <w:szCs w:val="24"/>
          <w:highlight w:val="none"/>
          <w:lang w:val="en-US" w:eastAsia="zh-CN" w:bidi="ar-SA"/>
        </w:rPr>
        <w:t>共</w:t>
      </w:r>
      <w:r>
        <w:rPr>
          <w:rFonts w:hint="eastAsia" w:ascii="Times New Roman" w:hAnsi="Times New Roman" w:cs="Times New Roman"/>
          <w:b w:val="0"/>
          <w:bCs w:val="0"/>
          <w:snapToGrid w:val="0"/>
          <w:color w:val="auto"/>
          <w:kern w:val="24"/>
          <w:sz w:val="24"/>
          <w:szCs w:val="24"/>
          <w:highlight w:val="none"/>
          <w:lang w:val="en-US" w:eastAsia="zh-CN" w:bidi="ar-SA"/>
        </w:rPr>
        <w:t>需</w:t>
      </w:r>
      <w:r>
        <w:rPr>
          <w:rFonts w:hint="default" w:ascii="Times New Roman" w:hAnsi="Times New Roman" w:eastAsia="仿宋_GB2312" w:cs="Times New Roman"/>
          <w:b w:val="0"/>
          <w:bCs w:val="0"/>
          <w:snapToGrid w:val="0"/>
          <w:color w:val="auto"/>
          <w:kern w:val="24"/>
          <w:sz w:val="24"/>
          <w:szCs w:val="24"/>
          <w:highlight w:val="none"/>
          <w:lang w:val="en-US" w:eastAsia="zh-CN" w:bidi="ar-SA"/>
        </w:rPr>
        <w:t>洒水量为</w:t>
      </w:r>
      <w:r>
        <w:rPr>
          <w:rFonts w:hint="eastAsia" w:cs="Times New Roman"/>
          <w:b w:val="0"/>
          <w:bCs w:val="0"/>
          <w:snapToGrid w:val="0"/>
          <w:color w:val="auto"/>
          <w:kern w:val="24"/>
          <w:sz w:val="24"/>
          <w:szCs w:val="24"/>
          <w:highlight w:val="none"/>
          <w:lang w:val="en-US" w:eastAsia="zh-CN" w:bidi="ar-SA"/>
        </w:rPr>
        <w:t>5</w:t>
      </w:r>
      <w:r>
        <w:rPr>
          <w:rFonts w:hint="eastAsia" w:ascii="Times New Roman" w:hAnsi="Times New Roman" w:eastAsia="仿宋_GB2312" w:cs="Times New Roman"/>
          <w:b w:val="0"/>
          <w:bCs w:val="0"/>
          <w:snapToGrid w:val="0"/>
          <w:color w:val="auto"/>
          <w:kern w:val="24"/>
          <w:sz w:val="24"/>
          <w:szCs w:val="24"/>
          <w:highlight w:val="none"/>
          <w:lang w:val="en-US" w:eastAsia="zh-CN" w:bidi="ar-SA"/>
        </w:rPr>
        <w:t>00</w:t>
      </w:r>
      <w:r>
        <w:rPr>
          <w:rFonts w:hint="default" w:ascii="Times New Roman" w:hAnsi="Times New Roman" w:eastAsia="仿宋_GB2312" w:cs="Times New Roman"/>
          <w:b w:val="0"/>
          <w:bCs w:val="0"/>
          <w:snapToGrid w:val="0"/>
          <w:color w:val="auto"/>
          <w:kern w:val="24"/>
          <w:sz w:val="24"/>
          <w:szCs w:val="24"/>
          <w:highlight w:val="none"/>
          <w:lang w:val="en-US" w:eastAsia="zh-CN" w:bidi="ar-SA"/>
        </w:rPr>
        <w:t>m³。</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1.8.</w:t>
      </w:r>
      <w:r>
        <w:rPr>
          <w:rFonts w:hint="eastAsia" w:cs="Times New Roman"/>
          <w:color w:val="auto"/>
          <w:highlight w:val="none"/>
          <w:lang w:val="en-US" w:eastAsia="zh-CN"/>
        </w:rPr>
        <w:t>4</w:t>
      </w:r>
      <w:r>
        <w:rPr>
          <w:rFonts w:hint="default" w:ascii="Times New Roman" w:hAnsi="Times New Roman" w:eastAsia="仿宋_GB2312" w:cs="Times New Roman"/>
          <w:color w:val="auto"/>
          <w:highlight w:val="none"/>
        </w:rPr>
        <w:t xml:space="preserve"> </w:t>
      </w:r>
      <w:r>
        <w:rPr>
          <w:rFonts w:hint="eastAsia" w:cs="Times New Roman"/>
          <w:color w:val="auto"/>
          <w:highlight w:val="none"/>
          <w:lang w:eastAsia="zh-CN"/>
        </w:rPr>
        <w:t>施工生产生活区</w:t>
      </w:r>
      <w:r>
        <w:rPr>
          <w:rFonts w:hint="default" w:ascii="Times New Roman" w:hAnsi="Times New Roman" w:eastAsia="仿宋_GB2312" w:cs="Times New Roman"/>
          <w:color w:val="auto"/>
          <w:highlight w:val="none"/>
        </w:rPr>
        <w:t>（重复占地）</w:t>
      </w:r>
    </w:p>
    <w:p>
      <w:pPr>
        <w:pStyle w:val="55"/>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主体对</w:t>
      </w:r>
      <w:r>
        <w:rPr>
          <w:rFonts w:hint="eastAsia" w:ascii="Times New Roman" w:hAnsi="Times New Roman" w:cs="Times New Roman"/>
          <w:color w:val="auto"/>
          <w:highlight w:val="none"/>
          <w:lang w:eastAsia="zh-CN"/>
        </w:rPr>
        <w:t>施工生产生活区</w:t>
      </w:r>
      <w:r>
        <w:rPr>
          <w:rFonts w:hint="default" w:ascii="Times New Roman" w:hAnsi="Times New Roman" w:cs="Times New Roman"/>
          <w:color w:val="auto"/>
          <w:highlight w:val="none"/>
        </w:rPr>
        <w:t>施工后扰动区域采取</w:t>
      </w:r>
      <w:r>
        <w:rPr>
          <w:rFonts w:hint="eastAsia" w:ascii="Times New Roman" w:hAnsi="Times New Roman" w:cs="Times New Roman"/>
          <w:color w:val="auto"/>
          <w:highlight w:val="none"/>
          <w:lang w:eastAsia="zh-CN"/>
        </w:rPr>
        <w:t>的</w:t>
      </w:r>
      <w:r>
        <w:rPr>
          <w:rFonts w:hint="eastAsia" w:cs="Times New Roman"/>
          <w:color w:val="auto"/>
          <w:highlight w:val="none"/>
          <w:lang w:eastAsia="zh-CN"/>
        </w:rPr>
        <w:t>土地平整措施</w:t>
      </w:r>
      <w:r>
        <w:rPr>
          <w:rFonts w:hint="default" w:ascii="Times New Roman" w:hAnsi="Times New Roman" w:cs="Times New Roman"/>
          <w:color w:val="auto"/>
          <w:highlight w:val="none"/>
        </w:rPr>
        <w:t>有效防治</w:t>
      </w:r>
      <w:r>
        <w:rPr>
          <w:rFonts w:hint="eastAsia" w:cs="Times New Roman"/>
          <w:color w:val="auto"/>
          <w:highlight w:val="none"/>
          <w:lang w:eastAsia="zh-CN"/>
        </w:rPr>
        <w:t>了</w:t>
      </w:r>
      <w:r>
        <w:rPr>
          <w:rFonts w:hint="default" w:ascii="Times New Roman" w:hAnsi="Times New Roman" w:cs="Times New Roman"/>
          <w:color w:val="auto"/>
          <w:highlight w:val="none"/>
        </w:rPr>
        <w:t>施工期间产生的水土流失。该区域</w:t>
      </w:r>
      <w:r>
        <w:rPr>
          <w:rFonts w:hint="eastAsia" w:cs="Times New Roman"/>
          <w:color w:val="auto"/>
          <w:highlight w:val="none"/>
          <w:lang w:eastAsia="zh-CN"/>
        </w:rPr>
        <w:t>方案</w:t>
      </w:r>
      <w:r>
        <w:rPr>
          <w:rFonts w:hint="eastAsia" w:cs="Times New Roman"/>
          <w:color w:val="auto"/>
          <w:highlight w:val="none"/>
          <w:lang w:val="en-US" w:eastAsia="zh-CN"/>
        </w:rPr>
        <w:t>新增在</w:t>
      </w:r>
      <w:r>
        <w:rPr>
          <w:rFonts w:hint="default" w:ascii="Times New Roman" w:hAnsi="Times New Roman" w:cs="Times New Roman"/>
          <w:color w:val="auto"/>
          <w:highlight w:val="none"/>
        </w:rPr>
        <w:t>施工过程中</w:t>
      </w:r>
      <w:r>
        <w:rPr>
          <w:rFonts w:hint="eastAsia" w:cs="Times New Roman"/>
          <w:color w:val="auto"/>
          <w:highlight w:val="none"/>
          <w:lang w:eastAsia="zh-CN"/>
        </w:rPr>
        <w:t>对车辆碾压及人为活动</w:t>
      </w:r>
      <w:r>
        <w:rPr>
          <w:rFonts w:hint="default" w:ascii="Times New Roman" w:hAnsi="Times New Roman" w:cs="Times New Roman"/>
          <w:color w:val="auto"/>
          <w:highlight w:val="none"/>
        </w:rPr>
        <w:t>产生的扬尘采取洒水措施。</w:t>
      </w:r>
    </w:p>
    <w:p>
      <w:pPr>
        <w:pStyle w:val="55"/>
        <w:numPr>
          <w:ilvl w:val="0"/>
          <w:numId w:val="5"/>
        </w:numPr>
        <w:ind w:left="0" w:leftChars="0" w:firstLine="480" w:firstLineChars="200"/>
        <w:rPr>
          <w:rFonts w:hint="eastAsia" w:cs="Times New Roman"/>
          <w:color w:val="auto"/>
          <w:highlight w:val="none"/>
          <w:lang w:val="en-US" w:eastAsia="zh-CN"/>
        </w:rPr>
      </w:pPr>
      <w:r>
        <w:rPr>
          <w:rFonts w:hint="eastAsia" w:cs="Times New Roman"/>
          <w:color w:val="auto"/>
          <w:highlight w:val="none"/>
          <w:lang w:val="en-US" w:eastAsia="zh-CN"/>
        </w:rPr>
        <w:t>工程措施</w:t>
      </w:r>
    </w:p>
    <w:p>
      <w:pPr>
        <w:pStyle w:val="55"/>
        <w:numPr>
          <w:ilvl w:val="0"/>
          <w:numId w:val="0"/>
        </w:numPr>
        <w:ind w:leftChars="200"/>
        <w:rPr>
          <w:rFonts w:hint="default" w:cs="Times New Roman"/>
          <w:color w:val="auto"/>
          <w:highlight w:val="none"/>
          <w:lang w:val="en-US" w:eastAsia="zh-CN"/>
        </w:rPr>
      </w:pPr>
      <w:r>
        <w:rPr>
          <w:rFonts w:hint="default" w:ascii="Times New Roman" w:hAnsi="Times New Roman" w:eastAsia="仿宋_GB2312" w:cs="Times New Roman"/>
          <w:color w:val="auto"/>
          <w:highlight w:val="none"/>
        </w:rPr>
        <w:t>①</w:t>
      </w:r>
      <w:r>
        <w:rPr>
          <w:rFonts w:hint="eastAsia" w:cs="Times New Roman"/>
          <w:color w:val="auto"/>
          <w:highlight w:val="none"/>
          <w:lang w:eastAsia="zh-CN"/>
        </w:rPr>
        <w:t>土地平整（主体已列），平整</w:t>
      </w:r>
      <w:r>
        <w:rPr>
          <w:rFonts w:hint="default" w:ascii="Times New Roman" w:hAnsi="Times New Roman" w:eastAsia="仿宋_GB2312" w:cs="Times New Roman"/>
          <w:color w:val="auto"/>
          <w:highlight w:val="none"/>
        </w:rPr>
        <w:t>面积</w:t>
      </w:r>
      <w:r>
        <w:rPr>
          <w:rFonts w:hint="eastAsia" w:cs="Times New Roman"/>
          <w:color w:val="auto"/>
          <w:highlight w:val="none"/>
          <w:lang w:eastAsia="zh-CN"/>
        </w:rPr>
        <w:t>为</w:t>
      </w:r>
      <w:r>
        <w:rPr>
          <w:rFonts w:hint="eastAsia" w:cs="Times New Roman"/>
          <w:color w:val="auto"/>
          <w:highlight w:val="none"/>
          <w:lang w:val="en-US" w:eastAsia="zh-CN"/>
        </w:rPr>
        <w:t>0.02h</w:t>
      </w:r>
      <w:r>
        <w:rPr>
          <w:rFonts w:hint="eastAsia" w:cs="Times New Roman"/>
          <w:color w:val="auto"/>
          <w:highlight w:val="none"/>
          <w:lang w:eastAsia="zh-CN"/>
        </w:rPr>
        <w:t>m²</w:t>
      </w:r>
      <w:r>
        <w:rPr>
          <w:rFonts w:hint="default" w:ascii="Times New Roman" w:hAnsi="Times New Roman" w:eastAsia="仿宋_GB2312" w:cs="Times New Roman"/>
          <w:color w:val="auto"/>
          <w:highlight w:val="none"/>
        </w:rPr>
        <w:t>。</w:t>
      </w:r>
    </w:p>
    <w:p>
      <w:pPr>
        <w:pStyle w:val="55"/>
        <w:ind w:firstLine="480"/>
        <w:rPr>
          <w:rFonts w:hint="default" w:ascii="Times New Roman" w:hAnsi="Times New Roman" w:eastAsia="仿宋_GB2312" w:cs="Times New Roman"/>
          <w:color w:val="auto"/>
          <w:highlight w:val="none"/>
        </w:rPr>
      </w:pPr>
      <w:r>
        <w:rPr>
          <w:rFonts w:hint="eastAsia" w:cs="Times New Roman"/>
          <w:color w:val="auto"/>
          <w:highlight w:val="none"/>
          <w:lang w:val="en-US" w:eastAsia="zh-CN"/>
        </w:rPr>
        <w:t>2</w:t>
      </w:r>
      <w:r>
        <w:rPr>
          <w:rFonts w:hint="default" w:ascii="Times New Roman" w:hAnsi="Times New Roman" w:eastAsia="仿宋_GB2312" w:cs="Times New Roman"/>
          <w:color w:val="auto"/>
          <w:highlight w:val="none"/>
        </w:rPr>
        <w:t>、临时措施</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①洒水</w:t>
      </w:r>
      <w:r>
        <w:rPr>
          <w:rFonts w:hint="default" w:ascii="Times New Roman" w:hAnsi="Times New Roman" w:eastAsia="仿宋_GB2312" w:cs="Times New Roman"/>
          <w:b w:val="0"/>
          <w:bCs w:val="0"/>
          <w:snapToGrid w:val="0"/>
          <w:color w:val="auto"/>
          <w:kern w:val="24"/>
          <w:sz w:val="24"/>
          <w:szCs w:val="24"/>
          <w:highlight w:val="none"/>
          <w:lang w:val="en-US" w:eastAsia="zh-CN" w:bidi="ar-SA"/>
        </w:rPr>
        <w:t>降尘</w:t>
      </w:r>
      <w:r>
        <w:rPr>
          <w:rFonts w:hint="eastAsia" w:ascii="Times New Roman" w:hAnsi="Times New Roman" w:eastAsia="仿宋_GB2312" w:cs="Times New Roman"/>
          <w:b w:val="0"/>
          <w:bCs w:val="0"/>
          <w:snapToGrid w:val="0"/>
          <w:color w:val="auto"/>
          <w:kern w:val="24"/>
          <w:sz w:val="24"/>
          <w:szCs w:val="24"/>
          <w:highlight w:val="none"/>
          <w:lang w:val="en-US" w:eastAsia="zh-CN" w:bidi="ar-SA"/>
        </w:rPr>
        <w:t>（方案新增），</w:t>
      </w:r>
      <w:r>
        <w:rPr>
          <w:rFonts w:hint="default" w:ascii="Times New Roman" w:hAnsi="Times New Roman" w:eastAsia="仿宋_GB2312" w:cs="Times New Roman"/>
          <w:color w:val="auto"/>
          <w:highlight w:val="none"/>
        </w:rPr>
        <w:t>共</w:t>
      </w:r>
      <w:r>
        <w:rPr>
          <w:rFonts w:hint="eastAsia" w:cs="Times New Roman"/>
          <w:color w:val="auto"/>
          <w:highlight w:val="none"/>
          <w:lang w:eastAsia="zh-CN"/>
        </w:rPr>
        <w:t>需</w:t>
      </w:r>
      <w:r>
        <w:rPr>
          <w:rFonts w:hint="default" w:ascii="Times New Roman" w:hAnsi="Times New Roman" w:eastAsia="仿宋_GB2312" w:cs="Times New Roman"/>
          <w:color w:val="auto"/>
          <w:highlight w:val="none"/>
        </w:rPr>
        <w:t>洒水量为</w:t>
      </w:r>
      <w:r>
        <w:rPr>
          <w:rFonts w:hint="eastAsia" w:cs="Times New Roman"/>
          <w:color w:val="auto"/>
          <w:highlight w:val="none"/>
          <w:lang w:val="en-US" w:eastAsia="zh-CN"/>
        </w:rPr>
        <w:t>100</w:t>
      </w:r>
      <w:r>
        <w:rPr>
          <w:rFonts w:hint="default" w:ascii="Times New Roman" w:hAnsi="Times New Roman" w:eastAsia="仿宋_GB2312" w:cs="Times New Roman"/>
          <w:color w:val="auto"/>
          <w:highlight w:val="none"/>
        </w:rPr>
        <w:t>m³。</w:t>
      </w:r>
    </w:p>
    <w:p>
      <w:pPr>
        <w:pStyle w:val="66"/>
        <w:ind w:firstLine="148"/>
        <w:rPr>
          <w:rFonts w:hint="default" w:ascii="Times New Roman" w:hAnsi="Times New Roman" w:eastAsia="仿宋_GB2312" w:cs="Times New Roman"/>
          <w:color w:val="auto"/>
          <w:highlight w:val="none"/>
        </w:rPr>
      </w:pPr>
      <w:bookmarkStart w:id="64" w:name="_Toc417412297"/>
      <w:bookmarkStart w:id="65" w:name="_Toc407014513"/>
      <w:bookmarkStart w:id="66" w:name="_Toc29401"/>
      <w:r>
        <w:rPr>
          <w:rFonts w:hint="default" w:ascii="Times New Roman" w:hAnsi="Times New Roman" w:eastAsia="仿宋_GB2312" w:cs="Times New Roman"/>
          <w:color w:val="auto"/>
          <w:highlight w:val="none"/>
        </w:rPr>
        <w:t xml:space="preserve">1.9 </w:t>
      </w:r>
      <w:bookmarkEnd w:id="64"/>
      <w:bookmarkEnd w:id="65"/>
      <w:r>
        <w:rPr>
          <w:rFonts w:hint="default" w:ascii="Times New Roman" w:hAnsi="Times New Roman" w:eastAsia="仿宋_GB2312" w:cs="Times New Roman"/>
          <w:color w:val="auto"/>
          <w:highlight w:val="none"/>
        </w:rPr>
        <w:t>水土保持监测方案</w:t>
      </w:r>
      <w:bookmarkEnd w:id="66"/>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新疆维吾尔自治区实施&lt;中华人民共和国水土保持法&gt;办法》（2013年7月31日修订，2013年10月1日实施）第二十四条规定，依法应当编制水土保持方案报告书的生产建设项目，生产建设单位应当自行或者委托具备相应水土保持监测技术能力机构进行监测。本项目为占地面积不满五万平方米且挖、填土石方总量不满五万立方米，应编制水土保持方案报告表，不在规定的应当进行水土保持监测的生产建设项目范围内。因此，本项目水土保持监测工作由建设单位自行安排，不作具体设计要求。</w:t>
      </w:r>
    </w:p>
    <w:p>
      <w:pPr>
        <w:pStyle w:val="66"/>
        <w:ind w:firstLine="148"/>
        <w:rPr>
          <w:rFonts w:hint="default" w:ascii="Times New Roman" w:hAnsi="Times New Roman" w:eastAsia="仿宋_GB2312" w:cs="Times New Roman"/>
          <w:color w:val="auto"/>
          <w:highlight w:val="none"/>
        </w:rPr>
      </w:pPr>
      <w:bookmarkStart w:id="67" w:name="_Toc407014514"/>
      <w:bookmarkStart w:id="68" w:name="_Toc417412298"/>
      <w:bookmarkStart w:id="69" w:name="_Toc20101"/>
      <w:r>
        <w:rPr>
          <w:rFonts w:hint="default" w:ascii="Times New Roman" w:hAnsi="Times New Roman" w:eastAsia="仿宋_GB2312" w:cs="Times New Roman"/>
          <w:color w:val="auto"/>
          <w:highlight w:val="none"/>
        </w:rPr>
        <w:t xml:space="preserve">1.10 </w:t>
      </w:r>
      <w:bookmarkEnd w:id="67"/>
      <w:bookmarkEnd w:id="68"/>
      <w:r>
        <w:rPr>
          <w:rFonts w:hint="default" w:ascii="Times New Roman" w:hAnsi="Times New Roman" w:eastAsia="仿宋_GB2312" w:cs="Times New Roman"/>
          <w:color w:val="auto"/>
          <w:highlight w:val="none"/>
        </w:rPr>
        <w:t>水土保持投资及效益分析成果</w:t>
      </w:r>
      <w:bookmarkEnd w:id="69"/>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本项目水土保持总投资为</w:t>
      </w:r>
      <w:r>
        <w:rPr>
          <w:rFonts w:hint="eastAsia" w:cs="Times New Roman"/>
          <w:color w:val="auto"/>
          <w:highlight w:val="none"/>
          <w:lang w:val="en-US" w:eastAsia="zh-CN"/>
        </w:rPr>
        <w:t>13.81</w:t>
      </w:r>
      <w:r>
        <w:rPr>
          <w:rFonts w:hint="default" w:ascii="Times New Roman" w:hAnsi="Times New Roman" w:eastAsia="仿宋_GB2312" w:cs="Times New Roman"/>
          <w:color w:val="auto"/>
          <w:highlight w:val="none"/>
        </w:rPr>
        <w:t>万元，主体已列水土保持总投资为</w:t>
      </w:r>
      <w:r>
        <w:rPr>
          <w:rFonts w:hint="eastAsia" w:cs="Times New Roman"/>
          <w:color w:val="auto"/>
          <w:highlight w:val="none"/>
          <w:lang w:val="en-US" w:eastAsia="zh-CN"/>
        </w:rPr>
        <w:t>0.04</w:t>
      </w:r>
      <w:r>
        <w:rPr>
          <w:rFonts w:hint="default" w:ascii="Times New Roman" w:hAnsi="Times New Roman" w:eastAsia="仿宋_GB2312" w:cs="Times New Roman"/>
          <w:color w:val="auto"/>
          <w:highlight w:val="none"/>
        </w:rPr>
        <w:t>万元，新增水土保持总投资为</w:t>
      </w:r>
      <w:r>
        <w:rPr>
          <w:rFonts w:hint="eastAsia" w:cs="Times New Roman"/>
          <w:color w:val="auto"/>
          <w:highlight w:val="none"/>
          <w:lang w:val="en-US" w:eastAsia="zh-CN"/>
        </w:rPr>
        <w:t>8.26</w:t>
      </w:r>
      <w:r>
        <w:rPr>
          <w:rFonts w:hint="default" w:ascii="Times New Roman" w:hAnsi="Times New Roman" w:eastAsia="仿宋_GB2312" w:cs="Times New Roman"/>
          <w:color w:val="auto"/>
          <w:highlight w:val="none"/>
        </w:rPr>
        <w:t>万元。水土保持总投资中工程措施投资0.0</w:t>
      </w:r>
      <w:r>
        <w:rPr>
          <w:rFonts w:hint="eastAsia" w:cs="Times New Roman"/>
          <w:color w:val="auto"/>
          <w:highlight w:val="none"/>
          <w:lang w:val="en-US" w:eastAsia="zh-CN"/>
        </w:rPr>
        <w:t>2</w:t>
      </w:r>
      <w:r>
        <w:rPr>
          <w:rFonts w:hint="default" w:ascii="Times New Roman" w:hAnsi="Times New Roman" w:eastAsia="仿宋_GB2312" w:cs="Times New Roman"/>
          <w:color w:val="auto"/>
          <w:highlight w:val="none"/>
        </w:rPr>
        <w:t>万元，植物措施投资0.0</w:t>
      </w:r>
      <w:r>
        <w:rPr>
          <w:rFonts w:hint="eastAsia" w:cs="Times New Roman"/>
          <w:color w:val="auto"/>
          <w:highlight w:val="none"/>
          <w:lang w:val="en-US" w:eastAsia="zh-CN"/>
        </w:rPr>
        <w:t>1</w:t>
      </w:r>
      <w:r>
        <w:rPr>
          <w:rFonts w:hint="default" w:ascii="Times New Roman" w:hAnsi="Times New Roman" w:eastAsia="仿宋_GB2312" w:cs="Times New Roman"/>
          <w:color w:val="auto"/>
          <w:highlight w:val="none"/>
        </w:rPr>
        <w:t>万元，临时措施投资</w:t>
      </w:r>
      <w:r>
        <w:rPr>
          <w:rFonts w:hint="eastAsia" w:cs="Times New Roman"/>
          <w:color w:val="auto"/>
          <w:highlight w:val="none"/>
          <w:lang w:val="en-US" w:eastAsia="zh-CN"/>
        </w:rPr>
        <w:t>8.26</w:t>
      </w:r>
      <w:r>
        <w:rPr>
          <w:rFonts w:hint="default" w:ascii="Times New Roman" w:hAnsi="Times New Roman" w:eastAsia="仿宋_GB2312" w:cs="Times New Roman"/>
          <w:color w:val="auto"/>
          <w:highlight w:val="none"/>
        </w:rPr>
        <w:t>万元，独立费用</w:t>
      </w:r>
      <w:r>
        <w:rPr>
          <w:rFonts w:hint="eastAsia" w:cs="Times New Roman"/>
          <w:color w:val="auto"/>
          <w:highlight w:val="none"/>
          <w:lang w:val="en-US" w:eastAsia="zh-CN"/>
        </w:rPr>
        <w:t>5.07</w:t>
      </w:r>
      <w:r>
        <w:rPr>
          <w:rFonts w:hint="default" w:ascii="Times New Roman" w:hAnsi="Times New Roman" w:eastAsia="仿宋_GB2312" w:cs="Times New Roman"/>
          <w:color w:val="auto"/>
          <w:highlight w:val="none"/>
        </w:rPr>
        <w:t>万元，基本预备费</w:t>
      </w:r>
      <w:r>
        <w:rPr>
          <w:rFonts w:hint="eastAsia" w:cs="Times New Roman"/>
          <w:color w:val="auto"/>
          <w:highlight w:val="none"/>
          <w:lang w:val="en-US" w:eastAsia="zh-CN"/>
        </w:rPr>
        <w:t>0.80</w:t>
      </w:r>
      <w:r>
        <w:rPr>
          <w:rFonts w:hint="default" w:ascii="Times New Roman" w:hAnsi="Times New Roman" w:eastAsia="仿宋_GB2312" w:cs="Times New Roman"/>
          <w:color w:val="auto"/>
          <w:highlight w:val="none"/>
        </w:rPr>
        <w:t>万元，水土保持补偿费0.4</w:t>
      </w:r>
      <w:r>
        <w:rPr>
          <w:rFonts w:hint="eastAsia" w:cs="Times New Roman"/>
          <w:color w:val="auto"/>
          <w:highlight w:val="none"/>
          <w:lang w:val="en-US" w:eastAsia="zh-CN"/>
        </w:rPr>
        <w:t>5</w:t>
      </w:r>
      <w:r>
        <w:rPr>
          <w:rFonts w:hint="default" w:ascii="Times New Roman" w:hAnsi="Times New Roman" w:eastAsia="仿宋_GB2312" w:cs="Times New Roman"/>
          <w:color w:val="auto"/>
          <w:highlight w:val="none"/>
        </w:rPr>
        <w:t>万元。</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通过主体设计的水土保持措施及方案新增水土保持措得到落实后，工程建设区内水土流失可以得到基本治理，其中水土流失治理度达到</w:t>
      </w:r>
      <w:r>
        <w:rPr>
          <w:rFonts w:hint="eastAsia" w:cs="Times New Roman"/>
          <w:color w:val="auto"/>
          <w:highlight w:val="none"/>
          <w:lang w:val="en-US" w:eastAsia="zh-CN"/>
        </w:rPr>
        <w:t>99.99</w:t>
      </w:r>
      <w:r>
        <w:rPr>
          <w:rFonts w:hint="default" w:ascii="Times New Roman" w:hAnsi="Times New Roman" w:eastAsia="仿宋_GB2312" w:cs="Times New Roman"/>
          <w:color w:val="auto"/>
          <w:highlight w:val="none"/>
        </w:rPr>
        <w:t>%，土壤流失控制比达到1.0，渣土防护率达到</w:t>
      </w:r>
      <w:r>
        <w:rPr>
          <w:rFonts w:hint="eastAsia" w:cs="Times New Roman"/>
          <w:color w:val="auto"/>
          <w:highlight w:val="none"/>
          <w:lang w:val="en-US" w:eastAsia="zh-CN"/>
        </w:rPr>
        <w:t>90.1</w:t>
      </w:r>
      <w:r>
        <w:rPr>
          <w:rFonts w:hint="default" w:ascii="Times New Roman" w:hAnsi="Times New Roman" w:eastAsia="仿宋_GB2312" w:cs="Times New Roman"/>
          <w:color w:val="auto"/>
          <w:highlight w:val="none"/>
        </w:rPr>
        <w:t>%，林草植被恢复率达到</w:t>
      </w:r>
      <w:r>
        <w:rPr>
          <w:rFonts w:hint="eastAsia" w:cs="Times New Roman"/>
          <w:color w:val="auto"/>
          <w:highlight w:val="none"/>
          <w:lang w:val="en-US" w:eastAsia="zh-CN"/>
        </w:rPr>
        <w:t>98.3</w:t>
      </w:r>
      <w:r>
        <w:rPr>
          <w:rFonts w:hint="eastAsia" w:cs="Times New Roman"/>
          <w:color w:val="auto"/>
          <w:highlight w:val="none"/>
          <w:lang w:eastAsia="zh-CN"/>
        </w:rPr>
        <w:t>%</w:t>
      </w:r>
      <w:r>
        <w:rPr>
          <w:rFonts w:hint="default" w:ascii="Times New Roman" w:hAnsi="Times New Roman" w:eastAsia="仿宋_GB2312" w:cs="Times New Roman"/>
          <w:color w:val="auto"/>
          <w:highlight w:val="none"/>
        </w:rPr>
        <w:t>，林草覆盖率达到</w:t>
      </w:r>
      <w:r>
        <w:rPr>
          <w:rFonts w:hint="eastAsia" w:cs="Times New Roman"/>
          <w:color w:val="auto"/>
          <w:highlight w:val="none"/>
          <w:lang w:val="en-US" w:eastAsia="zh-CN"/>
        </w:rPr>
        <w:t>37</w:t>
      </w:r>
      <w:r>
        <w:rPr>
          <w:rFonts w:hint="default" w:ascii="Times New Roman" w:hAnsi="Times New Roman" w:eastAsia="仿宋_GB2312" w:cs="Times New Roman"/>
          <w:color w:val="auto"/>
          <w:highlight w:val="none"/>
        </w:rPr>
        <w:t>%。除表土保护率不做要求外，其余各项指标均达到目标值。项目建设造成的新增水土流失得到有效控制，水土流失得到治理。</w:t>
      </w:r>
    </w:p>
    <w:p>
      <w:pPr>
        <w:pStyle w:val="66"/>
        <w:ind w:firstLine="148"/>
        <w:rPr>
          <w:rFonts w:hint="default" w:ascii="Times New Roman" w:hAnsi="Times New Roman" w:eastAsia="仿宋_GB2312" w:cs="Times New Roman"/>
          <w:color w:val="auto"/>
          <w:highlight w:val="none"/>
        </w:rPr>
      </w:pPr>
      <w:bookmarkStart w:id="70" w:name="_Toc9508"/>
      <w:r>
        <w:rPr>
          <w:rFonts w:hint="default" w:ascii="Times New Roman" w:hAnsi="Times New Roman" w:eastAsia="仿宋_GB2312" w:cs="Times New Roman"/>
          <w:color w:val="auto"/>
          <w:highlight w:val="none"/>
        </w:rPr>
        <w:t>1.11 结论</w:t>
      </w:r>
      <w:bookmarkEnd w:id="70"/>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从水土保持角度分析，本工程建设符合地区规划，工程选址、布局、占地、取料场、弃渣场、施工组织及施工工艺等方面不存在制约工程建设的不利因素，工程建设将扰动地表造成一定程度的水土流失，但通过水土保持方案各种治理措施的实施，对水土流失的防治及控制能力可以满足防治要求，不存在影响本工程建设的水土保持制约性因素。因此主体工程在做好水土流失防治工作后是可行的。</w:t>
      </w:r>
    </w:p>
    <w:p>
      <w:pPr>
        <w:pStyle w:val="55"/>
        <w:ind w:firstLine="480"/>
        <w:rPr>
          <w:rFonts w:hint="default" w:ascii="Times New Roman" w:hAnsi="Times New Roman" w:eastAsia="仿宋_GB2312" w:cs="Times New Roman"/>
          <w:color w:val="auto"/>
          <w:highlight w:val="none"/>
        </w:rPr>
        <w:sectPr>
          <w:headerReference r:id="rId19" w:type="default"/>
          <w:footerReference r:id="rId20" w:type="default"/>
          <w:pgSz w:w="11906" w:h="16838"/>
          <w:pgMar w:top="1440" w:right="1531" w:bottom="1440" w:left="1531" w:header="851" w:footer="992" w:gutter="0"/>
          <w:pgBorders>
            <w:top w:val="none" w:sz="0" w:space="0"/>
            <w:left w:val="none" w:sz="0" w:space="0"/>
            <w:bottom w:val="none" w:sz="0" w:space="0"/>
            <w:right w:val="none" w:sz="0" w:space="0"/>
          </w:pgBorders>
          <w:pgNumType w:start="1" w:chapStyle="1"/>
          <w:cols w:space="720" w:num="1"/>
          <w:docGrid w:linePitch="312" w:charSpace="0"/>
        </w:sectPr>
      </w:pPr>
      <w:r>
        <w:rPr>
          <w:rFonts w:hint="default" w:ascii="Times New Roman" w:hAnsi="Times New Roman" w:eastAsia="仿宋_GB2312" w:cs="Times New Roman"/>
          <w:color w:val="auto"/>
          <w:szCs w:val="20"/>
          <w:highlight w:val="none"/>
        </w:rPr>
        <w:t>工程目前</w:t>
      </w:r>
      <w:r>
        <w:rPr>
          <w:rFonts w:hint="eastAsia" w:cs="Times New Roman"/>
          <w:color w:val="auto"/>
          <w:szCs w:val="20"/>
          <w:highlight w:val="none"/>
          <w:lang w:eastAsia="zh-CN"/>
        </w:rPr>
        <w:t>未建设开工</w:t>
      </w:r>
      <w:r>
        <w:rPr>
          <w:rFonts w:hint="default" w:ascii="Times New Roman" w:hAnsi="Times New Roman" w:eastAsia="仿宋_GB2312" w:cs="Times New Roman"/>
          <w:color w:val="auto"/>
          <w:szCs w:val="20"/>
          <w:highlight w:val="none"/>
        </w:rPr>
        <w:t>，建设单位</w:t>
      </w:r>
      <w:r>
        <w:rPr>
          <w:rFonts w:hint="eastAsia" w:cs="Times New Roman"/>
          <w:color w:val="auto"/>
          <w:szCs w:val="20"/>
          <w:highlight w:val="none"/>
          <w:lang w:eastAsia="zh-CN"/>
        </w:rPr>
        <w:t>开工后应</w:t>
      </w:r>
      <w:r>
        <w:rPr>
          <w:rFonts w:hint="default" w:ascii="Times New Roman" w:hAnsi="Times New Roman" w:eastAsia="仿宋_GB2312" w:cs="Times New Roman"/>
          <w:color w:val="auto"/>
          <w:szCs w:val="20"/>
          <w:highlight w:val="none"/>
        </w:rPr>
        <w:t>积极做好水土保持设施的维护工作，保证各水土保持措施能够发挥水土保持效益；及时开展本项目水土保持监理、监测工作，为项目的水土保持设施竣工验收提供依据；建议建设单位在方案批复后及时缴纳方案中确定的水土保持补偿费。</w:t>
      </w:r>
    </w:p>
    <w:bookmarkEnd w:id="1"/>
    <w:p>
      <w:pPr>
        <w:pStyle w:val="65"/>
        <w:rPr>
          <w:rFonts w:hint="default" w:ascii="Times New Roman" w:hAnsi="Times New Roman" w:eastAsia="仿宋_GB2312" w:cs="Times New Roman"/>
          <w:color w:val="auto"/>
          <w:highlight w:val="none"/>
        </w:rPr>
      </w:pPr>
      <w:bookmarkStart w:id="71" w:name="_Toc13068"/>
      <w:r>
        <w:rPr>
          <w:rFonts w:hint="default" w:ascii="Times New Roman" w:hAnsi="Times New Roman" w:eastAsia="仿宋_GB2312" w:cs="Times New Roman"/>
          <w:color w:val="auto"/>
          <w:highlight w:val="none"/>
        </w:rPr>
        <w:t>2 项目概况</w:t>
      </w:r>
      <w:bookmarkEnd w:id="71"/>
    </w:p>
    <w:p>
      <w:pPr>
        <w:pStyle w:val="66"/>
        <w:ind w:firstLine="148"/>
        <w:rPr>
          <w:rFonts w:hint="default" w:ascii="Times New Roman" w:hAnsi="Times New Roman" w:eastAsia="仿宋_GB2312" w:cs="Times New Roman"/>
          <w:color w:val="auto"/>
          <w:highlight w:val="none"/>
        </w:rPr>
      </w:pPr>
      <w:bookmarkStart w:id="72" w:name="_Toc10232"/>
      <w:r>
        <w:rPr>
          <w:rFonts w:hint="default" w:ascii="Times New Roman" w:hAnsi="Times New Roman" w:eastAsia="仿宋_GB2312" w:cs="Times New Roman"/>
          <w:color w:val="auto"/>
          <w:highlight w:val="none"/>
        </w:rPr>
        <w:t>2.1 项目组成及工程布置</w:t>
      </w:r>
      <w:bookmarkEnd w:id="72"/>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2.1.1 项目基本情况</w:t>
      </w:r>
    </w:p>
    <w:p>
      <w:pPr>
        <w:overflowPunct w:val="0"/>
        <w:autoSpaceDE w:val="0"/>
        <w:autoSpaceDN w:val="0"/>
        <w:ind w:firstLine="480"/>
        <w:jc w:val="left"/>
        <w:rPr>
          <w:rFonts w:hint="default" w:ascii="Times New Roman" w:hAnsi="Times New Roman" w:eastAsia="仿宋_GB2312" w:cs="Times New Roman"/>
          <w:snapToGrid w:val="0"/>
          <w:color w:val="auto"/>
          <w:kern w:val="24"/>
          <w:szCs w:val="24"/>
          <w:highlight w:val="none"/>
          <w:lang w:eastAsia="zh-CN"/>
        </w:rPr>
      </w:pPr>
      <w:r>
        <w:rPr>
          <w:rFonts w:hint="default" w:ascii="Times New Roman" w:hAnsi="Times New Roman" w:eastAsia="仿宋_GB2312" w:cs="Times New Roman"/>
          <w:snapToGrid w:val="0"/>
          <w:color w:val="auto"/>
          <w:kern w:val="24"/>
          <w:szCs w:val="24"/>
          <w:highlight w:val="none"/>
        </w:rPr>
        <w:t>（1）项目名称：</w:t>
      </w:r>
      <w:r>
        <w:rPr>
          <w:rFonts w:hint="eastAsia" w:eastAsia="仿宋_GB2312" w:cs="Times New Roman"/>
          <w:snapToGrid w:val="0"/>
          <w:color w:val="auto"/>
          <w:kern w:val="24"/>
          <w:szCs w:val="24"/>
          <w:highlight w:val="none"/>
          <w:lang w:eastAsia="zh-CN"/>
        </w:rPr>
        <w:t>策勒县城东加油站项目</w:t>
      </w:r>
    </w:p>
    <w:p>
      <w:pPr>
        <w:overflowPunct w:val="0"/>
        <w:autoSpaceDE w:val="0"/>
        <w:autoSpaceDN w:val="0"/>
        <w:ind w:firstLine="480"/>
        <w:jc w:val="left"/>
        <w:rPr>
          <w:rFonts w:hint="default" w:ascii="Times New Roman" w:hAnsi="Times New Roman" w:eastAsia="仿宋_GB2312" w:cs="Times New Roman"/>
          <w:snapToGrid w:val="0"/>
          <w:color w:val="auto"/>
          <w:kern w:val="24"/>
          <w:szCs w:val="24"/>
          <w:highlight w:val="none"/>
          <w:lang w:val="en-US" w:eastAsia="zh-CN"/>
        </w:rPr>
      </w:pPr>
      <w:r>
        <w:rPr>
          <w:rFonts w:hint="default" w:ascii="Times New Roman" w:hAnsi="Times New Roman" w:eastAsia="仿宋_GB2312" w:cs="Times New Roman"/>
          <w:snapToGrid w:val="0"/>
          <w:color w:val="auto"/>
          <w:kern w:val="24"/>
          <w:szCs w:val="24"/>
          <w:highlight w:val="none"/>
        </w:rPr>
        <w:t>（2）项目建设单</w:t>
      </w:r>
      <w:bookmarkStart w:id="73" w:name="_Hlk506239108"/>
      <w:r>
        <w:rPr>
          <w:rFonts w:hint="default" w:ascii="Times New Roman" w:hAnsi="Times New Roman" w:eastAsia="仿宋_GB2312" w:cs="Times New Roman"/>
          <w:snapToGrid w:val="0"/>
          <w:color w:val="auto"/>
          <w:kern w:val="24"/>
          <w:szCs w:val="24"/>
          <w:highlight w:val="none"/>
        </w:rPr>
        <w:t>位：</w:t>
      </w:r>
      <w:bookmarkEnd w:id="73"/>
      <w:r>
        <w:rPr>
          <w:rFonts w:hint="default" w:ascii="Times New Roman" w:hAnsi="Times New Roman" w:eastAsia="仿宋_GB2312" w:cs="Times New Roman"/>
          <w:snapToGrid w:val="0"/>
          <w:color w:val="auto"/>
          <w:kern w:val="24"/>
          <w:szCs w:val="24"/>
          <w:highlight w:val="none"/>
        </w:rPr>
        <w:t>中国石化销售</w:t>
      </w:r>
      <w:r>
        <w:rPr>
          <w:rFonts w:hint="eastAsia" w:eastAsia="仿宋_GB2312" w:cs="Times New Roman"/>
          <w:snapToGrid w:val="0"/>
          <w:color w:val="auto"/>
          <w:kern w:val="24"/>
          <w:szCs w:val="24"/>
          <w:highlight w:val="none"/>
          <w:lang w:eastAsia="zh-CN"/>
        </w:rPr>
        <w:t>股份</w:t>
      </w:r>
      <w:r>
        <w:rPr>
          <w:rFonts w:hint="default" w:ascii="Times New Roman" w:hAnsi="Times New Roman" w:eastAsia="仿宋_GB2312" w:cs="Times New Roman"/>
          <w:snapToGrid w:val="0"/>
          <w:color w:val="auto"/>
          <w:kern w:val="24"/>
          <w:szCs w:val="24"/>
          <w:highlight w:val="none"/>
        </w:rPr>
        <w:t>有限公司新疆和田石油分公司</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（3）项目地理位置：本项目位于策勒县天津工业园区和平北路东侧。北纬36°57.52′70″，东经80°50.01′21″</w:t>
      </w:r>
      <w:r>
        <w:rPr>
          <w:rFonts w:hint="eastAsia" w:cs="Times New Roman"/>
          <w:color w:val="auto"/>
          <w:highlight w:val="none"/>
          <w:lang w:eastAsia="zh-CN"/>
        </w:rPr>
        <w:t>，距离策勒县中心距离约</w:t>
      </w:r>
      <w:r>
        <w:rPr>
          <w:rFonts w:hint="eastAsia" w:cs="Times New Roman"/>
          <w:color w:val="auto"/>
          <w:highlight w:val="none"/>
          <w:lang w:val="en-US" w:eastAsia="zh-CN"/>
        </w:rPr>
        <w:t>4km，距离主要公路G315公路约100m，</w:t>
      </w:r>
      <w:r>
        <w:rPr>
          <w:rFonts w:hint="default" w:ascii="Times New Roman" w:hAnsi="Times New Roman" w:eastAsia="仿宋_GB2312" w:cs="Times New Roman"/>
          <w:color w:val="auto"/>
          <w:highlight w:val="none"/>
        </w:rPr>
        <w:t>具体</w:t>
      </w:r>
      <w:r>
        <w:rPr>
          <w:rFonts w:hint="eastAsia" w:cs="Times New Roman"/>
          <w:color w:val="auto"/>
          <w:highlight w:val="none"/>
          <w:lang w:eastAsia="zh-CN"/>
        </w:rPr>
        <w:t>位置</w:t>
      </w:r>
      <w:r>
        <w:rPr>
          <w:rFonts w:hint="default" w:ascii="Times New Roman" w:hAnsi="Times New Roman" w:eastAsia="仿宋_GB2312" w:cs="Times New Roman"/>
          <w:color w:val="auto"/>
          <w:highlight w:val="none"/>
        </w:rPr>
        <w:t>见项目区地理位置图。</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（4）建设性质：新建建设类。</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（5）建设规模及内容：</w:t>
      </w:r>
      <w:r>
        <w:rPr>
          <w:rFonts w:hint="eastAsia" w:cs="Times New Roman"/>
          <w:color w:val="auto"/>
          <w:highlight w:val="none"/>
          <w:lang w:eastAsia="zh-CN"/>
        </w:rPr>
        <w:t>该加油站</w:t>
      </w:r>
      <w:r>
        <w:rPr>
          <w:rFonts w:hint="default" w:ascii="Times New Roman" w:hAnsi="Times New Roman" w:eastAsia="仿宋_GB2312" w:cs="Times New Roman"/>
          <w:color w:val="auto"/>
          <w:highlight w:val="none"/>
        </w:rPr>
        <w:t>预计加油量</w:t>
      </w:r>
      <w:r>
        <w:rPr>
          <w:rFonts w:hint="eastAsia" w:cs="Times New Roman"/>
          <w:color w:val="auto"/>
          <w:highlight w:val="none"/>
          <w:lang w:val="en-US" w:eastAsia="zh-CN"/>
        </w:rPr>
        <w:t>3</w:t>
      </w:r>
      <w:r>
        <w:rPr>
          <w:rFonts w:hint="default" w:ascii="Times New Roman" w:hAnsi="Times New Roman" w:eastAsia="仿宋_GB2312" w:cs="Times New Roman"/>
          <w:color w:val="auto"/>
          <w:highlight w:val="none"/>
        </w:rPr>
        <w:t>500吨/年。</w:t>
      </w:r>
      <w:r>
        <w:rPr>
          <w:rFonts w:hint="eastAsia" w:cs="Times New Roman"/>
          <w:color w:val="auto"/>
          <w:highlight w:val="none"/>
          <w:lang w:eastAsia="zh-CN"/>
        </w:rPr>
        <w:t>本项目</w:t>
      </w:r>
      <w:r>
        <w:rPr>
          <w:rFonts w:hint="default" w:ascii="Times New Roman" w:hAnsi="Times New Roman" w:eastAsia="仿宋_GB2312" w:cs="Times New Roman"/>
          <w:color w:val="auto"/>
          <w:highlight w:val="none"/>
        </w:rPr>
        <w:t>新建一座</w:t>
      </w:r>
      <w:r>
        <w:rPr>
          <w:rFonts w:hint="eastAsia" w:cs="Times New Roman"/>
          <w:color w:val="auto"/>
          <w:highlight w:val="none"/>
          <w:lang w:eastAsia="zh-CN"/>
        </w:rPr>
        <w:t>一</w:t>
      </w:r>
      <w:r>
        <w:rPr>
          <w:rFonts w:hint="default" w:ascii="Times New Roman" w:hAnsi="Times New Roman" w:eastAsia="仿宋_GB2312" w:cs="Times New Roman"/>
          <w:color w:val="auto"/>
          <w:highlight w:val="none"/>
        </w:rPr>
        <w:t>层</w:t>
      </w:r>
      <w:r>
        <w:rPr>
          <w:rFonts w:hint="eastAsia" w:cs="Times New Roman"/>
          <w:color w:val="auto"/>
          <w:highlight w:val="none"/>
          <w:lang w:val="en-US" w:eastAsia="zh-CN"/>
        </w:rPr>
        <w:t>267.3</w:t>
      </w:r>
      <w:r>
        <w:rPr>
          <w:rFonts w:hint="eastAsia" w:cs="Times New Roman"/>
          <w:color w:val="auto"/>
          <w:highlight w:val="none"/>
          <w:lang w:eastAsia="zh-CN"/>
        </w:rPr>
        <w:t>m²</w:t>
      </w:r>
      <w:r>
        <w:rPr>
          <w:rFonts w:hint="default" w:ascii="Times New Roman" w:hAnsi="Times New Roman" w:eastAsia="仿宋_GB2312" w:cs="Times New Roman"/>
          <w:color w:val="auto"/>
          <w:highlight w:val="none"/>
        </w:rPr>
        <w:t>框架结构站房，新建一座罩棚，</w:t>
      </w:r>
      <w:r>
        <w:rPr>
          <w:rFonts w:hint="eastAsia" w:cs="Times New Roman"/>
          <w:color w:val="auto"/>
          <w:highlight w:val="none"/>
          <w:lang w:eastAsia="zh-CN"/>
        </w:rPr>
        <w:t>同时配套</w:t>
      </w:r>
      <w:r>
        <w:rPr>
          <w:rFonts w:hint="default" w:ascii="Times New Roman" w:hAnsi="Times New Roman" w:eastAsia="仿宋_GB2312" w:cs="Times New Roman"/>
          <w:color w:val="auto"/>
          <w:highlight w:val="none"/>
        </w:rPr>
        <w:t>站内给排水、采暖通风、供电通信、静电接地等附属设施。</w:t>
      </w:r>
      <w:r>
        <w:rPr>
          <w:rFonts w:hint="eastAsia" w:cs="Times New Roman"/>
          <w:color w:val="auto"/>
          <w:highlight w:val="none"/>
          <w:lang w:eastAsia="zh-CN"/>
        </w:rPr>
        <w:t>站内设备有</w:t>
      </w:r>
      <w:r>
        <w:rPr>
          <w:rFonts w:hint="default" w:ascii="Times New Roman" w:hAnsi="Times New Roman" w:eastAsia="仿宋_GB2312" w:cs="Times New Roman"/>
          <w:color w:val="auto"/>
          <w:highlight w:val="none"/>
        </w:rPr>
        <w:t>2座50</w:t>
      </w:r>
      <w:r>
        <w:rPr>
          <w:rFonts w:hint="eastAsia" w:cs="Times New Roman"/>
          <w:color w:val="auto"/>
          <w:highlight w:val="none"/>
          <w:lang w:eastAsia="zh-CN"/>
        </w:rPr>
        <w:t>m³</w:t>
      </w:r>
      <w:r>
        <w:rPr>
          <w:rFonts w:hint="default" w:ascii="Times New Roman" w:hAnsi="Times New Roman" w:eastAsia="仿宋_GB2312" w:cs="Times New Roman"/>
          <w:color w:val="auto"/>
          <w:highlight w:val="none"/>
        </w:rPr>
        <w:t>埋地柴油罐，2座</w:t>
      </w:r>
      <w:r>
        <w:rPr>
          <w:rFonts w:hint="eastAsia" w:cs="Times New Roman"/>
          <w:color w:val="auto"/>
          <w:highlight w:val="none"/>
          <w:lang w:val="en-US" w:eastAsia="zh-CN"/>
        </w:rPr>
        <w:t>30</w:t>
      </w:r>
      <w:r>
        <w:rPr>
          <w:rFonts w:hint="eastAsia" w:cs="Times New Roman"/>
          <w:color w:val="auto"/>
          <w:highlight w:val="none"/>
          <w:lang w:eastAsia="zh-CN"/>
        </w:rPr>
        <w:t>m³</w:t>
      </w:r>
      <w:r>
        <w:rPr>
          <w:rFonts w:hint="default" w:ascii="Times New Roman" w:hAnsi="Times New Roman" w:eastAsia="仿宋_GB2312" w:cs="Times New Roman"/>
          <w:color w:val="auto"/>
          <w:highlight w:val="none"/>
        </w:rPr>
        <w:t>埋地汽油罐</w:t>
      </w:r>
      <w:r>
        <w:rPr>
          <w:rFonts w:hint="eastAsia" w:cs="Times New Roman"/>
          <w:color w:val="auto"/>
          <w:highlight w:val="none"/>
          <w:lang w:eastAsia="zh-CN"/>
        </w:rPr>
        <w:t>以及</w:t>
      </w:r>
      <w:r>
        <w:rPr>
          <w:rFonts w:hint="eastAsia" w:cs="Times New Roman"/>
          <w:color w:val="auto"/>
          <w:highlight w:val="none"/>
          <w:lang w:val="en-US" w:eastAsia="zh-CN"/>
        </w:rPr>
        <w:t>4</w:t>
      </w:r>
      <w:r>
        <w:rPr>
          <w:rFonts w:hint="default" w:ascii="Times New Roman" w:hAnsi="Times New Roman" w:eastAsia="仿宋_GB2312" w:cs="Times New Roman"/>
          <w:color w:val="auto"/>
          <w:highlight w:val="none"/>
        </w:rPr>
        <w:t>台</w:t>
      </w:r>
      <w:r>
        <w:rPr>
          <w:rFonts w:hint="eastAsia" w:cs="Times New Roman"/>
          <w:color w:val="auto"/>
          <w:highlight w:val="none"/>
          <w:lang w:eastAsia="zh-CN"/>
        </w:rPr>
        <w:t>双枪</w:t>
      </w:r>
      <w:r>
        <w:rPr>
          <w:rFonts w:hint="default" w:ascii="Times New Roman" w:hAnsi="Times New Roman" w:eastAsia="仿宋_GB2312" w:cs="Times New Roman"/>
          <w:color w:val="auto"/>
          <w:highlight w:val="none"/>
        </w:rPr>
        <w:t>加油机</w:t>
      </w:r>
      <w:r>
        <w:rPr>
          <w:rFonts w:hint="eastAsia" w:cs="Times New Roman"/>
          <w:color w:val="auto"/>
          <w:highlight w:val="none"/>
          <w:lang w:eastAsia="zh-CN"/>
        </w:rPr>
        <w:t>，并</w:t>
      </w:r>
      <w:r>
        <w:rPr>
          <w:rFonts w:hint="default" w:ascii="Times New Roman" w:hAnsi="Times New Roman" w:eastAsia="仿宋_GB2312" w:cs="Times New Roman"/>
          <w:color w:val="auto"/>
          <w:highlight w:val="none"/>
        </w:rPr>
        <w:t>敷设相应工艺管线。</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（6）总投资及土建投资</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项目建设总投资</w:t>
      </w:r>
      <w:r>
        <w:rPr>
          <w:rFonts w:hint="eastAsia" w:cs="Times New Roman"/>
          <w:color w:val="auto"/>
          <w:highlight w:val="none"/>
          <w:lang w:eastAsia="zh-CN"/>
        </w:rPr>
        <w:t>829.55</w:t>
      </w:r>
      <w:r>
        <w:rPr>
          <w:rFonts w:hint="default" w:ascii="Times New Roman" w:hAnsi="Times New Roman" w:eastAsia="仿宋_GB2312" w:cs="Times New Roman"/>
          <w:color w:val="auto"/>
          <w:highlight w:val="none"/>
        </w:rPr>
        <w:t>万元，其中土建投资</w:t>
      </w:r>
      <w:r>
        <w:rPr>
          <w:rFonts w:hint="eastAsia" w:cs="Times New Roman"/>
          <w:color w:val="auto"/>
          <w:highlight w:val="none"/>
          <w:lang w:eastAsia="zh-CN"/>
        </w:rPr>
        <w:t>720.61</w:t>
      </w:r>
      <w:r>
        <w:rPr>
          <w:rFonts w:hint="default" w:ascii="Times New Roman" w:hAnsi="Times New Roman" w:eastAsia="仿宋_GB2312" w:cs="Times New Roman"/>
          <w:color w:val="auto"/>
          <w:highlight w:val="none"/>
        </w:rPr>
        <w:t>万元，均由建设单位自筹解决。</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（7）建设工期</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本工程建设期</w:t>
      </w:r>
      <w:r>
        <w:rPr>
          <w:rFonts w:hint="eastAsia" w:cs="Times New Roman"/>
          <w:color w:val="auto"/>
          <w:highlight w:val="none"/>
          <w:lang w:val="en-US" w:eastAsia="zh-CN"/>
        </w:rPr>
        <w:t>11</w:t>
      </w:r>
      <w:r>
        <w:rPr>
          <w:rFonts w:hint="default" w:ascii="Times New Roman" w:hAnsi="Times New Roman" w:eastAsia="仿宋_GB2312" w:cs="Times New Roman"/>
          <w:color w:val="auto"/>
          <w:highlight w:val="none"/>
        </w:rPr>
        <w:t>个月，工程</w:t>
      </w:r>
      <w:r>
        <w:rPr>
          <w:rFonts w:hint="eastAsia" w:cs="Times New Roman"/>
          <w:color w:val="auto"/>
          <w:highlight w:val="none"/>
          <w:lang w:eastAsia="zh-CN"/>
        </w:rPr>
        <w:t>将于</w:t>
      </w:r>
      <w:r>
        <w:rPr>
          <w:rFonts w:hint="default" w:ascii="Times New Roman" w:hAnsi="Times New Roman" w:eastAsia="仿宋_GB2312" w:cs="Times New Roman"/>
          <w:color w:val="auto"/>
          <w:highlight w:val="none"/>
        </w:rPr>
        <w:t>202</w:t>
      </w:r>
      <w:r>
        <w:rPr>
          <w:rFonts w:hint="eastAsia" w:cs="Times New Roman"/>
          <w:color w:val="auto"/>
          <w:highlight w:val="none"/>
          <w:lang w:val="en-US" w:eastAsia="zh-CN"/>
        </w:rPr>
        <w:t>1</w:t>
      </w:r>
      <w:r>
        <w:rPr>
          <w:rFonts w:hint="default" w:ascii="Times New Roman" w:hAnsi="Times New Roman" w:eastAsia="仿宋_GB2312" w:cs="Times New Roman"/>
          <w:color w:val="auto"/>
          <w:highlight w:val="none"/>
        </w:rPr>
        <w:t>年</w:t>
      </w:r>
      <w:r>
        <w:rPr>
          <w:rFonts w:hint="eastAsia" w:cs="Times New Roman"/>
          <w:color w:val="auto"/>
          <w:highlight w:val="none"/>
          <w:lang w:val="en-US" w:eastAsia="zh-CN"/>
        </w:rPr>
        <w:t>8</w:t>
      </w:r>
      <w:r>
        <w:rPr>
          <w:rFonts w:hint="default" w:ascii="Times New Roman" w:hAnsi="Times New Roman" w:eastAsia="仿宋_GB2312" w:cs="Times New Roman"/>
          <w:color w:val="auto"/>
          <w:highlight w:val="none"/>
        </w:rPr>
        <w:t>月</w:t>
      </w:r>
      <w:r>
        <w:rPr>
          <w:rFonts w:hint="eastAsia" w:cs="Times New Roman"/>
          <w:color w:val="auto"/>
          <w:highlight w:val="none"/>
          <w:lang w:eastAsia="zh-CN"/>
        </w:rPr>
        <w:t>开工，于</w:t>
      </w:r>
      <w:r>
        <w:rPr>
          <w:rFonts w:hint="eastAsia" w:cs="Times New Roman"/>
          <w:color w:val="auto"/>
          <w:highlight w:val="none"/>
          <w:lang w:val="en-US" w:eastAsia="zh-CN"/>
        </w:rPr>
        <w:t>2022年6月完工</w:t>
      </w:r>
      <w:r>
        <w:rPr>
          <w:rFonts w:hint="default" w:ascii="Times New Roman" w:hAnsi="Times New Roman" w:eastAsia="仿宋_GB2312" w:cs="Times New Roman"/>
          <w:color w:val="auto"/>
          <w:highlight w:val="none"/>
        </w:rPr>
        <w:t>。</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（8）项目依托条件</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1）交通条件：本项目位于</w:t>
      </w:r>
      <w:r>
        <w:rPr>
          <w:rFonts w:hint="eastAsia" w:cs="Times New Roman"/>
          <w:color w:val="auto"/>
          <w:highlight w:val="none"/>
          <w:lang w:eastAsia="zh-CN"/>
        </w:rPr>
        <w:t>策勒县</w:t>
      </w:r>
      <w:r>
        <w:rPr>
          <w:rFonts w:hint="default" w:ascii="Times New Roman" w:hAnsi="Times New Roman" w:eastAsia="仿宋_GB2312" w:cs="Times New Roman"/>
          <w:color w:val="auto"/>
          <w:highlight w:val="none"/>
        </w:rPr>
        <w:t>，临近</w:t>
      </w:r>
      <w:r>
        <w:rPr>
          <w:rFonts w:hint="eastAsia" w:cs="Times New Roman"/>
          <w:color w:val="auto"/>
          <w:highlight w:val="none"/>
          <w:lang w:eastAsia="zh-CN"/>
        </w:rPr>
        <w:t>园区道路和平北路</w:t>
      </w:r>
      <w:r>
        <w:rPr>
          <w:rFonts w:hint="default" w:ascii="Times New Roman" w:hAnsi="Times New Roman" w:eastAsia="仿宋_GB2312" w:cs="Times New Roman"/>
          <w:color w:val="auto"/>
          <w:highlight w:val="none"/>
        </w:rPr>
        <w:t>布设，因此施工期间车辆运输可直接利用则现有道路作为施工道路，对外交通便利。</w:t>
      </w:r>
    </w:p>
    <w:p>
      <w:pPr>
        <w:pStyle w:val="55"/>
        <w:ind w:firstLine="48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r>
        <w:rPr>
          <w:rFonts w:hint="eastAsia" w:cs="Times New Roman"/>
          <w:color w:val="auto"/>
          <w:highlight w:val="none"/>
          <w:lang w:eastAsia="zh-CN"/>
        </w:rPr>
        <w:t>）</w:t>
      </w:r>
      <w:r>
        <w:rPr>
          <w:rFonts w:hint="default" w:ascii="Times New Roman" w:hAnsi="Times New Roman" w:eastAsia="仿宋_GB2312" w:cs="Times New Roman"/>
          <w:color w:val="auto"/>
          <w:highlight w:val="none"/>
        </w:rPr>
        <w:t>给排水：站内给水采用10m³地埋水罐，给水管采用PP-R材质；排水采用PVC-U材质，经防渗化粪池沉淀后经一体化污水处理装置处理后排至绿化带。</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3）施工用水：本项目施工用水</w:t>
      </w:r>
      <w:r>
        <w:rPr>
          <w:rFonts w:hint="eastAsia" w:cs="Times New Roman"/>
          <w:color w:val="auto"/>
          <w:highlight w:val="none"/>
          <w:lang w:eastAsia="zh-CN"/>
        </w:rPr>
        <w:t>为园区自来水管网，就近接入管道用水</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szCs w:val="26"/>
          <w:highlight w:val="none"/>
        </w:rPr>
        <w:t>施工现场</w:t>
      </w:r>
      <w:r>
        <w:rPr>
          <w:rFonts w:hint="eastAsia" w:cs="Times New Roman"/>
          <w:color w:val="auto"/>
          <w:szCs w:val="26"/>
          <w:highlight w:val="none"/>
          <w:lang w:eastAsia="zh-CN"/>
        </w:rPr>
        <w:t>不</w:t>
      </w:r>
      <w:r>
        <w:rPr>
          <w:rFonts w:hint="default" w:ascii="Times New Roman" w:hAnsi="Times New Roman" w:eastAsia="仿宋_GB2312" w:cs="Times New Roman"/>
          <w:color w:val="auto"/>
          <w:szCs w:val="26"/>
          <w:highlight w:val="none"/>
        </w:rPr>
        <w:t>设置临时储水设施，</w:t>
      </w:r>
      <w:r>
        <w:rPr>
          <w:rFonts w:hint="eastAsia" w:cs="Times New Roman"/>
          <w:color w:val="auto"/>
          <w:szCs w:val="26"/>
          <w:highlight w:val="none"/>
          <w:lang w:eastAsia="zh-CN"/>
        </w:rPr>
        <w:t>可</w:t>
      </w:r>
      <w:r>
        <w:rPr>
          <w:rFonts w:hint="default" w:ascii="Times New Roman" w:hAnsi="Times New Roman" w:eastAsia="仿宋_GB2312" w:cs="Times New Roman"/>
          <w:color w:val="auto"/>
          <w:szCs w:val="26"/>
          <w:highlight w:val="none"/>
        </w:rPr>
        <w:t>满足施工需要。</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4）施工用电：采用10kV进线引入变压器，经变压器变压后为站内提供主电源</w:t>
      </w:r>
      <w:r>
        <w:rPr>
          <w:rFonts w:hint="eastAsia" w:cs="Times New Roman"/>
          <w:color w:val="auto"/>
          <w:highlight w:val="none"/>
          <w:lang w:eastAsia="zh-CN"/>
        </w:rPr>
        <w:t>。</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5）加油站采暖</w:t>
      </w:r>
      <w:r>
        <w:rPr>
          <w:rFonts w:hint="eastAsia" w:cs="Times New Roman"/>
          <w:color w:val="auto"/>
          <w:highlight w:val="none"/>
          <w:lang w:eastAsia="zh-CN"/>
        </w:rPr>
        <w:t>：</w:t>
      </w:r>
      <w:r>
        <w:rPr>
          <w:rFonts w:hint="default" w:ascii="Times New Roman" w:hAnsi="Times New Roman" w:eastAsia="仿宋_GB2312" w:cs="Times New Roman"/>
          <w:color w:val="auto"/>
          <w:highlight w:val="none"/>
        </w:rPr>
        <w:t>采用地热电缆</w:t>
      </w:r>
      <w:r>
        <w:rPr>
          <w:rFonts w:hint="eastAsia" w:cs="Times New Roman"/>
          <w:color w:val="auto"/>
          <w:highlight w:val="none"/>
          <w:lang w:eastAsia="zh-CN"/>
        </w:rPr>
        <w:t>供暖</w:t>
      </w:r>
      <w:r>
        <w:rPr>
          <w:rFonts w:hint="default" w:ascii="Times New Roman" w:hAnsi="Times New Roman" w:eastAsia="仿宋_GB2312" w:cs="Times New Roman"/>
          <w:color w:val="auto"/>
          <w:highlight w:val="none"/>
        </w:rPr>
        <w:t>。</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（9）项目区现状分析</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新建规模及设备设施：新建一座</w:t>
      </w:r>
      <w:r>
        <w:rPr>
          <w:rFonts w:hint="eastAsia" w:cs="Times New Roman"/>
          <w:color w:val="auto"/>
          <w:highlight w:val="none"/>
          <w:lang w:eastAsia="zh-CN"/>
        </w:rPr>
        <w:t>一</w:t>
      </w:r>
      <w:r>
        <w:rPr>
          <w:rFonts w:hint="default" w:ascii="Times New Roman" w:hAnsi="Times New Roman" w:eastAsia="仿宋_GB2312" w:cs="Times New Roman"/>
          <w:color w:val="auto"/>
          <w:highlight w:val="none"/>
        </w:rPr>
        <w:t>层</w:t>
      </w:r>
      <w:r>
        <w:rPr>
          <w:rFonts w:hint="eastAsia" w:cs="Times New Roman"/>
          <w:color w:val="auto"/>
          <w:highlight w:val="none"/>
          <w:lang w:val="en-US" w:eastAsia="zh-CN"/>
        </w:rPr>
        <w:t>267.3</w:t>
      </w:r>
      <w:r>
        <w:rPr>
          <w:rFonts w:hint="eastAsia" w:cs="Times New Roman"/>
          <w:color w:val="auto"/>
          <w:highlight w:val="none"/>
          <w:lang w:eastAsia="zh-CN"/>
        </w:rPr>
        <w:t>m²</w:t>
      </w:r>
      <w:r>
        <w:rPr>
          <w:rFonts w:hint="default" w:ascii="Times New Roman" w:hAnsi="Times New Roman" w:eastAsia="仿宋_GB2312" w:cs="Times New Roman"/>
          <w:color w:val="auto"/>
          <w:highlight w:val="none"/>
        </w:rPr>
        <w:t>框架结构站房，新建一座罩棚，</w:t>
      </w:r>
      <w:r>
        <w:rPr>
          <w:rFonts w:hint="eastAsia" w:cs="Times New Roman"/>
          <w:color w:val="auto"/>
          <w:highlight w:val="none"/>
          <w:lang w:eastAsia="zh-CN"/>
        </w:rPr>
        <w:t>同时配套</w:t>
      </w:r>
      <w:r>
        <w:rPr>
          <w:rFonts w:hint="default" w:ascii="Times New Roman" w:hAnsi="Times New Roman" w:eastAsia="仿宋_GB2312" w:cs="Times New Roman"/>
          <w:color w:val="auto"/>
          <w:highlight w:val="none"/>
        </w:rPr>
        <w:t>站内给排水、采暖通风、供电通信、静电接地等附属设施。</w:t>
      </w:r>
      <w:r>
        <w:rPr>
          <w:rFonts w:hint="eastAsia" w:cs="Times New Roman"/>
          <w:color w:val="auto"/>
          <w:highlight w:val="none"/>
          <w:lang w:eastAsia="zh-CN"/>
        </w:rPr>
        <w:t>加油站内</w:t>
      </w:r>
      <w:r>
        <w:rPr>
          <w:rFonts w:hint="default" w:ascii="Times New Roman" w:hAnsi="Times New Roman" w:eastAsia="仿宋_GB2312" w:cs="Times New Roman"/>
          <w:color w:val="auto"/>
          <w:highlight w:val="none"/>
        </w:rPr>
        <w:t>设备</w:t>
      </w:r>
      <w:r>
        <w:rPr>
          <w:rFonts w:hint="eastAsia" w:cs="Times New Roman"/>
          <w:color w:val="auto"/>
          <w:highlight w:val="none"/>
          <w:lang w:eastAsia="zh-CN"/>
        </w:rPr>
        <w:t>有</w:t>
      </w:r>
      <w:r>
        <w:rPr>
          <w:rFonts w:hint="default" w:ascii="Times New Roman" w:hAnsi="Times New Roman" w:eastAsia="仿宋_GB2312" w:cs="Times New Roman"/>
          <w:color w:val="auto"/>
          <w:highlight w:val="none"/>
        </w:rPr>
        <w:t>2座50</w:t>
      </w:r>
      <w:r>
        <w:rPr>
          <w:rFonts w:hint="eastAsia" w:cs="Times New Roman"/>
          <w:color w:val="auto"/>
          <w:highlight w:val="none"/>
          <w:lang w:eastAsia="zh-CN"/>
        </w:rPr>
        <w:t>m³</w:t>
      </w:r>
      <w:r>
        <w:rPr>
          <w:rFonts w:hint="default" w:ascii="Times New Roman" w:hAnsi="Times New Roman" w:eastAsia="仿宋_GB2312" w:cs="Times New Roman"/>
          <w:color w:val="auto"/>
          <w:highlight w:val="none"/>
        </w:rPr>
        <w:t>埋地柴油罐，2座</w:t>
      </w:r>
      <w:r>
        <w:rPr>
          <w:rFonts w:hint="eastAsia" w:cs="Times New Roman"/>
          <w:color w:val="auto"/>
          <w:highlight w:val="none"/>
          <w:lang w:val="en-US" w:eastAsia="zh-CN"/>
        </w:rPr>
        <w:t>3</w:t>
      </w:r>
      <w:r>
        <w:rPr>
          <w:rFonts w:hint="default" w:ascii="Times New Roman" w:hAnsi="Times New Roman" w:eastAsia="仿宋_GB2312" w:cs="Times New Roman"/>
          <w:color w:val="auto"/>
          <w:highlight w:val="none"/>
        </w:rPr>
        <w:t>0</w:t>
      </w:r>
      <w:r>
        <w:rPr>
          <w:rFonts w:hint="eastAsia" w:cs="Times New Roman"/>
          <w:color w:val="auto"/>
          <w:highlight w:val="none"/>
          <w:lang w:eastAsia="zh-CN"/>
        </w:rPr>
        <w:t>m³</w:t>
      </w:r>
      <w:r>
        <w:rPr>
          <w:rFonts w:hint="default" w:ascii="Times New Roman" w:hAnsi="Times New Roman" w:eastAsia="仿宋_GB2312" w:cs="Times New Roman"/>
          <w:color w:val="auto"/>
          <w:highlight w:val="none"/>
        </w:rPr>
        <w:t>埋地汽油罐</w:t>
      </w:r>
      <w:r>
        <w:rPr>
          <w:rFonts w:hint="eastAsia" w:cs="Times New Roman"/>
          <w:color w:val="auto"/>
          <w:highlight w:val="none"/>
          <w:lang w:eastAsia="zh-CN"/>
        </w:rPr>
        <w:t>以及</w:t>
      </w:r>
      <w:r>
        <w:rPr>
          <w:rFonts w:hint="eastAsia" w:cs="Times New Roman"/>
          <w:color w:val="auto"/>
          <w:highlight w:val="none"/>
          <w:lang w:val="en-US" w:eastAsia="zh-CN"/>
        </w:rPr>
        <w:t>4</w:t>
      </w:r>
      <w:r>
        <w:rPr>
          <w:rFonts w:hint="default" w:ascii="Times New Roman" w:hAnsi="Times New Roman" w:eastAsia="仿宋_GB2312" w:cs="Times New Roman"/>
          <w:color w:val="auto"/>
          <w:highlight w:val="none"/>
        </w:rPr>
        <w:t>台柴油加油机</w:t>
      </w:r>
      <w:r>
        <w:rPr>
          <w:rFonts w:hint="eastAsia" w:cs="Times New Roman"/>
          <w:color w:val="auto"/>
          <w:highlight w:val="none"/>
          <w:lang w:eastAsia="zh-CN"/>
        </w:rPr>
        <w:t>，并</w:t>
      </w:r>
      <w:r>
        <w:rPr>
          <w:rFonts w:hint="default" w:ascii="Times New Roman" w:hAnsi="Times New Roman" w:eastAsia="仿宋_GB2312" w:cs="Times New Roman"/>
          <w:color w:val="auto"/>
          <w:highlight w:val="none"/>
        </w:rPr>
        <w:t>敷设相应工艺管线。</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（9）工程特性表</w:t>
      </w: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br w:type="page"/>
      </w: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表2.1-1</w:t>
      </w:r>
      <w:bookmarkStart w:id="74" w:name="OLE_LINK2"/>
      <w:r>
        <w:rPr>
          <w:rFonts w:hint="default" w:ascii="Times New Roman" w:hAnsi="Times New Roman" w:eastAsia="仿宋_GB2312" w:cs="Times New Roman"/>
          <w:color w:val="auto"/>
          <w:highlight w:val="none"/>
        </w:rPr>
        <w:t>工程特性表</w:t>
      </w:r>
    </w:p>
    <w:tbl>
      <w:tblPr>
        <w:tblStyle w:val="25"/>
        <w:tblW w:w="9060" w:type="dxa"/>
        <w:tblInd w:w="0" w:type="dxa"/>
        <w:tblLayout w:type="fixed"/>
        <w:tblCellMar>
          <w:top w:w="0" w:type="dxa"/>
          <w:left w:w="108" w:type="dxa"/>
          <w:bottom w:w="0" w:type="dxa"/>
          <w:right w:w="108" w:type="dxa"/>
        </w:tblCellMar>
      </w:tblPr>
      <w:tblGrid>
        <w:gridCol w:w="392"/>
        <w:gridCol w:w="186"/>
        <w:gridCol w:w="1152"/>
        <w:gridCol w:w="570"/>
        <w:gridCol w:w="352"/>
        <w:gridCol w:w="918"/>
        <w:gridCol w:w="304"/>
        <w:gridCol w:w="360"/>
        <w:gridCol w:w="674"/>
        <w:gridCol w:w="66"/>
        <w:gridCol w:w="654"/>
        <w:gridCol w:w="436"/>
        <w:gridCol w:w="216"/>
        <w:gridCol w:w="641"/>
        <w:gridCol w:w="708"/>
        <w:gridCol w:w="654"/>
        <w:gridCol w:w="777"/>
      </w:tblGrid>
      <w:tr>
        <w:tblPrEx>
          <w:tblCellMar>
            <w:top w:w="0" w:type="dxa"/>
            <w:left w:w="108" w:type="dxa"/>
            <w:bottom w:w="0" w:type="dxa"/>
            <w:right w:w="108" w:type="dxa"/>
          </w:tblCellMar>
        </w:tblPrEx>
        <w:trPr>
          <w:trHeight w:val="369" w:hRule="atLeast"/>
        </w:trPr>
        <w:tc>
          <w:tcPr>
            <w:tcW w:w="9060" w:type="dxa"/>
            <w:gridSpan w:val="17"/>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一、项目的基本情况</w:t>
            </w:r>
          </w:p>
        </w:tc>
      </w:tr>
      <w:tr>
        <w:tblPrEx>
          <w:tblCellMar>
            <w:top w:w="0" w:type="dxa"/>
            <w:left w:w="108" w:type="dxa"/>
            <w:bottom w:w="0" w:type="dxa"/>
            <w:right w:w="108" w:type="dxa"/>
          </w:tblCellMar>
        </w:tblPrEx>
        <w:trPr>
          <w:trHeight w:val="369" w:hRule="atLeast"/>
        </w:trPr>
        <w:tc>
          <w:tcPr>
            <w:tcW w:w="578" w:type="dxa"/>
            <w:gridSpan w:val="2"/>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1</w:t>
            </w:r>
          </w:p>
        </w:tc>
        <w:tc>
          <w:tcPr>
            <w:tcW w:w="1152"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项目名称</w:t>
            </w:r>
          </w:p>
        </w:tc>
        <w:tc>
          <w:tcPr>
            <w:tcW w:w="7330" w:type="dxa"/>
            <w:gridSpan w:val="14"/>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eastAsia="zh-CN"/>
              </w:rPr>
              <w:t>策勒县城东加油站项目</w:t>
            </w:r>
          </w:p>
        </w:tc>
      </w:tr>
      <w:tr>
        <w:tblPrEx>
          <w:tblCellMar>
            <w:top w:w="0" w:type="dxa"/>
            <w:left w:w="108" w:type="dxa"/>
            <w:bottom w:w="0" w:type="dxa"/>
            <w:right w:w="108" w:type="dxa"/>
          </w:tblCellMar>
        </w:tblPrEx>
        <w:trPr>
          <w:trHeight w:val="369" w:hRule="atLeast"/>
        </w:trPr>
        <w:tc>
          <w:tcPr>
            <w:tcW w:w="578" w:type="dxa"/>
            <w:gridSpan w:val="2"/>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2</w:t>
            </w:r>
          </w:p>
        </w:tc>
        <w:tc>
          <w:tcPr>
            <w:tcW w:w="115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建设地点</w:t>
            </w:r>
          </w:p>
        </w:tc>
        <w:tc>
          <w:tcPr>
            <w:tcW w:w="2504" w:type="dxa"/>
            <w:gridSpan w:val="5"/>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eastAsia="zh-CN"/>
              </w:rPr>
              <w:t>策勒县</w:t>
            </w:r>
          </w:p>
        </w:tc>
        <w:tc>
          <w:tcPr>
            <w:tcW w:w="1830"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水行政主管部门</w:t>
            </w:r>
          </w:p>
        </w:tc>
        <w:tc>
          <w:tcPr>
            <w:tcW w:w="2996" w:type="dxa"/>
            <w:gridSpan w:val="5"/>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eastAsia" w:eastAsia="仿宋_GB2312" w:cs="Times New Roman"/>
                <w:color w:val="auto"/>
                <w:kern w:val="0"/>
                <w:sz w:val="21"/>
                <w:szCs w:val="21"/>
                <w:highlight w:val="none"/>
                <w:lang w:eastAsia="zh-CN"/>
              </w:rPr>
              <w:t>策勒县</w:t>
            </w:r>
            <w:r>
              <w:rPr>
                <w:rFonts w:hint="default" w:ascii="Times New Roman" w:hAnsi="Times New Roman" w:eastAsia="仿宋_GB2312" w:cs="Times New Roman"/>
                <w:color w:val="auto"/>
                <w:kern w:val="0"/>
                <w:sz w:val="21"/>
                <w:szCs w:val="21"/>
                <w:highlight w:val="none"/>
              </w:rPr>
              <w:t>水利局</w:t>
            </w:r>
          </w:p>
        </w:tc>
      </w:tr>
      <w:tr>
        <w:tblPrEx>
          <w:tblCellMar>
            <w:top w:w="0" w:type="dxa"/>
            <w:left w:w="108" w:type="dxa"/>
            <w:bottom w:w="0" w:type="dxa"/>
            <w:right w:w="108" w:type="dxa"/>
          </w:tblCellMar>
        </w:tblPrEx>
        <w:trPr>
          <w:trHeight w:val="369" w:hRule="atLeast"/>
        </w:trPr>
        <w:tc>
          <w:tcPr>
            <w:tcW w:w="578" w:type="dxa"/>
            <w:gridSpan w:val="2"/>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3</w:t>
            </w:r>
          </w:p>
        </w:tc>
        <w:tc>
          <w:tcPr>
            <w:tcW w:w="115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工程等级</w:t>
            </w:r>
          </w:p>
        </w:tc>
        <w:tc>
          <w:tcPr>
            <w:tcW w:w="2504" w:type="dxa"/>
            <w:gridSpan w:val="5"/>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小型</w:t>
            </w:r>
          </w:p>
        </w:tc>
        <w:tc>
          <w:tcPr>
            <w:tcW w:w="1830"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工程性质</w:t>
            </w:r>
          </w:p>
        </w:tc>
        <w:tc>
          <w:tcPr>
            <w:tcW w:w="2996" w:type="dxa"/>
            <w:gridSpan w:val="5"/>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新建项目</w:t>
            </w:r>
          </w:p>
        </w:tc>
      </w:tr>
      <w:tr>
        <w:tblPrEx>
          <w:tblCellMar>
            <w:top w:w="0" w:type="dxa"/>
            <w:left w:w="108" w:type="dxa"/>
            <w:bottom w:w="0" w:type="dxa"/>
            <w:right w:w="108" w:type="dxa"/>
          </w:tblCellMar>
        </w:tblPrEx>
        <w:trPr>
          <w:trHeight w:val="369" w:hRule="atLeast"/>
        </w:trPr>
        <w:tc>
          <w:tcPr>
            <w:tcW w:w="578" w:type="dxa"/>
            <w:gridSpan w:val="2"/>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4</w:t>
            </w:r>
          </w:p>
        </w:tc>
        <w:tc>
          <w:tcPr>
            <w:tcW w:w="115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建设单位</w:t>
            </w:r>
          </w:p>
        </w:tc>
        <w:tc>
          <w:tcPr>
            <w:tcW w:w="7330" w:type="dxa"/>
            <w:gridSpan w:val="14"/>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eastAsia="zh-CN"/>
              </w:rPr>
              <w:t>中国石化销售股份有限公司新疆和田石油分公司</w:t>
            </w:r>
          </w:p>
        </w:tc>
      </w:tr>
      <w:tr>
        <w:tblPrEx>
          <w:tblCellMar>
            <w:top w:w="0" w:type="dxa"/>
            <w:left w:w="108" w:type="dxa"/>
            <w:bottom w:w="0" w:type="dxa"/>
            <w:right w:w="108" w:type="dxa"/>
          </w:tblCellMar>
        </w:tblPrEx>
        <w:trPr>
          <w:trHeight w:val="369" w:hRule="atLeast"/>
        </w:trPr>
        <w:tc>
          <w:tcPr>
            <w:tcW w:w="578" w:type="dxa"/>
            <w:gridSpan w:val="2"/>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5</w:t>
            </w:r>
          </w:p>
        </w:tc>
        <w:tc>
          <w:tcPr>
            <w:tcW w:w="115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投资单位</w:t>
            </w:r>
          </w:p>
        </w:tc>
        <w:tc>
          <w:tcPr>
            <w:tcW w:w="7330" w:type="dxa"/>
            <w:gridSpan w:val="14"/>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eastAsia="zh-CN"/>
              </w:rPr>
              <w:t>中国石化销售股份有限公司新疆和田石油分公司</w:t>
            </w:r>
          </w:p>
        </w:tc>
      </w:tr>
      <w:tr>
        <w:tblPrEx>
          <w:tblCellMar>
            <w:top w:w="0" w:type="dxa"/>
            <w:left w:w="108" w:type="dxa"/>
            <w:bottom w:w="0" w:type="dxa"/>
            <w:right w:w="108" w:type="dxa"/>
          </w:tblCellMar>
        </w:tblPrEx>
        <w:trPr>
          <w:trHeight w:val="369" w:hRule="atLeast"/>
        </w:trPr>
        <w:tc>
          <w:tcPr>
            <w:tcW w:w="578"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6</w:t>
            </w:r>
          </w:p>
        </w:tc>
        <w:tc>
          <w:tcPr>
            <w:tcW w:w="1152"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建设规模</w:t>
            </w:r>
          </w:p>
        </w:tc>
        <w:tc>
          <w:tcPr>
            <w:tcW w:w="7330" w:type="dxa"/>
            <w:gridSpan w:val="14"/>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预计加油量</w:t>
            </w:r>
            <w:r>
              <w:rPr>
                <w:rFonts w:hint="eastAsia" w:eastAsia="仿宋_GB2312" w:cs="Times New Roman"/>
                <w:color w:val="auto"/>
                <w:kern w:val="0"/>
                <w:sz w:val="21"/>
                <w:szCs w:val="21"/>
                <w:highlight w:val="none"/>
                <w:lang w:val="en-US" w:eastAsia="zh-CN"/>
              </w:rPr>
              <w:t>3</w:t>
            </w:r>
            <w:r>
              <w:rPr>
                <w:rFonts w:hint="default" w:ascii="Times New Roman" w:hAnsi="Times New Roman" w:eastAsia="仿宋_GB2312" w:cs="Times New Roman"/>
                <w:color w:val="auto"/>
                <w:kern w:val="0"/>
                <w:sz w:val="21"/>
                <w:szCs w:val="21"/>
                <w:highlight w:val="none"/>
              </w:rPr>
              <w:t>500吨/年。新建一座</w:t>
            </w:r>
            <w:r>
              <w:rPr>
                <w:rFonts w:hint="eastAsia" w:eastAsia="仿宋_GB2312" w:cs="Times New Roman"/>
                <w:color w:val="auto"/>
                <w:kern w:val="0"/>
                <w:sz w:val="21"/>
                <w:szCs w:val="21"/>
                <w:highlight w:val="none"/>
                <w:lang w:eastAsia="zh-CN"/>
              </w:rPr>
              <w:t>单</w:t>
            </w:r>
            <w:r>
              <w:rPr>
                <w:rFonts w:hint="default" w:ascii="Times New Roman" w:hAnsi="Times New Roman" w:eastAsia="仿宋_GB2312" w:cs="Times New Roman"/>
                <w:color w:val="auto"/>
                <w:kern w:val="0"/>
                <w:sz w:val="21"/>
                <w:szCs w:val="21"/>
                <w:highlight w:val="none"/>
              </w:rPr>
              <w:t>层</w:t>
            </w:r>
            <w:r>
              <w:rPr>
                <w:rFonts w:hint="eastAsia" w:eastAsia="仿宋_GB2312" w:cs="Times New Roman"/>
                <w:color w:val="auto"/>
                <w:kern w:val="0"/>
                <w:sz w:val="21"/>
                <w:szCs w:val="21"/>
                <w:highlight w:val="none"/>
                <w:lang w:val="en-US" w:eastAsia="zh-CN"/>
              </w:rPr>
              <w:t>267.3</w:t>
            </w:r>
            <w:r>
              <w:rPr>
                <w:rFonts w:hint="eastAsia" w:eastAsia="仿宋_GB2312" w:cs="Times New Roman"/>
                <w:color w:val="auto"/>
                <w:kern w:val="0"/>
                <w:sz w:val="21"/>
                <w:szCs w:val="21"/>
                <w:highlight w:val="none"/>
                <w:lang w:eastAsia="zh-CN"/>
              </w:rPr>
              <w:t>m²</w:t>
            </w:r>
            <w:r>
              <w:rPr>
                <w:rFonts w:hint="default" w:ascii="Times New Roman" w:hAnsi="Times New Roman" w:eastAsia="仿宋_GB2312" w:cs="Times New Roman"/>
                <w:color w:val="auto"/>
                <w:kern w:val="0"/>
                <w:sz w:val="21"/>
                <w:szCs w:val="21"/>
                <w:highlight w:val="none"/>
              </w:rPr>
              <w:t>框架结构站房，新建罩棚一座，</w:t>
            </w:r>
            <w:r>
              <w:rPr>
                <w:rFonts w:hint="eastAsia" w:eastAsia="仿宋_GB2312" w:cs="Times New Roman"/>
                <w:color w:val="auto"/>
                <w:kern w:val="0"/>
                <w:sz w:val="21"/>
                <w:szCs w:val="21"/>
                <w:highlight w:val="none"/>
                <w:lang w:eastAsia="zh-CN"/>
              </w:rPr>
              <w:t>同时配套</w:t>
            </w:r>
            <w:r>
              <w:rPr>
                <w:rFonts w:hint="default" w:ascii="Times New Roman" w:hAnsi="Times New Roman" w:eastAsia="仿宋_GB2312" w:cs="Times New Roman"/>
                <w:color w:val="auto"/>
                <w:kern w:val="0"/>
                <w:sz w:val="21"/>
                <w:szCs w:val="21"/>
                <w:highlight w:val="none"/>
              </w:rPr>
              <w:t>站内给排水、采暖通风、供电通信、静电接地等附属设施。</w:t>
            </w:r>
          </w:p>
        </w:tc>
      </w:tr>
      <w:tr>
        <w:tblPrEx>
          <w:tblCellMar>
            <w:top w:w="0" w:type="dxa"/>
            <w:left w:w="108" w:type="dxa"/>
            <w:bottom w:w="0" w:type="dxa"/>
            <w:right w:w="108" w:type="dxa"/>
          </w:tblCellMar>
        </w:tblPrEx>
        <w:trPr>
          <w:trHeight w:val="369" w:hRule="atLeast"/>
        </w:trPr>
        <w:tc>
          <w:tcPr>
            <w:tcW w:w="578" w:type="dxa"/>
            <w:gridSpan w:val="2"/>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rPr>
            </w:pPr>
          </w:p>
        </w:tc>
        <w:tc>
          <w:tcPr>
            <w:tcW w:w="115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rPr>
            </w:pPr>
          </w:p>
        </w:tc>
        <w:tc>
          <w:tcPr>
            <w:tcW w:w="7330" w:type="dxa"/>
            <w:gridSpan w:val="14"/>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rPr>
            </w:pPr>
          </w:p>
        </w:tc>
      </w:tr>
      <w:tr>
        <w:tblPrEx>
          <w:tblCellMar>
            <w:top w:w="0" w:type="dxa"/>
            <w:left w:w="108" w:type="dxa"/>
            <w:bottom w:w="0" w:type="dxa"/>
            <w:right w:w="108" w:type="dxa"/>
          </w:tblCellMar>
        </w:tblPrEx>
        <w:trPr>
          <w:trHeight w:val="369" w:hRule="atLeast"/>
        </w:trPr>
        <w:tc>
          <w:tcPr>
            <w:tcW w:w="578" w:type="dxa"/>
            <w:gridSpan w:val="2"/>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7</w:t>
            </w:r>
          </w:p>
        </w:tc>
        <w:tc>
          <w:tcPr>
            <w:tcW w:w="115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总投资</w:t>
            </w:r>
          </w:p>
        </w:tc>
        <w:tc>
          <w:tcPr>
            <w:tcW w:w="2144"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eastAsia" w:eastAsia="仿宋_GB2312" w:cs="Times New Roman"/>
                <w:color w:val="auto"/>
                <w:kern w:val="0"/>
                <w:sz w:val="21"/>
                <w:szCs w:val="21"/>
                <w:highlight w:val="none"/>
                <w:lang w:eastAsia="zh-CN"/>
              </w:rPr>
              <w:t>829.55</w:t>
            </w:r>
            <w:r>
              <w:rPr>
                <w:rFonts w:hint="default" w:ascii="Times New Roman" w:hAnsi="Times New Roman" w:eastAsia="仿宋_GB2312" w:cs="Times New Roman"/>
                <w:color w:val="auto"/>
                <w:kern w:val="0"/>
                <w:sz w:val="21"/>
                <w:szCs w:val="21"/>
                <w:highlight w:val="none"/>
              </w:rPr>
              <w:t>万元</w:t>
            </w:r>
          </w:p>
        </w:tc>
        <w:tc>
          <w:tcPr>
            <w:tcW w:w="1100"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8</w:t>
            </w:r>
          </w:p>
        </w:tc>
        <w:tc>
          <w:tcPr>
            <w:tcW w:w="1306"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土建投资</w:t>
            </w:r>
          </w:p>
        </w:tc>
        <w:tc>
          <w:tcPr>
            <w:tcW w:w="2780"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eastAsia" w:eastAsia="仿宋_GB2312" w:cs="Times New Roman"/>
                <w:color w:val="auto"/>
                <w:kern w:val="0"/>
                <w:sz w:val="21"/>
                <w:szCs w:val="21"/>
                <w:highlight w:val="none"/>
                <w:lang w:eastAsia="zh-CN"/>
              </w:rPr>
              <w:t>720.61</w:t>
            </w:r>
            <w:r>
              <w:rPr>
                <w:rFonts w:hint="default" w:ascii="Times New Roman" w:hAnsi="Times New Roman" w:eastAsia="仿宋_GB2312" w:cs="Times New Roman"/>
                <w:color w:val="auto"/>
                <w:kern w:val="0"/>
                <w:sz w:val="21"/>
                <w:szCs w:val="21"/>
                <w:highlight w:val="none"/>
              </w:rPr>
              <w:t>万元</w:t>
            </w:r>
          </w:p>
        </w:tc>
      </w:tr>
      <w:tr>
        <w:tblPrEx>
          <w:tblCellMar>
            <w:top w:w="0" w:type="dxa"/>
            <w:left w:w="108" w:type="dxa"/>
            <w:bottom w:w="0" w:type="dxa"/>
            <w:right w:w="108" w:type="dxa"/>
          </w:tblCellMar>
        </w:tblPrEx>
        <w:trPr>
          <w:trHeight w:val="369" w:hRule="atLeast"/>
        </w:trPr>
        <w:tc>
          <w:tcPr>
            <w:tcW w:w="578" w:type="dxa"/>
            <w:gridSpan w:val="2"/>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9</w:t>
            </w:r>
          </w:p>
        </w:tc>
        <w:tc>
          <w:tcPr>
            <w:tcW w:w="1152"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建设期</w:t>
            </w:r>
          </w:p>
        </w:tc>
        <w:tc>
          <w:tcPr>
            <w:tcW w:w="7330" w:type="dxa"/>
            <w:gridSpan w:val="14"/>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工期</w:t>
            </w:r>
            <w:r>
              <w:rPr>
                <w:rFonts w:hint="eastAsia" w:eastAsia="仿宋_GB2312" w:cs="Times New Roman"/>
                <w:color w:val="auto"/>
                <w:kern w:val="0"/>
                <w:sz w:val="21"/>
                <w:szCs w:val="21"/>
                <w:highlight w:val="none"/>
                <w:lang w:val="en-US" w:eastAsia="zh-CN"/>
              </w:rPr>
              <w:t>11</w:t>
            </w:r>
            <w:r>
              <w:rPr>
                <w:rFonts w:hint="default" w:ascii="Times New Roman" w:hAnsi="Times New Roman" w:eastAsia="仿宋_GB2312" w:cs="Times New Roman"/>
                <w:color w:val="auto"/>
                <w:kern w:val="0"/>
                <w:sz w:val="21"/>
                <w:szCs w:val="21"/>
                <w:highlight w:val="none"/>
              </w:rPr>
              <w:t>个月，202</w:t>
            </w:r>
            <w:r>
              <w:rPr>
                <w:rFonts w:hint="eastAsia" w:eastAsia="仿宋_GB2312" w:cs="Times New Roman"/>
                <w:color w:val="auto"/>
                <w:kern w:val="0"/>
                <w:sz w:val="21"/>
                <w:szCs w:val="21"/>
                <w:highlight w:val="none"/>
                <w:lang w:val="en-US" w:eastAsia="zh-CN"/>
              </w:rPr>
              <w:t>1</w:t>
            </w:r>
            <w:r>
              <w:rPr>
                <w:rFonts w:hint="default" w:ascii="Times New Roman" w:hAnsi="Times New Roman" w:eastAsia="仿宋_GB2312" w:cs="Times New Roman"/>
                <w:color w:val="auto"/>
                <w:kern w:val="0"/>
                <w:sz w:val="21"/>
                <w:szCs w:val="21"/>
                <w:highlight w:val="none"/>
              </w:rPr>
              <w:t>年</w:t>
            </w:r>
            <w:r>
              <w:rPr>
                <w:rFonts w:hint="eastAsia" w:eastAsia="仿宋_GB2312" w:cs="Times New Roman"/>
                <w:color w:val="auto"/>
                <w:kern w:val="0"/>
                <w:sz w:val="21"/>
                <w:szCs w:val="21"/>
                <w:highlight w:val="none"/>
                <w:lang w:val="en-US" w:eastAsia="zh-CN"/>
              </w:rPr>
              <w:t>8</w:t>
            </w:r>
            <w:r>
              <w:rPr>
                <w:rFonts w:hint="default" w:ascii="Times New Roman" w:hAnsi="Times New Roman" w:eastAsia="仿宋_GB2312" w:cs="Times New Roman"/>
                <w:color w:val="auto"/>
                <w:kern w:val="0"/>
                <w:sz w:val="21"/>
                <w:szCs w:val="21"/>
                <w:highlight w:val="none"/>
              </w:rPr>
              <w:t>月—</w:t>
            </w:r>
            <w:r>
              <w:rPr>
                <w:rFonts w:hint="eastAsia" w:eastAsia="仿宋_GB2312" w:cs="Times New Roman"/>
                <w:color w:val="auto"/>
                <w:kern w:val="0"/>
                <w:sz w:val="21"/>
                <w:szCs w:val="21"/>
                <w:highlight w:val="none"/>
                <w:lang w:val="en-US" w:eastAsia="zh-CN"/>
              </w:rPr>
              <w:t>2022年6</w:t>
            </w:r>
            <w:r>
              <w:rPr>
                <w:rFonts w:hint="default" w:ascii="Times New Roman" w:hAnsi="Times New Roman" w:eastAsia="仿宋_GB2312" w:cs="Times New Roman"/>
                <w:color w:val="auto"/>
                <w:kern w:val="0"/>
                <w:sz w:val="21"/>
                <w:szCs w:val="21"/>
                <w:highlight w:val="none"/>
              </w:rPr>
              <w:t>月。</w:t>
            </w:r>
          </w:p>
        </w:tc>
      </w:tr>
      <w:tr>
        <w:tblPrEx>
          <w:tblCellMar>
            <w:top w:w="0" w:type="dxa"/>
            <w:left w:w="108" w:type="dxa"/>
            <w:bottom w:w="0" w:type="dxa"/>
            <w:right w:w="108" w:type="dxa"/>
          </w:tblCellMar>
        </w:tblPrEx>
        <w:trPr>
          <w:trHeight w:val="369" w:hRule="atLeast"/>
        </w:trPr>
        <w:tc>
          <w:tcPr>
            <w:tcW w:w="9060" w:type="dxa"/>
            <w:gridSpan w:val="17"/>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二、项目组成及主要技术指标</w:t>
            </w:r>
          </w:p>
        </w:tc>
      </w:tr>
      <w:tr>
        <w:tblPrEx>
          <w:tblCellMar>
            <w:top w:w="0" w:type="dxa"/>
            <w:left w:w="108" w:type="dxa"/>
            <w:bottom w:w="0" w:type="dxa"/>
            <w:right w:w="108" w:type="dxa"/>
          </w:tblCellMar>
        </w:tblPrEx>
        <w:trPr>
          <w:trHeight w:val="369" w:hRule="atLeast"/>
        </w:trPr>
        <w:tc>
          <w:tcPr>
            <w:tcW w:w="2300" w:type="dxa"/>
            <w:gridSpan w:val="4"/>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项目组成</w:t>
            </w:r>
          </w:p>
        </w:tc>
        <w:tc>
          <w:tcPr>
            <w:tcW w:w="6760" w:type="dxa"/>
            <w:gridSpan w:val="13"/>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占地面积(m²)</w:t>
            </w:r>
          </w:p>
        </w:tc>
      </w:tr>
      <w:tr>
        <w:tblPrEx>
          <w:tblCellMar>
            <w:top w:w="0" w:type="dxa"/>
            <w:left w:w="108" w:type="dxa"/>
            <w:bottom w:w="0" w:type="dxa"/>
            <w:right w:w="108" w:type="dxa"/>
          </w:tblCellMar>
        </w:tblPrEx>
        <w:trPr>
          <w:trHeight w:val="369" w:hRule="atLeast"/>
        </w:trPr>
        <w:tc>
          <w:tcPr>
            <w:tcW w:w="2300" w:type="dxa"/>
            <w:gridSpan w:val="4"/>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1574"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永久占地</w:t>
            </w:r>
          </w:p>
        </w:tc>
        <w:tc>
          <w:tcPr>
            <w:tcW w:w="2406" w:type="dxa"/>
            <w:gridSpan w:val="6"/>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临时占地</w:t>
            </w:r>
          </w:p>
        </w:tc>
        <w:tc>
          <w:tcPr>
            <w:tcW w:w="2780"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合计</w:t>
            </w:r>
          </w:p>
        </w:tc>
      </w:tr>
      <w:tr>
        <w:tblPrEx>
          <w:tblCellMar>
            <w:top w:w="0" w:type="dxa"/>
            <w:left w:w="108" w:type="dxa"/>
            <w:bottom w:w="0" w:type="dxa"/>
            <w:right w:w="108" w:type="dxa"/>
          </w:tblCellMar>
        </w:tblPrEx>
        <w:trPr>
          <w:trHeight w:val="369" w:hRule="atLeast"/>
        </w:trPr>
        <w:tc>
          <w:tcPr>
            <w:tcW w:w="578"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冲洪积平原区</w:t>
            </w:r>
          </w:p>
        </w:tc>
        <w:tc>
          <w:tcPr>
            <w:tcW w:w="1722"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建筑物区</w:t>
            </w:r>
          </w:p>
        </w:tc>
        <w:tc>
          <w:tcPr>
            <w:tcW w:w="1574"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2509.27</w:t>
            </w:r>
          </w:p>
        </w:tc>
        <w:tc>
          <w:tcPr>
            <w:tcW w:w="2406" w:type="dxa"/>
            <w:gridSpan w:val="6"/>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2780"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rPr>
              <w:t>2509.27</w:t>
            </w:r>
          </w:p>
        </w:tc>
      </w:tr>
      <w:tr>
        <w:tblPrEx>
          <w:tblCellMar>
            <w:top w:w="0" w:type="dxa"/>
            <w:left w:w="108" w:type="dxa"/>
            <w:bottom w:w="0" w:type="dxa"/>
            <w:right w:w="108" w:type="dxa"/>
          </w:tblCellMar>
        </w:tblPrEx>
        <w:trPr>
          <w:trHeight w:val="369" w:hRule="atLeast"/>
        </w:trPr>
        <w:tc>
          <w:tcPr>
            <w:tcW w:w="578" w:type="dxa"/>
            <w:gridSpan w:val="2"/>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1722"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道路及硬化区</w:t>
            </w:r>
          </w:p>
        </w:tc>
        <w:tc>
          <w:tcPr>
            <w:tcW w:w="1574"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1970.00</w:t>
            </w:r>
          </w:p>
        </w:tc>
        <w:tc>
          <w:tcPr>
            <w:tcW w:w="2406" w:type="dxa"/>
            <w:gridSpan w:val="6"/>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2780"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rPr>
              <w:t>1970.00</w:t>
            </w:r>
          </w:p>
        </w:tc>
      </w:tr>
      <w:tr>
        <w:tblPrEx>
          <w:tblCellMar>
            <w:top w:w="0" w:type="dxa"/>
            <w:left w:w="108" w:type="dxa"/>
            <w:bottom w:w="0" w:type="dxa"/>
            <w:right w:w="108" w:type="dxa"/>
          </w:tblCellMar>
        </w:tblPrEx>
        <w:trPr>
          <w:trHeight w:val="369" w:hRule="atLeast"/>
        </w:trPr>
        <w:tc>
          <w:tcPr>
            <w:tcW w:w="578" w:type="dxa"/>
            <w:gridSpan w:val="2"/>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1722"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管线工程区</w:t>
            </w:r>
          </w:p>
        </w:tc>
        <w:tc>
          <w:tcPr>
            <w:tcW w:w="1574"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(159.00)</w:t>
            </w:r>
          </w:p>
        </w:tc>
        <w:tc>
          <w:tcPr>
            <w:tcW w:w="2406" w:type="dxa"/>
            <w:gridSpan w:val="6"/>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2780"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rPr>
              <w:t>(159.00)</w:t>
            </w:r>
          </w:p>
        </w:tc>
      </w:tr>
      <w:tr>
        <w:tblPrEx>
          <w:tblCellMar>
            <w:top w:w="0" w:type="dxa"/>
            <w:left w:w="108" w:type="dxa"/>
            <w:bottom w:w="0" w:type="dxa"/>
            <w:right w:w="108" w:type="dxa"/>
          </w:tblCellMar>
        </w:tblPrEx>
        <w:trPr>
          <w:trHeight w:val="357" w:hRule="atLeast"/>
        </w:trPr>
        <w:tc>
          <w:tcPr>
            <w:tcW w:w="578" w:type="dxa"/>
            <w:gridSpan w:val="2"/>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1722"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施工生产生活区</w:t>
            </w:r>
          </w:p>
        </w:tc>
        <w:tc>
          <w:tcPr>
            <w:tcW w:w="1574"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(150.00)</w:t>
            </w:r>
          </w:p>
        </w:tc>
        <w:tc>
          <w:tcPr>
            <w:tcW w:w="2406" w:type="dxa"/>
            <w:gridSpan w:val="6"/>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2780"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rPr>
              <w:t>(150.00)</w:t>
            </w:r>
          </w:p>
        </w:tc>
      </w:tr>
      <w:tr>
        <w:tblPrEx>
          <w:tblCellMar>
            <w:top w:w="0" w:type="dxa"/>
            <w:left w:w="108" w:type="dxa"/>
            <w:bottom w:w="0" w:type="dxa"/>
            <w:right w:w="108" w:type="dxa"/>
          </w:tblCellMar>
        </w:tblPrEx>
        <w:trPr>
          <w:trHeight w:val="369" w:hRule="atLeast"/>
        </w:trPr>
        <w:tc>
          <w:tcPr>
            <w:tcW w:w="578" w:type="dxa"/>
            <w:gridSpan w:val="2"/>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1722"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合计</w:t>
            </w:r>
          </w:p>
        </w:tc>
        <w:tc>
          <w:tcPr>
            <w:tcW w:w="1574"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4479.27</w:t>
            </w:r>
          </w:p>
        </w:tc>
        <w:tc>
          <w:tcPr>
            <w:tcW w:w="2406" w:type="dxa"/>
            <w:gridSpan w:val="6"/>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0.00</w:t>
            </w:r>
          </w:p>
        </w:tc>
        <w:tc>
          <w:tcPr>
            <w:tcW w:w="2780"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lang w:val="en-US" w:eastAsia="zh-CN" w:bidi="ar-SA"/>
              </w:rPr>
            </w:pPr>
            <w:r>
              <w:rPr>
                <w:rFonts w:hint="eastAsia" w:eastAsia="仿宋_GB2312" w:cs="Times New Roman"/>
                <w:color w:val="auto"/>
                <w:kern w:val="0"/>
                <w:sz w:val="21"/>
                <w:szCs w:val="21"/>
                <w:highlight w:val="none"/>
                <w:lang w:val="en-US" w:eastAsia="zh-CN"/>
              </w:rPr>
              <w:t>4479.27</w:t>
            </w:r>
          </w:p>
        </w:tc>
      </w:tr>
      <w:tr>
        <w:tblPrEx>
          <w:tblCellMar>
            <w:top w:w="0" w:type="dxa"/>
            <w:left w:w="108" w:type="dxa"/>
            <w:bottom w:w="0" w:type="dxa"/>
            <w:right w:w="108" w:type="dxa"/>
          </w:tblCellMar>
        </w:tblPrEx>
        <w:trPr>
          <w:trHeight w:val="369" w:hRule="atLeast"/>
        </w:trPr>
        <w:tc>
          <w:tcPr>
            <w:tcW w:w="9060" w:type="dxa"/>
            <w:gridSpan w:val="17"/>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三、项目土石方挖填工程量(m³)</w:t>
            </w:r>
          </w:p>
        </w:tc>
      </w:tr>
      <w:tr>
        <w:tblPrEx>
          <w:tblCellMar>
            <w:top w:w="0" w:type="dxa"/>
            <w:left w:w="108" w:type="dxa"/>
            <w:bottom w:w="0" w:type="dxa"/>
            <w:right w:w="108" w:type="dxa"/>
          </w:tblCellMar>
        </w:tblPrEx>
        <w:trPr>
          <w:trHeight w:val="369" w:hRule="atLeast"/>
        </w:trPr>
        <w:tc>
          <w:tcPr>
            <w:tcW w:w="1730" w:type="dxa"/>
            <w:gridSpan w:val="3"/>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项目单元</w:t>
            </w:r>
          </w:p>
        </w:tc>
        <w:tc>
          <w:tcPr>
            <w:tcW w:w="922"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开挖</w:t>
            </w:r>
          </w:p>
        </w:tc>
        <w:tc>
          <w:tcPr>
            <w:tcW w:w="918"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回填</w:t>
            </w:r>
          </w:p>
        </w:tc>
        <w:tc>
          <w:tcPr>
            <w:tcW w:w="1338" w:type="dxa"/>
            <w:gridSpan w:val="3"/>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调入</w:t>
            </w:r>
          </w:p>
        </w:tc>
        <w:tc>
          <w:tcPr>
            <w:tcW w:w="1372" w:type="dxa"/>
            <w:gridSpan w:val="4"/>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调出</w:t>
            </w:r>
          </w:p>
        </w:tc>
        <w:tc>
          <w:tcPr>
            <w:tcW w:w="1349"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借方</w:t>
            </w:r>
          </w:p>
        </w:tc>
        <w:tc>
          <w:tcPr>
            <w:tcW w:w="1431"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弃方</w:t>
            </w:r>
          </w:p>
        </w:tc>
      </w:tr>
      <w:tr>
        <w:tblPrEx>
          <w:tblCellMar>
            <w:top w:w="0" w:type="dxa"/>
            <w:left w:w="108" w:type="dxa"/>
            <w:bottom w:w="0" w:type="dxa"/>
            <w:right w:w="108" w:type="dxa"/>
          </w:tblCellMar>
        </w:tblPrEx>
        <w:trPr>
          <w:trHeight w:val="369" w:hRule="atLeast"/>
        </w:trPr>
        <w:tc>
          <w:tcPr>
            <w:tcW w:w="1730" w:type="dxa"/>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922" w:type="dxa"/>
            <w:gridSpan w:val="2"/>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91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664"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数量</w:t>
            </w:r>
          </w:p>
        </w:tc>
        <w:tc>
          <w:tcPr>
            <w:tcW w:w="674"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来源</w:t>
            </w:r>
          </w:p>
        </w:tc>
        <w:tc>
          <w:tcPr>
            <w:tcW w:w="72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数量</w:t>
            </w:r>
          </w:p>
        </w:tc>
        <w:tc>
          <w:tcPr>
            <w:tcW w:w="652"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去向</w:t>
            </w:r>
          </w:p>
        </w:tc>
        <w:tc>
          <w:tcPr>
            <w:tcW w:w="64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数量</w:t>
            </w:r>
          </w:p>
        </w:tc>
        <w:tc>
          <w:tcPr>
            <w:tcW w:w="70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来源</w:t>
            </w:r>
          </w:p>
        </w:tc>
        <w:tc>
          <w:tcPr>
            <w:tcW w:w="65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数量</w:t>
            </w:r>
          </w:p>
        </w:tc>
        <w:tc>
          <w:tcPr>
            <w:tcW w:w="777"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去向</w:t>
            </w:r>
          </w:p>
        </w:tc>
      </w:tr>
      <w:tr>
        <w:tblPrEx>
          <w:tblCellMar>
            <w:top w:w="0" w:type="dxa"/>
            <w:left w:w="108" w:type="dxa"/>
            <w:bottom w:w="0" w:type="dxa"/>
            <w:right w:w="108" w:type="dxa"/>
          </w:tblCellMar>
        </w:tblPrEx>
        <w:trPr>
          <w:trHeight w:val="369" w:hRule="atLeast"/>
        </w:trPr>
        <w:tc>
          <w:tcPr>
            <w:tcW w:w="392"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①</w:t>
            </w:r>
          </w:p>
        </w:tc>
        <w:tc>
          <w:tcPr>
            <w:tcW w:w="1338"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建筑物区</w:t>
            </w:r>
          </w:p>
        </w:tc>
        <w:tc>
          <w:tcPr>
            <w:tcW w:w="922"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 xml:space="preserve">1076 </w:t>
            </w:r>
          </w:p>
        </w:tc>
        <w:tc>
          <w:tcPr>
            <w:tcW w:w="91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844</w:t>
            </w:r>
          </w:p>
        </w:tc>
        <w:tc>
          <w:tcPr>
            <w:tcW w:w="664"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674"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72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232</w:t>
            </w:r>
          </w:p>
        </w:tc>
        <w:tc>
          <w:tcPr>
            <w:tcW w:w="652"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②</w:t>
            </w:r>
          </w:p>
        </w:tc>
        <w:tc>
          <w:tcPr>
            <w:tcW w:w="64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70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65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777"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　</w:t>
            </w:r>
          </w:p>
        </w:tc>
      </w:tr>
      <w:tr>
        <w:tblPrEx>
          <w:tblCellMar>
            <w:top w:w="0" w:type="dxa"/>
            <w:left w:w="108" w:type="dxa"/>
            <w:bottom w:w="0" w:type="dxa"/>
            <w:right w:w="108" w:type="dxa"/>
          </w:tblCellMar>
        </w:tblPrEx>
        <w:trPr>
          <w:trHeight w:val="369" w:hRule="atLeast"/>
        </w:trPr>
        <w:tc>
          <w:tcPr>
            <w:tcW w:w="392"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②</w:t>
            </w:r>
          </w:p>
        </w:tc>
        <w:tc>
          <w:tcPr>
            <w:tcW w:w="1338"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道路及硬化区</w:t>
            </w:r>
          </w:p>
        </w:tc>
        <w:tc>
          <w:tcPr>
            <w:tcW w:w="922"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 xml:space="preserve">197 </w:t>
            </w:r>
          </w:p>
        </w:tc>
        <w:tc>
          <w:tcPr>
            <w:tcW w:w="91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429</w:t>
            </w:r>
          </w:p>
        </w:tc>
        <w:tc>
          <w:tcPr>
            <w:tcW w:w="664"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232</w:t>
            </w:r>
          </w:p>
        </w:tc>
        <w:tc>
          <w:tcPr>
            <w:tcW w:w="674"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①</w:t>
            </w:r>
          </w:p>
        </w:tc>
        <w:tc>
          <w:tcPr>
            <w:tcW w:w="72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652"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64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70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65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p>
        </w:tc>
        <w:tc>
          <w:tcPr>
            <w:tcW w:w="77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rPr>
            </w:pPr>
          </w:p>
        </w:tc>
      </w:tr>
      <w:tr>
        <w:tblPrEx>
          <w:tblCellMar>
            <w:top w:w="0" w:type="dxa"/>
            <w:left w:w="108" w:type="dxa"/>
            <w:bottom w:w="0" w:type="dxa"/>
            <w:right w:w="108" w:type="dxa"/>
          </w:tblCellMar>
        </w:tblPrEx>
        <w:trPr>
          <w:trHeight w:val="369" w:hRule="atLeast"/>
        </w:trPr>
        <w:tc>
          <w:tcPr>
            <w:tcW w:w="392"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③</w:t>
            </w:r>
          </w:p>
        </w:tc>
        <w:tc>
          <w:tcPr>
            <w:tcW w:w="1338"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管线工程区</w:t>
            </w:r>
          </w:p>
        </w:tc>
        <w:tc>
          <w:tcPr>
            <w:tcW w:w="922"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133.98</w:t>
            </w:r>
          </w:p>
        </w:tc>
        <w:tc>
          <w:tcPr>
            <w:tcW w:w="91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133.98</w:t>
            </w:r>
          </w:p>
        </w:tc>
        <w:tc>
          <w:tcPr>
            <w:tcW w:w="664"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val="en-US" w:eastAsia="zh-CN"/>
              </w:rPr>
            </w:pPr>
          </w:p>
        </w:tc>
        <w:tc>
          <w:tcPr>
            <w:tcW w:w="674"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72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652"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64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70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65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p>
        </w:tc>
        <w:tc>
          <w:tcPr>
            <w:tcW w:w="77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rPr>
            </w:pPr>
          </w:p>
        </w:tc>
      </w:tr>
      <w:tr>
        <w:tblPrEx>
          <w:tblCellMar>
            <w:top w:w="0" w:type="dxa"/>
            <w:left w:w="108" w:type="dxa"/>
            <w:bottom w:w="0" w:type="dxa"/>
            <w:right w:w="108" w:type="dxa"/>
          </w:tblCellMar>
        </w:tblPrEx>
        <w:trPr>
          <w:trHeight w:val="369" w:hRule="atLeast"/>
        </w:trPr>
        <w:tc>
          <w:tcPr>
            <w:tcW w:w="392"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eastAsia="zh-CN"/>
              </w:rPr>
              <w:t>④</w:t>
            </w:r>
          </w:p>
        </w:tc>
        <w:tc>
          <w:tcPr>
            <w:tcW w:w="1338"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施工生产生活区</w:t>
            </w:r>
          </w:p>
        </w:tc>
        <w:tc>
          <w:tcPr>
            <w:tcW w:w="922"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w:t>
            </w:r>
          </w:p>
        </w:tc>
        <w:tc>
          <w:tcPr>
            <w:tcW w:w="91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w:t>
            </w:r>
          </w:p>
        </w:tc>
        <w:tc>
          <w:tcPr>
            <w:tcW w:w="664"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674"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72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652"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64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70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65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p>
        </w:tc>
        <w:tc>
          <w:tcPr>
            <w:tcW w:w="77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rPr>
            </w:pPr>
          </w:p>
        </w:tc>
      </w:tr>
      <w:tr>
        <w:tblPrEx>
          <w:tblCellMar>
            <w:top w:w="0" w:type="dxa"/>
            <w:left w:w="108" w:type="dxa"/>
            <w:bottom w:w="0" w:type="dxa"/>
            <w:right w:w="108" w:type="dxa"/>
          </w:tblCellMar>
        </w:tblPrEx>
        <w:trPr>
          <w:trHeight w:val="369" w:hRule="atLeast"/>
        </w:trPr>
        <w:tc>
          <w:tcPr>
            <w:tcW w:w="173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default" w:eastAsia="仿宋_GB2312" w:cs="Times New Roman"/>
                <w:color w:val="auto"/>
                <w:kern w:val="0"/>
                <w:sz w:val="21"/>
                <w:szCs w:val="21"/>
                <w:highlight w:val="none"/>
                <w:lang w:eastAsia="zh-CN"/>
              </w:rPr>
              <w:t>合计</w:t>
            </w:r>
          </w:p>
        </w:tc>
        <w:tc>
          <w:tcPr>
            <w:tcW w:w="922"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 xml:space="preserve">1407.42 </w:t>
            </w:r>
          </w:p>
        </w:tc>
        <w:tc>
          <w:tcPr>
            <w:tcW w:w="91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1407.42</w:t>
            </w:r>
          </w:p>
        </w:tc>
        <w:tc>
          <w:tcPr>
            <w:tcW w:w="664"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232</w:t>
            </w:r>
          </w:p>
        </w:tc>
        <w:tc>
          <w:tcPr>
            <w:tcW w:w="674"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720"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val="en-US" w:eastAsia="zh-CN"/>
              </w:rPr>
              <w:t>232</w:t>
            </w:r>
          </w:p>
        </w:tc>
        <w:tc>
          <w:tcPr>
            <w:tcW w:w="652" w:type="dxa"/>
            <w:gridSpan w:val="2"/>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64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708"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auto"/>
                <w:kern w:val="0"/>
                <w:sz w:val="21"/>
                <w:szCs w:val="21"/>
                <w:highlight w:val="none"/>
                <w:lang w:eastAsia="zh-CN"/>
              </w:rPr>
            </w:pPr>
          </w:p>
        </w:tc>
        <w:tc>
          <w:tcPr>
            <w:tcW w:w="654"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21"/>
                <w:szCs w:val="21"/>
                <w:highlight w:val="none"/>
              </w:rPr>
            </w:pPr>
          </w:p>
        </w:tc>
        <w:tc>
          <w:tcPr>
            <w:tcW w:w="77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auto"/>
                <w:kern w:val="0"/>
                <w:sz w:val="21"/>
                <w:szCs w:val="21"/>
                <w:highlight w:val="none"/>
              </w:rPr>
            </w:pPr>
          </w:p>
        </w:tc>
      </w:tr>
      <w:bookmarkEnd w:id="74"/>
    </w:tbl>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2.1.2 项目建设现状</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经过现场踏勘，项目区位于冲洪积平原区，原占地类型主要为</w:t>
      </w:r>
      <w:r>
        <w:rPr>
          <w:rFonts w:hint="eastAsia" w:cs="Times New Roman"/>
          <w:color w:val="auto"/>
          <w:highlight w:val="none"/>
          <w:lang w:eastAsia="zh-CN"/>
        </w:rPr>
        <w:t>商业用地</w:t>
      </w:r>
      <w:r>
        <w:rPr>
          <w:rFonts w:hint="default" w:ascii="Times New Roman" w:hAnsi="Times New Roman" w:eastAsia="仿宋_GB2312" w:cs="Times New Roman"/>
          <w:color w:val="auto"/>
          <w:highlight w:val="none"/>
        </w:rPr>
        <w:t>，原植被覆盖度大约在</w:t>
      </w:r>
      <w:r>
        <w:rPr>
          <w:rFonts w:hint="eastAsia" w:cs="Times New Roman"/>
          <w:color w:val="auto"/>
          <w:highlight w:val="none"/>
          <w:lang w:eastAsia="zh-CN"/>
        </w:rPr>
        <w:t>10%</w:t>
      </w:r>
      <w:r>
        <w:rPr>
          <w:rFonts w:hint="default" w:ascii="Times New Roman" w:hAnsi="Times New Roman" w:eastAsia="仿宋_GB2312" w:cs="Times New Roman"/>
          <w:color w:val="auto"/>
          <w:highlight w:val="none"/>
        </w:rPr>
        <w:t>左右。</w:t>
      </w:r>
    </w:p>
    <w:p>
      <w:pPr>
        <w:pStyle w:val="55"/>
        <w:ind w:firstLine="480"/>
        <w:rPr>
          <w:rFonts w:hint="default" w:ascii="Times New Roman" w:hAnsi="Times New Roman" w:eastAsia="仿宋_GB2312" w:cs="Times New Roman"/>
          <w:color w:val="auto"/>
          <w:highlight w:val="none"/>
        </w:rPr>
      </w:pPr>
      <w:r>
        <w:rPr>
          <w:rFonts w:hint="eastAsia" w:cs="Times New Roman"/>
          <w:color w:val="auto"/>
          <w:highlight w:val="none"/>
          <w:lang w:eastAsia="zh-CN"/>
        </w:rPr>
        <w:t>根据主体工程设计资料，</w:t>
      </w:r>
      <w:r>
        <w:rPr>
          <w:rFonts w:hint="default" w:ascii="Times New Roman" w:hAnsi="Times New Roman" w:eastAsia="仿宋_GB2312" w:cs="Times New Roman"/>
          <w:color w:val="auto"/>
          <w:highlight w:val="none"/>
        </w:rPr>
        <w:t>项目区红线</w:t>
      </w:r>
      <w:r>
        <w:rPr>
          <w:rFonts w:hint="eastAsia" w:cs="Times New Roman"/>
          <w:color w:val="auto"/>
          <w:highlight w:val="none"/>
          <w:lang w:eastAsia="zh-CN"/>
        </w:rPr>
        <w:t>范围</w:t>
      </w:r>
      <w:r>
        <w:rPr>
          <w:rFonts w:hint="default" w:ascii="Times New Roman" w:hAnsi="Times New Roman" w:eastAsia="仿宋_GB2312" w:cs="Times New Roman"/>
          <w:color w:val="auto"/>
          <w:highlight w:val="none"/>
        </w:rPr>
        <w:t>内占地面积为</w:t>
      </w:r>
      <w:r>
        <w:rPr>
          <w:rFonts w:hint="eastAsia" w:cs="Times New Roman"/>
          <w:color w:val="auto"/>
          <w:highlight w:val="none"/>
          <w:lang w:val="en-US" w:eastAsia="zh-CN"/>
        </w:rPr>
        <w:t>0.40h</w:t>
      </w:r>
      <w:r>
        <w:rPr>
          <w:rFonts w:hint="default" w:ascii="Times New Roman" w:hAnsi="Times New Roman" w:eastAsia="仿宋_GB2312" w:cs="Times New Roman"/>
          <w:color w:val="auto"/>
          <w:highlight w:val="none"/>
        </w:rPr>
        <w:t>m²，红线</w:t>
      </w:r>
      <w:r>
        <w:rPr>
          <w:rFonts w:hint="eastAsia" w:cs="Times New Roman"/>
          <w:color w:val="auto"/>
          <w:highlight w:val="none"/>
          <w:lang w:eastAsia="zh-CN"/>
        </w:rPr>
        <w:t>范围</w:t>
      </w:r>
      <w:r>
        <w:rPr>
          <w:rFonts w:hint="default" w:ascii="Times New Roman" w:hAnsi="Times New Roman" w:eastAsia="仿宋_GB2312" w:cs="Times New Roman"/>
          <w:color w:val="auto"/>
          <w:highlight w:val="none"/>
        </w:rPr>
        <w:t>外</w:t>
      </w:r>
      <w:r>
        <w:rPr>
          <w:rFonts w:hint="eastAsia" w:cs="Times New Roman"/>
          <w:color w:val="auto"/>
          <w:highlight w:val="none"/>
          <w:lang w:eastAsia="zh-CN"/>
        </w:rPr>
        <w:t>占地面积</w:t>
      </w:r>
      <w:r>
        <w:rPr>
          <w:rFonts w:hint="default" w:ascii="Times New Roman" w:hAnsi="Times New Roman" w:eastAsia="仿宋_GB2312" w:cs="Times New Roman"/>
          <w:color w:val="auto"/>
          <w:highlight w:val="none"/>
        </w:rPr>
        <w:t>为</w:t>
      </w:r>
      <w:r>
        <w:rPr>
          <w:rFonts w:hint="eastAsia" w:cs="Times New Roman"/>
          <w:color w:val="auto"/>
          <w:highlight w:val="none"/>
          <w:lang w:val="en-US" w:eastAsia="zh-CN"/>
        </w:rPr>
        <w:t>0.05h</w:t>
      </w:r>
      <w:r>
        <w:rPr>
          <w:rFonts w:hint="default" w:ascii="Times New Roman" w:hAnsi="Times New Roman" w:eastAsia="仿宋_GB2312" w:cs="Times New Roman"/>
          <w:color w:val="auto"/>
          <w:highlight w:val="none"/>
        </w:rPr>
        <w:t>m²，</w:t>
      </w:r>
      <w:r>
        <w:rPr>
          <w:rFonts w:hint="eastAsia" w:cs="Times New Roman"/>
          <w:color w:val="auto"/>
          <w:highlight w:val="none"/>
          <w:lang w:eastAsia="zh-CN"/>
        </w:rPr>
        <w:t>红线内</w:t>
      </w:r>
      <w:r>
        <w:rPr>
          <w:rFonts w:hint="default" w:ascii="Times New Roman" w:hAnsi="Times New Roman" w:eastAsia="仿宋_GB2312" w:cs="Times New Roman"/>
          <w:color w:val="auto"/>
          <w:highlight w:val="none"/>
        </w:rPr>
        <w:t>永久占地</w:t>
      </w:r>
      <w:r>
        <w:rPr>
          <w:rFonts w:hint="eastAsia" w:cs="Times New Roman"/>
          <w:color w:val="auto"/>
          <w:highlight w:val="none"/>
          <w:lang w:eastAsia="zh-CN"/>
        </w:rPr>
        <w:t>面积为</w:t>
      </w:r>
      <w:r>
        <w:rPr>
          <w:rFonts w:hint="eastAsia" w:cs="Times New Roman"/>
          <w:color w:val="auto"/>
          <w:highlight w:val="none"/>
          <w:lang w:val="en-US" w:eastAsia="zh-CN"/>
        </w:rPr>
        <w:t>0.40hm²，红线外永久占地为0.05hm²</w:t>
      </w:r>
      <w:r>
        <w:rPr>
          <w:rFonts w:hint="default" w:ascii="Times New Roman" w:hAnsi="Times New Roman" w:eastAsia="仿宋_GB2312" w:cs="Times New Roman"/>
          <w:color w:val="auto"/>
          <w:highlight w:val="none"/>
        </w:rPr>
        <w:t>。该项目</w:t>
      </w:r>
      <w:r>
        <w:rPr>
          <w:rFonts w:hint="eastAsia" w:cs="Times New Roman"/>
          <w:color w:val="auto"/>
          <w:highlight w:val="none"/>
          <w:lang w:eastAsia="zh-CN"/>
        </w:rPr>
        <w:t>计划于</w:t>
      </w:r>
      <w:r>
        <w:rPr>
          <w:rFonts w:hint="default" w:ascii="Times New Roman" w:hAnsi="Times New Roman" w:eastAsia="仿宋_GB2312" w:cs="Times New Roman"/>
          <w:color w:val="auto"/>
          <w:highlight w:val="none"/>
        </w:rPr>
        <w:t>202</w:t>
      </w:r>
      <w:r>
        <w:rPr>
          <w:rFonts w:hint="eastAsia" w:cs="Times New Roman"/>
          <w:color w:val="auto"/>
          <w:highlight w:val="none"/>
          <w:lang w:val="en-US" w:eastAsia="zh-CN"/>
        </w:rPr>
        <w:t>1</w:t>
      </w:r>
      <w:r>
        <w:rPr>
          <w:rFonts w:hint="default" w:ascii="Times New Roman" w:hAnsi="Times New Roman" w:eastAsia="仿宋_GB2312" w:cs="Times New Roman"/>
          <w:color w:val="auto"/>
          <w:highlight w:val="none"/>
        </w:rPr>
        <w:t>年</w:t>
      </w:r>
      <w:r>
        <w:rPr>
          <w:rFonts w:hint="eastAsia" w:cs="Times New Roman"/>
          <w:color w:val="auto"/>
          <w:highlight w:val="none"/>
          <w:lang w:val="en-US" w:eastAsia="zh-CN"/>
        </w:rPr>
        <w:t>8</w:t>
      </w:r>
      <w:r>
        <w:rPr>
          <w:rFonts w:hint="default" w:ascii="Times New Roman" w:hAnsi="Times New Roman" w:eastAsia="仿宋_GB2312" w:cs="Times New Roman"/>
          <w:color w:val="auto"/>
          <w:highlight w:val="none"/>
        </w:rPr>
        <w:t>月开工建设</w:t>
      </w:r>
      <w:r>
        <w:rPr>
          <w:rFonts w:hint="eastAsia" w:cs="Times New Roman"/>
          <w:color w:val="auto"/>
          <w:highlight w:val="none"/>
          <w:lang w:eastAsia="zh-CN"/>
        </w:rPr>
        <w:t>，于</w:t>
      </w:r>
      <w:r>
        <w:rPr>
          <w:rFonts w:hint="eastAsia" w:cs="Times New Roman"/>
          <w:color w:val="auto"/>
          <w:highlight w:val="none"/>
          <w:lang w:val="en-US" w:eastAsia="zh-CN"/>
        </w:rPr>
        <w:t>2022年6月建成完工</w:t>
      </w:r>
      <w:r>
        <w:rPr>
          <w:rFonts w:hint="default" w:ascii="Times New Roman" w:hAnsi="Times New Roman" w:eastAsia="仿宋_GB2312" w:cs="Times New Roman"/>
          <w:color w:val="auto"/>
          <w:highlight w:val="none"/>
        </w:rPr>
        <w:t>。</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项目区现状见图2.1-2</w:t>
      </w:r>
      <w:r>
        <w:rPr>
          <w:rFonts w:hint="eastAsia" w:eastAsia="仿宋_GB2312" w:cs="Times New Roman"/>
          <w:color w:val="auto"/>
          <w:highlight w:val="none"/>
          <w:lang w:eastAsia="zh-CN"/>
        </w:rPr>
        <w:t>和</w:t>
      </w:r>
      <w:r>
        <w:rPr>
          <w:rFonts w:hint="default" w:ascii="Times New Roman" w:hAnsi="Times New Roman" w:eastAsia="仿宋_GB2312" w:cs="Times New Roman"/>
          <w:color w:val="auto"/>
          <w:highlight w:val="none"/>
        </w:rPr>
        <w:t>2.1-</w:t>
      </w:r>
      <w:r>
        <w:rPr>
          <w:rFonts w:hint="eastAsia" w:eastAsia="仿宋_GB2312" w:cs="Times New Roman"/>
          <w:color w:val="auto"/>
          <w:highlight w:val="none"/>
          <w:lang w:val="en-US" w:eastAsia="zh-CN"/>
        </w:rPr>
        <w:t>3</w:t>
      </w:r>
      <w:r>
        <w:rPr>
          <w:rFonts w:hint="default" w:ascii="Times New Roman" w:hAnsi="Times New Roman" w:eastAsia="仿宋_GB2312" w:cs="Times New Roman"/>
          <w:color w:val="auto"/>
          <w:highlight w:val="none"/>
        </w:rPr>
        <w:t>。</w:t>
      </w:r>
    </w:p>
    <w:tbl>
      <w:tblPr>
        <w:tblStyle w:val="25"/>
        <w:tblW w:w="916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780"/>
        <w:gridCol w:w="438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7" w:hRule="atLeast"/>
          <w:jc w:val="center"/>
        </w:trPr>
        <w:tc>
          <w:tcPr>
            <w:tcW w:w="4780" w:type="dxa"/>
            <w:vAlign w:val="center"/>
          </w:tcPr>
          <w:p>
            <w:pPr>
              <w:spacing w:line="240" w:lineRule="auto"/>
              <w:ind w:firstLine="0" w:firstLineChars="0"/>
              <w:jc w:val="center"/>
              <w:rPr>
                <w:rFonts w:hint="eastAsia" w:ascii="Times New Roman" w:hAnsi="Times New Roman" w:eastAsia="仿宋_GB2312" w:cs="Times New Roman"/>
                <w:b/>
                <w:color w:val="auto"/>
                <w:sz w:val="21"/>
                <w:szCs w:val="21"/>
                <w:highlight w:val="none"/>
                <w:lang w:eastAsia="zh-CN"/>
              </w:rPr>
            </w:pPr>
            <w:r>
              <w:rPr>
                <w:rFonts w:hint="eastAsia" w:ascii="Times New Roman" w:hAnsi="Times New Roman" w:eastAsia="仿宋_GB2312" w:cs="Times New Roman"/>
                <w:b/>
                <w:color w:val="auto"/>
                <w:sz w:val="21"/>
                <w:szCs w:val="21"/>
                <w:highlight w:val="none"/>
                <w:lang w:eastAsia="zh-CN"/>
              </w:rPr>
              <w:drawing>
                <wp:inline distT="0" distB="0" distL="114300" distR="114300">
                  <wp:extent cx="2894330" cy="2223770"/>
                  <wp:effectExtent l="0" t="0" r="1270" b="5080"/>
                  <wp:docPr id="5" name="图片 5" descr="微信图片_20210804130108_万能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804130108_万能看图王"/>
                          <pic:cNvPicPr>
                            <a:picLocks noChangeAspect="1"/>
                          </pic:cNvPicPr>
                        </pic:nvPicPr>
                        <pic:blipFill>
                          <a:blip r:embed="rId35"/>
                          <a:stretch>
                            <a:fillRect/>
                          </a:stretch>
                        </pic:blipFill>
                        <pic:spPr>
                          <a:xfrm>
                            <a:off x="0" y="0"/>
                            <a:ext cx="2894330" cy="2223770"/>
                          </a:xfrm>
                          <a:prstGeom prst="rect">
                            <a:avLst/>
                          </a:prstGeom>
                        </pic:spPr>
                      </pic:pic>
                    </a:graphicData>
                  </a:graphic>
                </wp:inline>
              </w:drawing>
            </w:r>
          </w:p>
        </w:tc>
        <w:tc>
          <w:tcPr>
            <w:tcW w:w="4380" w:type="dxa"/>
            <w:vAlign w:val="center"/>
          </w:tcPr>
          <w:p>
            <w:pPr>
              <w:spacing w:line="240" w:lineRule="auto"/>
              <w:ind w:firstLine="0" w:firstLineChars="0"/>
              <w:jc w:val="center"/>
              <w:rPr>
                <w:rFonts w:hint="eastAsia" w:ascii="Times New Roman" w:hAnsi="Times New Roman" w:eastAsia="仿宋_GB2312" w:cs="Times New Roman"/>
                <w:b/>
                <w:color w:val="auto"/>
                <w:sz w:val="21"/>
                <w:szCs w:val="21"/>
                <w:highlight w:val="none"/>
                <w:lang w:eastAsia="zh-CN"/>
              </w:rPr>
            </w:pPr>
            <w:r>
              <w:rPr>
                <w:rFonts w:hint="eastAsia" w:ascii="Times New Roman" w:hAnsi="Times New Roman" w:eastAsia="仿宋_GB2312" w:cs="Times New Roman"/>
                <w:b/>
                <w:color w:val="auto"/>
                <w:sz w:val="21"/>
                <w:szCs w:val="21"/>
                <w:highlight w:val="none"/>
                <w:lang w:eastAsia="zh-CN"/>
              </w:rPr>
              <w:drawing>
                <wp:inline distT="0" distB="0" distL="114300" distR="114300">
                  <wp:extent cx="2640330" cy="2216150"/>
                  <wp:effectExtent l="0" t="0" r="7620" b="12700"/>
                  <wp:docPr id="6" name="图片 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
                          <pic:cNvPicPr>
                            <a:picLocks noChangeAspect="1"/>
                          </pic:cNvPicPr>
                        </pic:nvPicPr>
                        <pic:blipFill>
                          <a:blip r:embed="rId36"/>
                          <a:srcRect t="42455" b="-938"/>
                          <a:stretch>
                            <a:fillRect/>
                          </a:stretch>
                        </pic:blipFill>
                        <pic:spPr>
                          <a:xfrm>
                            <a:off x="0" y="0"/>
                            <a:ext cx="2640330" cy="22161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4780" w:type="dxa"/>
          </w:tcPr>
          <w:p>
            <w:pPr>
              <w:spacing w:line="240" w:lineRule="auto"/>
              <w:ind w:firstLine="0" w:firstLineChars="0"/>
              <w:jc w:val="center"/>
              <w:rPr>
                <w:rFonts w:hint="eastAsia" w:ascii="Times New Roman" w:hAnsi="Times New Roman" w:eastAsia="仿宋_GB2312" w:cs="Times New Roman"/>
                <w:b/>
                <w:color w:val="auto"/>
                <w:sz w:val="21"/>
                <w:szCs w:val="21"/>
                <w:highlight w:val="none"/>
                <w:lang w:eastAsia="zh-CN"/>
              </w:rPr>
            </w:pPr>
            <w:r>
              <w:rPr>
                <w:rFonts w:hint="default" w:ascii="Times New Roman" w:hAnsi="Times New Roman" w:eastAsia="仿宋_GB2312" w:cs="Times New Roman"/>
                <w:b/>
                <w:color w:val="auto"/>
                <w:sz w:val="21"/>
                <w:szCs w:val="21"/>
                <w:highlight w:val="none"/>
              </w:rPr>
              <w:t>图2.1</w:t>
            </w:r>
            <w:r>
              <w:rPr>
                <w:rFonts w:hint="default" w:ascii="Times New Roman" w:hAnsi="Times New Roman" w:eastAsia="仿宋_GB2312" w:cs="Times New Roman"/>
                <w:b/>
                <w:color w:val="auto"/>
                <w:sz w:val="21"/>
                <w:szCs w:val="21"/>
                <w:highlight w:val="none"/>
              </w:rPr>
              <w:noBreakHyphen/>
            </w:r>
            <w:r>
              <w:rPr>
                <w:rFonts w:hint="default" w:ascii="Times New Roman" w:hAnsi="Times New Roman" w:eastAsia="仿宋_GB2312" w:cs="Times New Roman"/>
                <w:b/>
                <w:color w:val="auto"/>
                <w:sz w:val="21"/>
                <w:szCs w:val="21"/>
                <w:highlight w:val="none"/>
              </w:rPr>
              <w:t>2</w:t>
            </w:r>
            <w:r>
              <w:rPr>
                <w:rFonts w:hint="eastAsia" w:eastAsia="仿宋_GB2312" w:cs="Times New Roman"/>
                <w:b/>
                <w:color w:val="auto"/>
                <w:sz w:val="21"/>
                <w:szCs w:val="21"/>
                <w:highlight w:val="none"/>
                <w:lang w:eastAsia="zh-CN"/>
              </w:rPr>
              <w:t>绿化区现状</w:t>
            </w:r>
          </w:p>
        </w:tc>
        <w:tc>
          <w:tcPr>
            <w:tcW w:w="4380" w:type="dxa"/>
          </w:tcPr>
          <w:p>
            <w:pPr>
              <w:spacing w:line="240" w:lineRule="auto"/>
              <w:ind w:firstLine="0" w:firstLineChars="0"/>
              <w:jc w:val="center"/>
              <w:rPr>
                <w:rFonts w:hint="eastAsia" w:ascii="Times New Roman" w:hAnsi="Times New Roman" w:eastAsia="仿宋_GB2312" w:cs="Times New Roman"/>
                <w:b/>
                <w:color w:val="auto"/>
                <w:sz w:val="21"/>
                <w:szCs w:val="21"/>
                <w:highlight w:val="none"/>
                <w:lang w:eastAsia="zh-CN"/>
              </w:rPr>
            </w:pPr>
            <w:r>
              <w:rPr>
                <w:rFonts w:hint="default" w:ascii="Times New Roman" w:hAnsi="Times New Roman" w:eastAsia="仿宋_GB2312" w:cs="Times New Roman"/>
                <w:b/>
                <w:color w:val="auto"/>
                <w:sz w:val="21"/>
                <w:szCs w:val="21"/>
                <w:highlight w:val="none"/>
              </w:rPr>
              <w:t>图2.1</w:t>
            </w:r>
            <w:r>
              <w:rPr>
                <w:rFonts w:hint="default" w:ascii="Times New Roman" w:hAnsi="Times New Roman" w:eastAsia="仿宋_GB2312" w:cs="Times New Roman"/>
                <w:b/>
                <w:color w:val="auto"/>
                <w:sz w:val="21"/>
                <w:szCs w:val="21"/>
                <w:highlight w:val="none"/>
              </w:rPr>
              <w:noBreakHyphen/>
            </w:r>
            <w:r>
              <w:rPr>
                <w:rFonts w:hint="default" w:ascii="Times New Roman" w:hAnsi="Times New Roman" w:eastAsia="仿宋_GB2312" w:cs="Times New Roman"/>
                <w:b/>
                <w:color w:val="auto"/>
                <w:sz w:val="21"/>
                <w:szCs w:val="21"/>
                <w:highlight w:val="none"/>
              </w:rPr>
              <w:t>3</w:t>
            </w:r>
            <w:r>
              <w:rPr>
                <w:rFonts w:hint="eastAsia" w:eastAsia="仿宋_GB2312" w:cs="Times New Roman"/>
                <w:b/>
                <w:color w:val="auto"/>
                <w:sz w:val="21"/>
                <w:szCs w:val="21"/>
                <w:highlight w:val="none"/>
                <w:lang w:eastAsia="zh-CN"/>
              </w:rPr>
              <w:t>站区现状</w:t>
            </w:r>
          </w:p>
        </w:tc>
      </w:tr>
    </w:tbl>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2.1.3 工程布置</w:t>
      </w:r>
    </w:p>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2.1.3.1 平面布置</w:t>
      </w:r>
    </w:p>
    <w:p>
      <w:pPr>
        <w:pStyle w:val="55"/>
        <w:ind w:firstLine="480"/>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加油站整个场地分为站房、加油区、油罐区</w:t>
      </w:r>
      <w:r>
        <w:rPr>
          <w:rFonts w:hint="eastAsia" w:cs="Times New Roman"/>
          <w:color w:val="auto"/>
          <w:highlight w:val="none"/>
          <w:lang w:eastAsia="zh-CN"/>
        </w:rPr>
        <w:t>和绿化区四个部分</w:t>
      </w:r>
      <w:r>
        <w:rPr>
          <w:rFonts w:hint="default" w:ascii="Times New Roman" w:hAnsi="Times New Roman" w:eastAsia="仿宋_GB2312" w:cs="Times New Roman"/>
          <w:color w:val="auto"/>
          <w:highlight w:val="none"/>
        </w:rPr>
        <w:t>。站房布置于站区的</w:t>
      </w:r>
      <w:r>
        <w:rPr>
          <w:rFonts w:hint="eastAsia" w:cs="Times New Roman"/>
          <w:color w:val="auto"/>
          <w:highlight w:val="none"/>
          <w:lang w:eastAsia="zh-CN"/>
        </w:rPr>
        <w:t>南</w:t>
      </w:r>
      <w:r>
        <w:rPr>
          <w:rFonts w:hint="default" w:ascii="Times New Roman" w:hAnsi="Times New Roman" w:eastAsia="仿宋_GB2312" w:cs="Times New Roman"/>
          <w:color w:val="auto"/>
          <w:highlight w:val="none"/>
        </w:rPr>
        <w:t>侧，分为办公室、营业室、便利店、配电室等；加油罩棚位于站区</w:t>
      </w:r>
      <w:r>
        <w:rPr>
          <w:rFonts w:hint="eastAsia" w:cs="Times New Roman"/>
          <w:color w:val="auto"/>
          <w:highlight w:val="none"/>
          <w:lang w:eastAsia="zh-CN"/>
        </w:rPr>
        <w:t>中部</w:t>
      </w:r>
      <w:r>
        <w:rPr>
          <w:rFonts w:hint="default" w:ascii="Times New Roman" w:hAnsi="Times New Roman" w:eastAsia="仿宋_GB2312" w:cs="Times New Roman"/>
          <w:color w:val="auto"/>
          <w:highlight w:val="none"/>
        </w:rPr>
        <w:t>，罩棚下布置4台双枪加油机；油罐区位于战区</w:t>
      </w:r>
      <w:r>
        <w:rPr>
          <w:rFonts w:hint="eastAsia" w:cs="Times New Roman"/>
          <w:color w:val="auto"/>
          <w:highlight w:val="none"/>
          <w:lang w:eastAsia="zh-CN"/>
        </w:rPr>
        <w:t>东</w:t>
      </w:r>
      <w:r>
        <w:rPr>
          <w:rFonts w:hint="default" w:ascii="Times New Roman" w:hAnsi="Times New Roman" w:eastAsia="仿宋_GB2312" w:cs="Times New Roman"/>
          <w:color w:val="auto"/>
          <w:highlight w:val="none"/>
        </w:rPr>
        <w:t>部中间，埋设4座埋地油罐。站区绿化区域主要位于站房</w:t>
      </w:r>
      <w:r>
        <w:rPr>
          <w:rFonts w:hint="eastAsia" w:cs="Times New Roman"/>
          <w:color w:val="auto"/>
          <w:highlight w:val="none"/>
          <w:lang w:eastAsia="zh-CN"/>
        </w:rPr>
        <w:t>西北两</w:t>
      </w:r>
      <w:r>
        <w:rPr>
          <w:rFonts w:hint="default" w:ascii="Times New Roman" w:hAnsi="Times New Roman" w:eastAsia="仿宋_GB2312" w:cs="Times New Roman"/>
          <w:color w:val="auto"/>
          <w:highlight w:val="none"/>
        </w:rPr>
        <w:t>侧及</w:t>
      </w:r>
      <w:r>
        <w:rPr>
          <w:rFonts w:hint="eastAsia" w:cs="Times New Roman"/>
          <w:color w:val="auto"/>
          <w:highlight w:val="none"/>
          <w:lang w:eastAsia="zh-CN"/>
        </w:rPr>
        <w:t>建筑物周边。</w:t>
      </w:r>
      <w:r>
        <w:rPr>
          <w:rFonts w:hint="default" w:ascii="Times New Roman" w:hAnsi="Times New Roman" w:eastAsia="仿宋_GB2312" w:cs="Times New Roman"/>
          <w:color w:val="auto"/>
          <w:highlight w:val="none"/>
        </w:rPr>
        <w:t>施工临时道路即为</w:t>
      </w:r>
      <w:r>
        <w:rPr>
          <w:rFonts w:hint="eastAsia" w:cs="Times New Roman"/>
          <w:color w:val="auto"/>
          <w:highlight w:val="none"/>
          <w:lang w:eastAsia="zh-CN"/>
        </w:rPr>
        <w:t>和平北路</w:t>
      </w:r>
      <w:r>
        <w:rPr>
          <w:rFonts w:hint="default" w:ascii="Times New Roman" w:hAnsi="Times New Roman" w:eastAsia="仿宋_GB2312" w:cs="Times New Roman"/>
          <w:color w:val="auto"/>
          <w:highlight w:val="none"/>
        </w:rPr>
        <w:t>与站区的连接段，位于站区西侧。站区布置紧凑，方便管理，周边交通便利，车辆进出顺畅。</w:t>
      </w:r>
      <w:r>
        <w:rPr>
          <w:rFonts w:hint="eastAsia" w:cs="Times New Roman"/>
          <w:color w:val="auto"/>
          <w:highlight w:val="none"/>
          <w:lang w:eastAsia="zh-CN"/>
        </w:rPr>
        <w:t>具体平面布置详见附图。</w:t>
      </w:r>
    </w:p>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2.1.3.2 竖向布置</w:t>
      </w:r>
    </w:p>
    <w:p>
      <w:pPr>
        <w:adjustRightInd/>
        <w:snapToGrid/>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主体工程竖向布置满足生产工艺、运输、装卸作业对高程的要求。因地制宜，充分利用和合理改造地形，使场地的设计标高尽量与自然地形相适应，力求项目区土石方量最小和填挖接近平衡。考虑地形、工程地质和水文地质要求。</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项目区地貌属冲洪积平原区，区内地势平坦，总的地势为南高北低，地形标高在</w:t>
      </w:r>
      <w:r>
        <w:rPr>
          <w:rFonts w:hint="eastAsia" w:ascii="Times New Roman" w:hAnsi="Times New Roman" w:eastAsia="仿宋_GB2312" w:cs="Times New Roman"/>
          <w:color w:val="auto"/>
          <w:highlight w:val="none"/>
          <w:lang w:val="en-US" w:eastAsia="zh-CN"/>
        </w:rPr>
        <w:t>1375</w:t>
      </w:r>
      <w:r>
        <w:rPr>
          <w:rFonts w:hint="default" w:ascii="Times New Roman" w:hAnsi="Times New Roman" w:eastAsia="仿宋_GB2312" w:cs="Times New Roman"/>
          <w:color w:val="auto"/>
          <w:highlight w:val="none"/>
        </w:rPr>
        <w:t>~</w:t>
      </w:r>
      <w:r>
        <w:rPr>
          <w:rFonts w:hint="eastAsia" w:ascii="Times New Roman" w:hAnsi="Times New Roman" w:eastAsia="仿宋_GB2312" w:cs="Times New Roman"/>
          <w:color w:val="auto"/>
          <w:highlight w:val="none"/>
          <w:lang w:val="en-US" w:eastAsia="zh-CN"/>
        </w:rPr>
        <w:t>1377</w:t>
      </w:r>
      <w:r>
        <w:rPr>
          <w:rFonts w:hint="default" w:ascii="Times New Roman" w:hAnsi="Times New Roman" w:eastAsia="仿宋_GB2312" w:cs="Times New Roman"/>
          <w:color w:val="auto"/>
          <w:highlight w:val="none"/>
        </w:rPr>
        <w:t>m之间，</w:t>
      </w:r>
      <w:r>
        <w:rPr>
          <w:rFonts w:hint="eastAsia" w:cs="Times New Roman"/>
          <w:color w:val="auto"/>
          <w:highlight w:val="none"/>
          <w:lang w:eastAsia="zh-CN"/>
        </w:rPr>
        <w:t>建筑物区平均高程为</w:t>
      </w:r>
      <w:r>
        <w:rPr>
          <w:rFonts w:hint="eastAsia" w:cs="Times New Roman"/>
          <w:color w:val="auto"/>
          <w:highlight w:val="none"/>
          <w:lang w:val="en-US" w:eastAsia="zh-CN"/>
        </w:rPr>
        <w:t>1378.20m，道路及硬化区平均高程为1376.28m，管线工程区平均高程为1376.65m，施工生产生活区平均高程为1376.10m。</w:t>
      </w:r>
      <w:r>
        <w:rPr>
          <w:rFonts w:hint="default" w:ascii="Times New Roman" w:hAnsi="Times New Roman" w:eastAsia="仿宋_GB2312" w:cs="Times New Roman"/>
          <w:color w:val="auto"/>
          <w:highlight w:val="none"/>
        </w:rPr>
        <w:t>本项目无生产废水，生活污水经防渗化粪池处理后用于项目区绿化。</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2.1.4 项目组成</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本项目主要由建筑物区</w:t>
      </w:r>
      <w:r>
        <w:rPr>
          <w:rFonts w:hint="eastAsia" w:cs="Times New Roman"/>
          <w:color w:val="auto"/>
          <w:highlight w:val="none"/>
          <w:lang w:eastAsia="zh-CN"/>
        </w:rPr>
        <w:t>、道路及</w:t>
      </w:r>
      <w:r>
        <w:rPr>
          <w:rFonts w:hint="default" w:ascii="Times New Roman" w:hAnsi="Times New Roman" w:eastAsia="仿宋_GB2312" w:cs="Times New Roman"/>
          <w:color w:val="auto"/>
          <w:highlight w:val="none"/>
        </w:rPr>
        <w:t>硬化区、</w:t>
      </w:r>
      <w:r>
        <w:rPr>
          <w:rFonts w:hint="eastAsia" w:cs="Times New Roman"/>
          <w:color w:val="auto"/>
          <w:highlight w:val="none"/>
          <w:lang w:eastAsia="zh-CN"/>
        </w:rPr>
        <w:t>管线工程区（重复占地）</w:t>
      </w:r>
      <w:r>
        <w:rPr>
          <w:rFonts w:hint="default" w:ascii="Times New Roman" w:hAnsi="Times New Roman" w:eastAsia="仿宋_GB2312" w:cs="Times New Roman"/>
          <w:color w:val="auto"/>
          <w:highlight w:val="none"/>
        </w:rPr>
        <w:t>以及施工生产生活区（重复占地）组成。建筑物区内含站房区、油罐区、加油区、</w:t>
      </w:r>
      <w:r>
        <w:rPr>
          <w:rFonts w:hint="eastAsia" w:cs="Times New Roman"/>
          <w:color w:val="auto"/>
          <w:highlight w:val="none"/>
          <w:lang w:eastAsia="zh-CN"/>
        </w:rPr>
        <w:t>以及绿化区</w:t>
      </w:r>
      <w:r>
        <w:rPr>
          <w:rFonts w:hint="default" w:ascii="Times New Roman" w:hAnsi="Times New Roman" w:eastAsia="仿宋_GB2312" w:cs="Times New Roman"/>
          <w:color w:val="auto"/>
          <w:highlight w:val="none"/>
        </w:rPr>
        <w:t>。施工生产生活区在施工组织2.2.1一节中详细介绍。</w:t>
      </w:r>
    </w:p>
    <w:p>
      <w:pPr>
        <w:pStyle w:val="76"/>
        <w:keepNext w:val="0"/>
        <w:keepLines w:val="0"/>
        <w:pageBreakBefore w:val="0"/>
        <w:widowControl/>
        <w:kinsoku/>
        <w:wordWrap/>
        <w:overflowPunct/>
        <w:topLinePunct w:val="0"/>
        <w:autoSpaceDE/>
        <w:autoSpaceDN/>
        <w:bidi w:val="0"/>
        <w:adjustRightInd w:val="0"/>
        <w:snapToGrid w:val="0"/>
        <w:textAlignment w:val="auto"/>
        <w:outlineLvl w:val="9"/>
        <w:rPr>
          <w:rFonts w:hint="default" w:ascii="Times New Roman" w:hAnsi="Times New Roman" w:eastAsia="仿宋_GB2312" w:cs="Times New Roman"/>
          <w:color w:val="auto"/>
          <w:highlight w:val="none"/>
        </w:rPr>
      </w:pPr>
    </w:p>
    <w:p>
      <w:pPr>
        <w:pStyle w:val="76"/>
        <w:keepNext w:val="0"/>
        <w:keepLines w:val="0"/>
        <w:pageBreakBefore w:val="0"/>
        <w:widowControl/>
        <w:kinsoku/>
        <w:wordWrap/>
        <w:overflowPunct/>
        <w:topLinePunct w:val="0"/>
        <w:autoSpaceDE/>
        <w:autoSpaceDN/>
        <w:bidi w:val="0"/>
        <w:adjustRightInd w:val="0"/>
        <w:snapToGrid w:val="0"/>
        <w:textAlignment w:val="auto"/>
        <w:outlineLvl w:val="9"/>
        <w:rPr>
          <w:rFonts w:hint="default" w:ascii="Times New Roman" w:hAnsi="Times New Roman" w:eastAsia="仿宋_GB2312" w:cs="Times New Roman"/>
          <w:color w:val="auto"/>
          <w:highlight w:val="none"/>
        </w:rPr>
      </w:pPr>
    </w:p>
    <w:p>
      <w:pPr>
        <w:pStyle w:val="76"/>
        <w:keepNext w:val="0"/>
        <w:keepLines w:val="0"/>
        <w:pageBreakBefore w:val="0"/>
        <w:widowControl/>
        <w:kinsoku/>
        <w:wordWrap/>
        <w:overflowPunct/>
        <w:topLinePunct w:val="0"/>
        <w:autoSpaceDE/>
        <w:autoSpaceDN/>
        <w:bidi w:val="0"/>
        <w:adjustRightInd w:val="0"/>
        <w:snapToGrid w:val="0"/>
        <w:textAlignment w:val="auto"/>
        <w:outlineLvl w:val="9"/>
        <w:rPr>
          <w:rFonts w:hint="default" w:ascii="Times New Roman" w:hAnsi="Times New Roman" w:eastAsia="仿宋_GB2312" w:cs="Times New Roman"/>
          <w:color w:val="auto"/>
          <w:highlight w:val="none"/>
        </w:rPr>
      </w:pP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表2.1-</w:t>
      </w:r>
      <w:r>
        <w:rPr>
          <w:rFonts w:hint="eastAsia" w:cs="Times New Roman"/>
          <w:color w:val="auto"/>
          <w:highlight w:val="none"/>
          <w:lang w:val="en-US" w:eastAsia="zh-CN"/>
        </w:rPr>
        <w:t>2</w:t>
      </w:r>
      <w:r>
        <w:rPr>
          <w:rFonts w:hint="default" w:ascii="Times New Roman" w:hAnsi="Times New Roman" w:eastAsia="仿宋_GB2312" w:cs="Times New Roman"/>
          <w:color w:val="auto"/>
          <w:highlight w:val="none"/>
        </w:rPr>
        <w:t>主体工程项目组成及主要建设内容</w:t>
      </w:r>
    </w:p>
    <w:tbl>
      <w:tblPr>
        <w:tblStyle w:val="25"/>
        <w:tblW w:w="9105"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33"/>
        <w:gridCol w:w="75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8" w:hRule="atLeast"/>
        </w:trPr>
        <w:tc>
          <w:tcPr>
            <w:tcW w:w="1533" w:type="dxa"/>
            <w:vAlign w:val="center"/>
          </w:tcPr>
          <w:p>
            <w:pPr>
              <w:pStyle w:val="84"/>
              <w:rPr>
                <w:rFonts w:hint="default" w:ascii="Times New Roman" w:hAnsi="Times New Roman" w:eastAsia="仿宋_GB2312" w:cs="Times New Roman"/>
                <w:b w:val="0"/>
                <w:bCs w:val="0"/>
                <w:color w:val="auto"/>
                <w:highlight w:val="none"/>
              </w:rPr>
            </w:pPr>
            <w:r>
              <w:rPr>
                <w:rFonts w:hint="default" w:ascii="Times New Roman" w:hAnsi="Times New Roman" w:eastAsia="仿宋_GB2312" w:cs="Times New Roman"/>
                <w:b w:val="0"/>
                <w:bCs w:val="0"/>
                <w:color w:val="auto"/>
                <w:highlight w:val="none"/>
              </w:rPr>
              <w:t>分区名称</w:t>
            </w:r>
          </w:p>
        </w:tc>
        <w:tc>
          <w:tcPr>
            <w:tcW w:w="7572" w:type="dxa"/>
            <w:vAlign w:val="center"/>
          </w:tcPr>
          <w:p>
            <w:pPr>
              <w:pStyle w:val="84"/>
              <w:rPr>
                <w:rFonts w:hint="default" w:ascii="Times New Roman" w:hAnsi="Times New Roman" w:eastAsia="仿宋_GB2312" w:cs="Times New Roman"/>
                <w:b w:val="0"/>
                <w:bCs w:val="0"/>
                <w:color w:val="auto"/>
                <w:highlight w:val="none"/>
              </w:rPr>
            </w:pPr>
            <w:r>
              <w:rPr>
                <w:rFonts w:hint="default" w:ascii="Times New Roman" w:hAnsi="Times New Roman" w:eastAsia="仿宋_GB2312" w:cs="Times New Roman"/>
                <w:b w:val="0"/>
                <w:bCs w:val="0"/>
                <w:color w:val="auto"/>
                <w:highlight w:val="none"/>
              </w:rPr>
              <w:t>项目组成（均为新建）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8" w:hRule="atLeast"/>
        </w:trPr>
        <w:tc>
          <w:tcPr>
            <w:tcW w:w="1533" w:type="dxa"/>
            <w:vAlign w:val="center"/>
          </w:tcPr>
          <w:p>
            <w:pPr>
              <w:pStyle w:val="84"/>
              <w:rPr>
                <w:rFonts w:hint="default" w:ascii="Times New Roman" w:hAnsi="Times New Roman" w:eastAsia="仿宋_GB2312" w:cs="Times New Roman"/>
                <w:b w:val="0"/>
                <w:bCs w:val="0"/>
                <w:color w:val="auto"/>
                <w:highlight w:val="none"/>
              </w:rPr>
            </w:pPr>
            <w:r>
              <w:rPr>
                <w:rFonts w:hint="default" w:ascii="Times New Roman" w:hAnsi="Times New Roman" w:eastAsia="仿宋_GB2312" w:cs="Times New Roman"/>
                <w:b w:val="0"/>
                <w:bCs w:val="0"/>
                <w:color w:val="auto"/>
                <w:highlight w:val="none"/>
              </w:rPr>
              <w:t>建筑物区</w:t>
            </w:r>
          </w:p>
        </w:tc>
        <w:tc>
          <w:tcPr>
            <w:tcW w:w="7572" w:type="dxa"/>
            <w:vAlign w:val="center"/>
          </w:tcPr>
          <w:p>
            <w:pPr>
              <w:pStyle w:val="84"/>
              <w:jc w:val="left"/>
              <w:rPr>
                <w:rFonts w:hint="default" w:ascii="Times New Roman" w:hAnsi="Times New Roman" w:eastAsia="仿宋_GB2312" w:cs="Times New Roman"/>
                <w:b w:val="0"/>
                <w:bCs w:val="0"/>
                <w:color w:val="auto"/>
                <w:highlight w:val="none"/>
              </w:rPr>
            </w:pPr>
            <w:r>
              <w:rPr>
                <w:rFonts w:hint="default" w:ascii="Times New Roman" w:hAnsi="Times New Roman" w:eastAsia="仿宋_GB2312" w:cs="Times New Roman"/>
                <w:b w:val="0"/>
                <w:bCs w:val="0"/>
                <w:color w:val="auto"/>
                <w:highlight w:val="none"/>
              </w:rPr>
              <w:t>建筑物区占地面积约</w:t>
            </w:r>
            <w:r>
              <w:rPr>
                <w:rFonts w:hint="eastAsia" w:cs="Times New Roman"/>
                <w:b w:val="0"/>
                <w:bCs w:val="0"/>
                <w:color w:val="auto"/>
                <w:highlight w:val="none"/>
                <w:lang w:val="en-US" w:eastAsia="zh-CN"/>
              </w:rPr>
              <w:t>2509.27</w:t>
            </w:r>
            <w:r>
              <w:rPr>
                <w:rFonts w:hint="eastAsia" w:cs="Times New Roman"/>
                <w:b w:val="0"/>
                <w:bCs w:val="0"/>
                <w:color w:val="auto"/>
                <w:highlight w:val="none"/>
                <w:lang w:eastAsia="zh-CN"/>
              </w:rPr>
              <w:t>m²</w:t>
            </w:r>
            <w:r>
              <w:rPr>
                <w:rFonts w:hint="default" w:ascii="Times New Roman" w:hAnsi="Times New Roman" w:eastAsia="仿宋_GB2312" w:cs="Times New Roman"/>
                <w:b w:val="0"/>
                <w:bCs w:val="0"/>
                <w:color w:val="auto"/>
                <w:highlight w:val="none"/>
              </w:rPr>
              <w:t>。主要包括站房、油罐区、加油区及</w:t>
            </w:r>
            <w:r>
              <w:rPr>
                <w:rFonts w:hint="eastAsia" w:cs="Times New Roman"/>
                <w:b w:val="0"/>
                <w:bCs w:val="0"/>
                <w:color w:val="auto"/>
                <w:highlight w:val="none"/>
                <w:lang w:eastAsia="zh-CN"/>
              </w:rPr>
              <w:t>绿化</w:t>
            </w:r>
            <w:r>
              <w:rPr>
                <w:rFonts w:hint="default" w:ascii="Times New Roman" w:hAnsi="Times New Roman" w:eastAsia="仿宋_GB2312" w:cs="Times New Roman"/>
                <w:b w:val="0"/>
                <w:bCs w:val="0"/>
                <w:color w:val="auto"/>
                <w:highlight w:val="none"/>
              </w:rPr>
              <w:t>区</w:t>
            </w:r>
            <w:r>
              <w:rPr>
                <w:rFonts w:hint="eastAsia" w:cs="Times New Roman"/>
                <w:b w:val="0"/>
                <w:bCs w:val="0"/>
                <w:color w:val="auto"/>
                <w:highlight w:val="none"/>
                <w:lang w:eastAsia="zh-CN"/>
              </w:rPr>
              <w:t>，绿化区面积为</w:t>
            </w:r>
            <w:r>
              <w:rPr>
                <w:rFonts w:hint="eastAsia" w:cs="Times New Roman"/>
                <w:b w:val="0"/>
                <w:bCs w:val="0"/>
                <w:color w:val="auto"/>
                <w:highlight w:val="none"/>
                <w:lang w:val="en-US" w:eastAsia="zh-CN"/>
              </w:rPr>
              <w:t>1676.66m²，绿化区位置主要位于项目区的北侧以及站房周边。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8" w:hRule="atLeast"/>
        </w:trPr>
        <w:tc>
          <w:tcPr>
            <w:tcW w:w="1533" w:type="dxa"/>
            <w:vAlign w:val="center"/>
          </w:tcPr>
          <w:p>
            <w:pPr>
              <w:pStyle w:val="84"/>
              <w:rPr>
                <w:rFonts w:hint="default" w:ascii="Times New Roman" w:hAnsi="Times New Roman" w:eastAsia="仿宋_GB2312" w:cs="Times New Roman"/>
                <w:b w:val="0"/>
                <w:bCs w:val="0"/>
                <w:color w:val="auto"/>
                <w:highlight w:val="none"/>
              </w:rPr>
            </w:pPr>
            <w:r>
              <w:rPr>
                <w:rFonts w:hint="eastAsia" w:cs="Times New Roman"/>
                <w:b w:val="0"/>
                <w:bCs w:val="0"/>
                <w:color w:val="auto"/>
                <w:highlight w:val="none"/>
                <w:lang w:eastAsia="zh-CN"/>
              </w:rPr>
              <w:t>道路及</w:t>
            </w:r>
            <w:r>
              <w:rPr>
                <w:rFonts w:hint="default" w:ascii="Times New Roman" w:hAnsi="Times New Roman" w:eastAsia="仿宋_GB2312" w:cs="Times New Roman"/>
                <w:b w:val="0"/>
                <w:bCs w:val="0"/>
                <w:color w:val="auto"/>
                <w:highlight w:val="none"/>
              </w:rPr>
              <w:t>硬化区</w:t>
            </w:r>
          </w:p>
        </w:tc>
        <w:tc>
          <w:tcPr>
            <w:tcW w:w="7572" w:type="dxa"/>
            <w:vAlign w:val="center"/>
          </w:tcPr>
          <w:p>
            <w:pPr>
              <w:pStyle w:val="84"/>
              <w:jc w:val="left"/>
              <w:rPr>
                <w:rFonts w:hint="default" w:ascii="Times New Roman" w:hAnsi="Times New Roman" w:eastAsia="仿宋_GB2312" w:cs="Times New Roman"/>
                <w:b w:val="0"/>
                <w:bCs w:val="0"/>
                <w:color w:val="auto"/>
                <w:highlight w:val="none"/>
              </w:rPr>
            </w:pPr>
            <w:r>
              <w:rPr>
                <w:rFonts w:hint="default" w:ascii="Times New Roman" w:hAnsi="Times New Roman" w:eastAsia="仿宋_GB2312" w:cs="Times New Roman"/>
                <w:b w:val="0"/>
                <w:bCs w:val="0"/>
                <w:color w:val="auto"/>
                <w:highlight w:val="none"/>
              </w:rPr>
              <w:t>站区内除</w:t>
            </w:r>
            <w:r>
              <w:rPr>
                <w:rFonts w:hint="eastAsia" w:cs="Times New Roman"/>
                <w:b w:val="0"/>
                <w:bCs w:val="0"/>
                <w:color w:val="auto"/>
                <w:highlight w:val="none"/>
                <w:lang w:eastAsia="zh-CN"/>
              </w:rPr>
              <w:t>站房</w:t>
            </w:r>
            <w:r>
              <w:rPr>
                <w:rFonts w:hint="default" w:ascii="Times New Roman" w:hAnsi="Times New Roman" w:eastAsia="仿宋_GB2312" w:cs="Times New Roman"/>
                <w:b w:val="0"/>
                <w:bCs w:val="0"/>
                <w:color w:val="auto"/>
                <w:highlight w:val="none"/>
              </w:rPr>
              <w:t>区、油罐区、加油区、绿化区外，其他场地均实施混凝土硬化处理。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8" w:hRule="atLeast"/>
        </w:trPr>
        <w:tc>
          <w:tcPr>
            <w:tcW w:w="1533" w:type="dxa"/>
            <w:vAlign w:val="center"/>
          </w:tcPr>
          <w:p>
            <w:pPr>
              <w:pStyle w:val="84"/>
              <w:rPr>
                <w:rFonts w:hint="eastAsia" w:cs="Times New Roman"/>
                <w:b w:val="0"/>
                <w:bCs w:val="0"/>
                <w:color w:val="auto"/>
                <w:highlight w:val="none"/>
                <w:lang w:eastAsia="zh-CN"/>
              </w:rPr>
            </w:pPr>
            <w:r>
              <w:rPr>
                <w:rFonts w:hint="eastAsia" w:cs="Times New Roman"/>
                <w:b w:val="0"/>
                <w:bCs w:val="0"/>
                <w:color w:val="auto"/>
                <w:highlight w:val="none"/>
                <w:lang w:eastAsia="zh-CN"/>
              </w:rPr>
              <w:t>管线工程区</w:t>
            </w:r>
            <w:r>
              <w:rPr>
                <w:rFonts w:hint="default" w:ascii="Times New Roman" w:hAnsi="Times New Roman" w:eastAsia="仿宋_GB2312" w:cs="Times New Roman"/>
                <w:b w:val="0"/>
                <w:bCs w:val="0"/>
                <w:color w:val="auto"/>
                <w:highlight w:val="none"/>
              </w:rPr>
              <w:t>（重复占地）</w:t>
            </w:r>
          </w:p>
        </w:tc>
        <w:tc>
          <w:tcPr>
            <w:tcW w:w="7572" w:type="dxa"/>
            <w:vAlign w:val="center"/>
          </w:tcPr>
          <w:p>
            <w:pPr>
              <w:pStyle w:val="84"/>
              <w:ind w:firstLine="0" w:firstLineChars="0"/>
              <w:jc w:val="left"/>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cs="Times New Roman"/>
                <w:color w:val="auto"/>
                <w:highlight w:val="none"/>
              </w:rPr>
              <w:t>站区水源为自来水，排水至站区南侧新建化粪池，定期清掏拉</w:t>
            </w:r>
            <w:r>
              <w:rPr>
                <w:rFonts w:hint="eastAsia" w:ascii="Times New Roman" w:hAnsi="Times New Roman" w:cs="Times New Roman"/>
                <w:color w:val="auto"/>
                <w:highlight w:val="none"/>
                <w:lang w:eastAsia="zh-CN"/>
              </w:rPr>
              <w:t>并定时进行</w:t>
            </w:r>
            <w:r>
              <w:rPr>
                <w:rFonts w:hint="default" w:ascii="Times New Roman" w:hAnsi="Times New Roman" w:cs="Times New Roman"/>
                <w:color w:val="auto"/>
                <w:highlight w:val="none"/>
              </w:rPr>
              <w:t>污水处理。站区给水接</w:t>
            </w:r>
            <w:r>
              <w:rPr>
                <w:rFonts w:hint="eastAsia" w:ascii="Times New Roman" w:hAnsi="Times New Roman" w:cs="Times New Roman"/>
                <w:color w:val="auto"/>
                <w:highlight w:val="none"/>
                <w:lang w:eastAsia="zh-CN"/>
              </w:rPr>
              <w:t>工业园区</w:t>
            </w:r>
            <w:r>
              <w:rPr>
                <w:rFonts w:hint="default" w:ascii="Times New Roman" w:hAnsi="Times New Roman" w:cs="Times New Roman"/>
                <w:color w:val="auto"/>
                <w:highlight w:val="none"/>
              </w:rPr>
              <w:t>给水管网，接至站房员工宿舍，管沟开挖尺寸：上口1.</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m、下口宽0.</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m，挖深1.</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m，施工作业带3m，长</w:t>
            </w:r>
            <w:r>
              <w:rPr>
                <w:rFonts w:hint="eastAsia" w:ascii="Times New Roman" w:hAnsi="Times New Roman" w:cs="Times New Roman"/>
                <w:color w:val="auto"/>
                <w:highlight w:val="none"/>
                <w:lang w:val="en-US" w:eastAsia="zh-CN"/>
              </w:rPr>
              <w:t>90</w:t>
            </w:r>
            <w:r>
              <w:rPr>
                <w:rFonts w:hint="default" w:ascii="Times New Roman" w:hAnsi="Times New Roman" w:cs="Times New Roman"/>
                <w:color w:val="auto"/>
                <w:highlight w:val="none"/>
              </w:rPr>
              <w:t>m。施工结束后恢复原地貌。本项目施工期间用电可直接利用</w:t>
            </w:r>
            <w:r>
              <w:rPr>
                <w:rFonts w:hint="eastAsia" w:ascii="Times New Roman" w:hAnsi="Times New Roman" w:cs="Times New Roman"/>
                <w:color w:val="auto"/>
                <w:highlight w:val="none"/>
                <w:lang w:eastAsia="zh-CN"/>
              </w:rPr>
              <w:t>园区</w:t>
            </w:r>
            <w:r>
              <w:rPr>
                <w:rFonts w:hint="default" w:ascii="Times New Roman" w:hAnsi="Times New Roman" w:cs="Times New Roman"/>
                <w:color w:val="auto"/>
                <w:highlight w:val="none"/>
              </w:rPr>
              <w:t>道路供电设施，接箱变至站房，电缆沟尺寸：</w:t>
            </w:r>
            <w:r>
              <w:rPr>
                <w:rFonts w:hint="eastAsia" w:ascii="Times New Roman" w:hAnsi="Times New Roman" w:cs="Times New Roman"/>
                <w:color w:val="auto"/>
                <w:highlight w:val="none"/>
                <w:lang w:val="en-US" w:eastAsia="zh-CN"/>
              </w:rPr>
              <w:t>0.6</w:t>
            </w:r>
            <w:r>
              <w:rPr>
                <w:rFonts w:hint="default" w:ascii="Times New Roman" w:hAnsi="Times New Roman" w:cs="Times New Roman"/>
                <w:color w:val="auto"/>
                <w:highlight w:val="none"/>
              </w:rPr>
              <w:t>m×0.6m，挖深</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m，长度约</w:t>
            </w:r>
            <w:r>
              <w:rPr>
                <w:rFonts w:hint="eastAsia" w:ascii="Times New Roman" w:hAnsi="Times New Roman" w:cs="Times New Roman"/>
                <w:color w:val="auto"/>
                <w:highlight w:val="none"/>
                <w:lang w:val="en-US" w:eastAsia="zh-CN"/>
              </w:rPr>
              <w:t>37</w:t>
            </w:r>
            <w:r>
              <w:rPr>
                <w:rFonts w:hint="default" w:ascii="Times New Roman" w:hAnsi="Times New Roman" w:cs="Times New Roman"/>
                <w:color w:val="auto"/>
                <w:highlight w:val="none"/>
              </w:rPr>
              <w:t>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8" w:hRule="atLeast"/>
        </w:trPr>
        <w:tc>
          <w:tcPr>
            <w:tcW w:w="1533" w:type="dxa"/>
            <w:vAlign w:val="center"/>
          </w:tcPr>
          <w:p>
            <w:pPr>
              <w:pStyle w:val="84"/>
              <w:rPr>
                <w:rFonts w:hint="default" w:ascii="Times New Roman" w:hAnsi="Times New Roman" w:eastAsia="仿宋_GB2312" w:cs="Times New Roman"/>
                <w:b w:val="0"/>
                <w:bCs w:val="0"/>
                <w:color w:val="auto"/>
                <w:highlight w:val="none"/>
              </w:rPr>
            </w:pPr>
            <w:r>
              <w:rPr>
                <w:rFonts w:hint="eastAsia" w:cs="Times New Roman"/>
                <w:b w:val="0"/>
                <w:bCs w:val="0"/>
                <w:color w:val="auto"/>
                <w:highlight w:val="none"/>
                <w:lang w:eastAsia="zh-CN"/>
              </w:rPr>
              <w:t>施工生产生活区</w:t>
            </w:r>
            <w:r>
              <w:rPr>
                <w:rFonts w:hint="default" w:ascii="Times New Roman" w:hAnsi="Times New Roman" w:eastAsia="仿宋_GB2312" w:cs="Times New Roman"/>
                <w:b w:val="0"/>
                <w:bCs w:val="0"/>
                <w:color w:val="auto"/>
                <w:highlight w:val="none"/>
              </w:rPr>
              <w:t>（重复占地）</w:t>
            </w:r>
          </w:p>
        </w:tc>
        <w:tc>
          <w:tcPr>
            <w:tcW w:w="7572" w:type="dxa"/>
            <w:vAlign w:val="center"/>
          </w:tcPr>
          <w:p>
            <w:pPr>
              <w:pStyle w:val="84"/>
              <w:jc w:val="left"/>
              <w:rPr>
                <w:rFonts w:hint="default" w:ascii="Times New Roman" w:hAnsi="Times New Roman" w:eastAsia="仿宋_GB2312" w:cs="Times New Roman"/>
                <w:b w:val="0"/>
                <w:bCs w:val="0"/>
                <w:color w:val="auto"/>
                <w:highlight w:val="none"/>
              </w:rPr>
            </w:pPr>
            <w:r>
              <w:rPr>
                <w:rFonts w:hint="eastAsia" w:cs="Times New Roman"/>
                <w:b w:val="0"/>
                <w:bCs w:val="0"/>
                <w:color w:val="auto"/>
                <w:highlight w:val="none"/>
                <w:lang w:eastAsia="zh-CN"/>
              </w:rPr>
              <w:t>施工生产生活区</w:t>
            </w:r>
            <w:r>
              <w:rPr>
                <w:rFonts w:hint="default" w:ascii="Times New Roman" w:hAnsi="Times New Roman" w:eastAsia="仿宋_GB2312" w:cs="Times New Roman"/>
                <w:b w:val="0"/>
                <w:bCs w:val="0"/>
                <w:color w:val="auto"/>
                <w:highlight w:val="none"/>
              </w:rPr>
              <w:t>占地共计150m²，作为施工期间材料堆放场地</w:t>
            </w:r>
            <w:r>
              <w:rPr>
                <w:rFonts w:hint="eastAsia" w:cs="Times New Roman"/>
                <w:b w:val="0"/>
                <w:bCs w:val="0"/>
                <w:color w:val="auto"/>
                <w:highlight w:val="none"/>
                <w:lang w:eastAsia="zh-CN"/>
              </w:rPr>
              <w:t>以及施工人员生活场地</w:t>
            </w:r>
            <w:r>
              <w:rPr>
                <w:rFonts w:hint="default" w:ascii="Times New Roman" w:hAnsi="Times New Roman" w:eastAsia="仿宋_GB2312" w:cs="Times New Roman"/>
                <w:b w:val="0"/>
                <w:bCs w:val="0"/>
                <w:color w:val="auto"/>
                <w:highlight w:val="none"/>
              </w:rPr>
              <w:t>等。</w:t>
            </w:r>
          </w:p>
        </w:tc>
      </w:tr>
    </w:tbl>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2.1.4.1 建筑物区</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建筑物区占地面积约</w:t>
      </w:r>
      <w:r>
        <w:rPr>
          <w:rFonts w:hint="eastAsia" w:cs="Times New Roman"/>
          <w:color w:val="auto"/>
          <w:highlight w:val="none"/>
          <w:lang w:val="en-US" w:eastAsia="zh-CN"/>
        </w:rPr>
        <w:t>2509.27</w:t>
      </w:r>
      <w:r>
        <w:rPr>
          <w:rFonts w:hint="eastAsia" w:cs="Times New Roman"/>
          <w:color w:val="auto"/>
          <w:highlight w:val="none"/>
          <w:lang w:eastAsia="zh-CN"/>
        </w:rPr>
        <w:t>m²</w:t>
      </w:r>
      <w:r>
        <w:rPr>
          <w:rFonts w:hint="default" w:ascii="Times New Roman" w:hAnsi="Times New Roman" w:eastAsia="仿宋_GB2312" w:cs="Times New Roman"/>
          <w:color w:val="auto"/>
          <w:highlight w:val="none"/>
        </w:rPr>
        <w:t>。主要包括站房</w:t>
      </w:r>
      <w:r>
        <w:rPr>
          <w:rFonts w:hint="eastAsia" w:cs="Times New Roman"/>
          <w:color w:val="auto"/>
          <w:highlight w:val="none"/>
          <w:lang w:eastAsia="zh-CN"/>
        </w:rPr>
        <w:t>区</w:t>
      </w:r>
      <w:r>
        <w:rPr>
          <w:rFonts w:hint="default" w:ascii="Times New Roman" w:hAnsi="Times New Roman" w:eastAsia="仿宋_GB2312" w:cs="Times New Roman"/>
          <w:color w:val="auto"/>
          <w:highlight w:val="none"/>
        </w:rPr>
        <w:t>、油罐区、加油区及</w:t>
      </w:r>
      <w:r>
        <w:rPr>
          <w:rFonts w:hint="eastAsia" w:cs="Times New Roman"/>
          <w:color w:val="auto"/>
          <w:highlight w:val="none"/>
          <w:lang w:eastAsia="zh-CN"/>
        </w:rPr>
        <w:t>绿化区</w:t>
      </w:r>
      <w:r>
        <w:rPr>
          <w:rFonts w:hint="default" w:ascii="Times New Roman" w:hAnsi="Times New Roman" w:eastAsia="仿宋_GB2312" w:cs="Times New Roman"/>
          <w:color w:val="auto"/>
          <w:highlight w:val="none"/>
        </w:rPr>
        <w:t>。</w:t>
      </w:r>
    </w:p>
    <w:p>
      <w:pPr>
        <w:pStyle w:val="55"/>
        <w:numPr>
          <w:ilvl w:val="0"/>
          <w:numId w:val="0"/>
        </w:numPr>
        <w:ind w:firstLine="480" w:firstLineChars="200"/>
        <w:rPr>
          <w:rFonts w:hint="eastAsia" w:cs="Times New Roman"/>
          <w:color w:val="auto"/>
          <w:highlight w:val="none"/>
          <w:lang w:val="en-US" w:eastAsia="zh-CN"/>
        </w:rPr>
      </w:pPr>
      <w:r>
        <w:rPr>
          <w:rFonts w:hint="eastAsia" w:cs="Times New Roman"/>
          <w:color w:val="auto"/>
          <w:highlight w:val="none"/>
          <w:lang w:val="en-US" w:eastAsia="zh-CN"/>
        </w:rPr>
        <w:t>一.站房区</w:t>
      </w:r>
    </w:p>
    <w:p>
      <w:pPr>
        <w:pStyle w:val="55"/>
        <w:numPr>
          <w:ilvl w:val="0"/>
          <w:numId w:val="0"/>
        </w:numPr>
        <w:ind w:firstLine="480" w:firstLineChars="200"/>
        <w:rPr>
          <w:rFonts w:hint="default" w:ascii="Times New Roman" w:hAnsi="Times New Roman" w:eastAsia="仿宋_GB2312" w:cs="Times New Roman"/>
          <w:color w:val="auto"/>
          <w:highlight w:val="none"/>
        </w:rPr>
      </w:pPr>
      <w:r>
        <w:rPr>
          <w:rFonts w:hint="eastAsia" w:cs="Times New Roman"/>
          <w:color w:val="auto"/>
          <w:highlight w:val="none"/>
          <w:lang w:eastAsia="zh-CN"/>
        </w:rPr>
        <w:t>站房区面积为</w:t>
      </w:r>
      <w:r>
        <w:rPr>
          <w:rFonts w:hint="eastAsia" w:cs="Times New Roman"/>
          <w:color w:val="auto"/>
          <w:highlight w:val="none"/>
          <w:lang w:val="en-US" w:eastAsia="zh-CN"/>
        </w:rPr>
        <w:t>401.3m²，项目区</w:t>
      </w:r>
      <w:r>
        <w:rPr>
          <w:rFonts w:hint="default" w:ascii="Times New Roman" w:hAnsi="Times New Roman" w:eastAsia="仿宋_GB2312" w:cs="Times New Roman"/>
          <w:color w:val="auto"/>
          <w:highlight w:val="none"/>
        </w:rPr>
        <w:t>新建站房1座，占地面积</w:t>
      </w:r>
      <w:r>
        <w:rPr>
          <w:rFonts w:hint="eastAsia" w:cs="Times New Roman"/>
          <w:color w:val="auto"/>
          <w:highlight w:val="none"/>
          <w:lang w:val="en-US" w:eastAsia="zh-CN"/>
        </w:rPr>
        <w:t>267.3</w:t>
      </w:r>
      <w:r>
        <w:rPr>
          <w:rFonts w:hint="eastAsia" w:cs="Times New Roman"/>
          <w:color w:val="auto"/>
          <w:highlight w:val="none"/>
          <w:lang w:eastAsia="zh-CN"/>
        </w:rPr>
        <w:t>m²</w:t>
      </w:r>
      <w:r>
        <w:rPr>
          <w:rFonts w:hint="default" w:ascii="Times New Roman" w:hAnsi="Times New Roman" w:eastAsia="仿宋_GB2312" w:cs="Times New Roman"/>
          <w:color w:val="auto"/>
          <w:highlight w:val="none"/>
        </w:rPr>
        <w:t>，建筑面积为</w:t>
      </w:r>
      <w:r>
        <w:rPr>
          <w:rFonts w:hint="eastAsia" w:cs="Times New Roman"/>
          <w:color w:val="auto"/>
          <w:highlight w:val="none"/>
          <w:lang w:val="en-US" w:eastAsia="zh-CN"/>
        </w:rPr>
        <w:t>267.3</w:t>
      </w:r>
      <w:r>
        <w:rPr>
          <w:rFonts w:hint="eastAsia" w:cs="Times New Roman"/>
          <w:color w:val="auto"/>
          <w:highlight w:val="none"/>
          <w:lang w:eastAsia="zh-CN"/>
        </w:rPr>
        <w:t>m²</w:t>
      </w:r>
      <w:r>
        <w:rPr>
          <w:rFonts w:hint="default" w:ascii="Times New Roman" w:hAnsi="Times New Roman" w:eastAsia="仿宋_GB2312" w:cs="Times New Roman"/>
          <w:color w:val="auto"/>
          <w:highlight w:val="none"/>
        </w:rPr>
        <w:t>，结构类型：</w:t>
      </w:r>
      <w:r>
        <w:rPr>
          <w:rFonts w:hint="eastAsia" w:cs="Times New Roman"/>
          <w:color w:val="auto"/>
          <w:highlight w:val="none"/>
          <w:lang w:eastAsia="zh-CN"/>
        </w:rPr>
        <w:t>单</w:t>
      </w:r>
      <w:r>
        <w:rPr>
          <w:rFonts w:hint="default" w:ascii="Times New Roman" w:hAnsi="Times New Roman" w:eastAsia="仿宋_GB2312" w:cs="Times New Roman"/>
          <w:color w:val="auto"/>
          <w:highlight w:val="none"/>
        </w:rPr>
        <w:t>层砖混结构，高度：</w:t>
      </w:r>
      <w:r>
        <w:rPr>
          <w:rFonts w:hint="eastAsia" w:cs="Times New Roman"/>
          <w:color w:val="auto"/>
          <w:highlight w:val="none"/>
          <w:lang w:val="en-US" w:eastAsia="zh-CN"/>
        </w:rPr>
        <w:t>4.7</w:t>
      </w:r>
      <w:r>
        <w:rPr>
          <w:rFonts w:hint="default" w:ascii="Times New Roman" w:hAnsi="Times New Roman" w:eastAsia="仿宋_GB2312" w:cs="Times New Roman"/>
          <w:color w:val="auto"/>
          <w:highlight w:val="none"/>
        </w:rPr>
        <w:t>m，采用条形基础，埋深1.5m。项目区周边新建围墙</w:t>
      </w:r>
      <w:r>
        <w:rPr>
          <w:rFonts w:hint="eastAsia" w:cs="Times New Roman"/>
          <w:color w:val="auto"/>
          <w:highlight w:val="none"/>
          <w:lang w:val="en-US" w:eastAsia="zh-CN"/>
        </w:rPr>
        <w:t>215</w:t>
      </w:r>
      <w:r>
        <w:rPr>
          <w:rFonts w:hint="default" w:ascii="Times New Roman" w:hAnsi="Times New Roman" w:eastAsia="仿宋_GB2312" w:cs="Times New Roman"/>
          <w:color w:val="auto"/>
          <w:highlight w:val="none"/>
        </w:rPr>
        <w:t>m，为砖砌围墙，基础埋深</w:t>
      </w:r>
      <w:r>
        <w:rPr>
          <w:rFonts w:hint="eastAsia" w:cs="Times New Roman"/>
          <w:color w:val="auto"/>
          <w:highlight w:val="none"/>
          <w:lang w:val="en-US" w:eastAsia="zh-CN"/>
        </w:rPr>
        <w:t>1</w:t>
      </w:r>
      <w:r>
        <w:rPr>
          <w:rFonts w:hint="default" w:ascii="Times New Roman" w:hAnsi="Times New Roman" w:eastAsia="仿宋_GB2312" w:cs="Times New Roman"/>
          <w:color w:val="auto"/>
          <w:highlight w:val="none"/>
        </w:rPr>
        <w:t>m</w:t>
      </w:r>
      <w:r>
        <w:rPr>
          <w:rFonts w:hint="eastAsia" w:cs="Times New Roman"/>
          <w:color w:val="auto"/>
          <w:highlight w:val="none"/>
          <w:lang w:eastAsia="zh-CN"/>
        </w:rPr>
        <w:t>；同时站房区包括人行砖道</w:t>
      </w:r>
      <w:r>
        <w:rPr>
          <w:rFonts w:hint="eastAsia" w:cs="Times New Roman"/>
          <w:color w:val="auto"/>
          <w:highlight w:val="none"/>
          <w:lang w:val="en-US" w:eastAsia="zh-CN"/>
        </w:rPr>
        <w:t>134m²</w:t>
      </w:r>
      <w:r>
        <w:rPr>
          <w:rFonts w:hint="default" w:ascii="Times New Roman" w:hAnsi="Times New Roman" w:eastAsia="仿宋_GB2312" w:cs="Times New Roman"/>
          <w:color w:val="auto"/>
          <w:highlight w:val="none"/>
        </w:rPr>
        <w:t>。</w:t>
      </w:r>
    </w:p>
    <w:p>
      <w:pPr>
        <w:pStyle w:val="55"/>
        <w:numPr>
          <w:ilvl w:val="0"/>
          <w:numId w:val="0"/>
        </w:numPr>
        <w:ind w:firstLine="480" w:firstLineChars="200"/>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drawing>
          <wp:inline distT="0" distB="0" distL="114300" distR="114300">
            <wp:extent cx="4913630" cy="2465705"/>
            <wp:effectExtent l="0" t="0" r="1270" b="10795"/>
            <wp:docPr id="4" name="图片 4" descr="微信图片_2021081618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816183440"/>
                    <pic:cNvPicPr>
                      <a:picLocks noChangeAspect="1"/>
                    </pic:cNvPicPr>
                  </pic:nvPicPr>
                  <pic:blipFill>
                    <a:blip r:embed="rId37"/>
                    <a:stretch>
                      <a:fillRect/>
                    </a:stretch>
                  </pic:blipFill>
                  <pic:spPr>
                    <a:xfrm>
                      <a:off x="0" y="0"/>
                      <a:ext cx="4913630" cy="2465705"/>
                    </a:xfrm>
                    <a:prstGeom prst="rect">
                      <a:avLst/>
                    </a:prstGeom>
                  </pic:spPr>
                </pic:pic>
              </a:graphicData>
            </a:graphic>
          </wp:inline>
        </w:drawing>
      </w:r>
    </w:p>
    <w:p>
      <w:pPr>
        <w:pStyle w:val="55"/>
        <w:numPr>
          <w:ilvl w:val="0"/>
          <w:numId w:val="0"/>
        </w:numPr>
        <w:ind w:firstLine="422" w:firstLineChars="200"/>
        <w:jc w:val="center"/>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b/>
          <w:snapToGrid/>
          <w:color w:val="auto"/>
          <w:kern w:val="2"/>
          <w:sz w:val="21"/>
          <w:szCs w:val="21"/>
          <w:highlight w:val="none"/>
          <w:lang w:val="en-US" w:eastAsia="zh-CN" w:bidi="ar-SA"/>
        </w:rPr>
        <w:t>图2.1.4</w:t>
      </w:r>
      <w:r>
        <w:rPr>
          <w:rFonts w:hint="eastAsia" w:ascii="Times New Roman" w:hAnsi="Times New Roman" w:cs="Times New Roman"/>
          <w:b/>
          <w:snapToGrid/>
          <w:color w:val="auto"/>
          <w:kern w:val="2"/>
          <w:sz w:val="21"/>
          <w:szCs w:val="21"/>
          <w:highlight w:val="none"/>
          <w:lang w:val="en-US" w:eastAsia="zh-CN" w:bidi="ar-SA"/>
        </w:rPr>
        <w:t>站房平面布置图</w:t>
      </w:r>
    </w:p>
    <w:p>
      <w:pPr>
        <w:pStyle w:val="55"/>
        <w:numPr>
          <w:ilvl w:val="0"/>
          <w:numId w:val="0"/>
        </w:numPr>
        <w:ind w:leftChars="200"/>
        <w:rPr>
          <w:rFonts w:hint="default" w:ascii="Times New Roman" w:hAnsi="Times New Roman" w:eastAsia="仿宋_GB2312" w:cs="Times New Roman"/>
          <w:color w:val="auto"/>
          <w:highlight w:val="none"/>
        </w:rPr>
      </w:pPr>
      <w:r>
        <w:rPr>
          <w:rFonts w:hint="eastAsia" w:cs="Times New Roman"/>
          <w:color w:val="auto"/>
          <w:highlight w:val="none"/>
          <w:lang w:val="en-US" w:eastAsia="zh-CN"/>
        </w:rPr>
        <w:t>二.</w:t>
      </w:r>
      <w:r>
        <w:rPr>
          <w:rFonts w:hint="default" w:ascii="Times New Roman" w:hAnsi="Times New Roman" w:eastAsia="仿宋_GB2312" w:cs="Times New Roman"/>
          <w:color w:val="auto"/>
          <w:highlight w:val="none"/>
        </w:rPr>
        <w:t>油罐区</w:t>
      </w:r>
    </w:p>
    <w:p>
      <w:pPr>
        <w:pStyle w:val="55"/>
        <w:numPr>
          <w:ilvl w:val="0"/>
          <w:numId w:val="0"/>
        </w:numPr>
        <w:ind w:firstLine="480" w:firstLineChars="200"/>
        <w:rPr>
          <w:rFonts w:hint="default" w:ascii="Times New Roman" w:hAnsi="Times New Roman" w:eastAsia="仿宋_GB2312" w:cs="Times New Roman"/>
          <w:color w:val="auto"/>
          <w:highlight w:val="none"/>
        </w:rPr>
      </w:pPr>
      <w:r>
        <w:rPr>
          <w:rFonts w:hint="eastAsia" w:cs="Times New Roman"/>
          <w:color w:val="auto"/>
          <w:highlight w:val="none"/>
          <w:lang w:eastAsia="zh-CN"/>
        </w:rPr>
        <w:t>油罐区</w:t>
      </w:r>
      <w:r>
        <w:rPr>
          <w:rFonts w:hint="default" w:ascii="Times New Roman" w:hAnsi="Times New Roman" w:eastAsia="仿宋_GB2312" w:cs="Times New Roman"/>
          <w:color w:val="auto"/>
          <w:highlight w:val="none"/>
        </w:rPr>
        <w:t>占地面积约</w:t>
      </w:r>
      <w:r>
        <w:rPr>
          <w:rFonts w:hint="eastAsia" w:cs="Times New Roman"/>
          <w:color w:val="auto"/>
          <w:highlight w:val="none"/>
          <w:lang w:val="en-US" w:eastAsia="zh-CN"/>
        </w:rPr>
        <w:t>188.3</w:t>
      </w:r>
      <w:r>
        <w:rPr>
          <w:rFonts w:hint="eastAsia" w:cs="Times New Roman"/>
          <w:color w:val="auto"/>
          <w:highlight w:val="none"/>
          <w:lang w:eastAsia="zh-CN"/>
        </w:rPr>
        <w:t>m²</w:t>
      </w:r>
      <w:r>
        <w:rPr>
          <w:rFonts w:hint="default" w:ascii="Times New Roman" w:hAnsi="Times New Roman" w:eastAsia="仿宋_GB2312" w:cs="Times New Roman"/>
          <w:color w:val="auto"/>
          <w:highlight w:val="none"/>
        </w:rPr>
        <w:t>，主要包括2座50</w:t>
      </w:r>
      <w:r>
        <w:rPr>
          <w:rFonts w:hint="eastAsia" w:cs="Times New Roman"/>
          <w:color w:val="auto"/>
          <w:highlight w:val="none"/>
          <w:lang w:eastAsia="zh-CN"/>
        </w:rPr>
        <w:t>m³</w:t>
      </w:r>
      <w:r>
        <w:rPr>
          <w:rFonts w:hint="default" w:ascii="Times New Roman" w:hAnsi="Times New Roman" w:eastAsia="仿宋_GB2312" w:cs="Times New Roman"/>
          <w:color w:val="auto"/>
          <w:highlight w:val="none"/>
        </w:rPr>
        <w:t>汽油罐，2座</w:t>
      </w:r>
      <w:r>
        <w:rPr>
          <w:rFonts w:hint="eastAsia" w:cs="Times New Roman"/>
          <w:color w:val="auto"/>
          <w:highlight w:val="none"/>
          <w:lang w:val="en-US" w:eastAsia="zh-CN"/>
        </w:rPr>
        <w:t>5</w:t>
      </w:r>
      <w:r>
        <w:rPr>
          <w:rFonts w:hint="default" w:ascii="Times New Roman" w:hAnsi="Times New Roman" w:eastAsia="仿宋_GB2312" w:cs="Times New Roman"/>
          <w:color w:val="auto"/>
          <w:highlight w:val="none"/>
        </w:rPr>
        <w:t>0</w:t>
      </w:r>
      <w:r>
        <w:rPr>
          <w:rFonts w:hint="eastAsia" w:cs="Times New Roman"/>
          <w:color w:val="auto"/>
          <w:highlight w:val="none"/>
          <w:lang w:eastAsia="zh-CN"/>
        </w:rPr>
        <w:t>m³</w:t>
      </w:r>
      <w:r>
        <w:rPr>
          <w:rFonts w:hint="default" w:ascii="Times New Roman" w:hAnsi="Times New Roman" w:eastAsia="仿宋_GB2312" w:cs="Times New Roman"/>
          <w:color w:val="auto"/>
          <w:highlight w:val="none"/>
        </w:rPr>
        <w:t>柴油罐，容积约</w:t>
      </w:r>
      <w:r>
        <w:rPr>
          <w:rFonts w:hint="eastAsia" w:cs="Times New Roman"/>
          <w:color w:val="auto"/>
          <w:highlight w:val="none"/>
          <w:lang w:val="en-US" w:eastAsia="zh-CN"/>
        </w:rPr>
        <w:t>300</w:t>
      </w:r>
      <w:r>
        <w:rPr>
          <w:rFonts w:hint="eastAsia" w:cs="Times New Roman"/>
          <w:color w:val="auto"/>
          <w:highlight w:val="none"/>
          <w:lang w:eastAsia="zh-CN"/>
        </w:rPr>
        <w:t>m³，同时还包括面积为</w:t>
      </w:r>
      <w:r>
        <w:rPr>
          <w:rFonts w:hint="eastAsia" w:cs="Times New Roman"/>
          <w:color w:val="auto"/>
          <w:highlight w:val="none"/>
          <w:lang w:val="en-US" w:eastAsia="zh-CN"/>
        </w:rPr>
        <w:t>48m²的卸油平台一处以及安保房一座</w:t>
      </w:r>
      <w:r>
        <w:rPr>
          <w:rFonts w:hint="default" w:ascii="Times New Roman" w:hAnsi="Times New Roman" w:eastAsia="仿宋_GB2312" w:cs="Times New Roman"/>
          <w:color w:val="auto"/>
          <w:highlight w:val="none"/>
        </w:rPr>
        <w:t>。油罐区为直埋架设，油罐安装完毕后，地表需硬化处理。直埋地油罐采用FF卧式承重双层油罐，内层罐体壁厚、外层壁厚大于4mm。</w:t>
      </w:r>
      <w:r>
        <w:rPr>
          <w:rFonts w:hint="eastAsia" w:cs="Times New Roman"/>
          <w:color w:val="auto"/>
          <w:highlight w:val="none"/>
          <w:lang w:eastAsia="zh-CN"/>
        </w:rPr>
        <w:t>油罐区埋深</w:t>
      </w:r>
      <w:r>
        <w:rPr>
          <w:rFonts w:hint="eastAsia" w:cs="Times New Roman"/>
          <w:color w:val="auto"/>
          <w:highlight w:val="none"/>
          <w:lang w:val="en-US" w:eastAsia="zh-CN"/>
        </w:rPr>
        <w:t>4.45m，</w:t>
      </w:r>
      <w:r>
        <w:rPr>
          <w:rFonts w:hint="default" w:ascii="Times New Roman" w:hAnsi="Times New Roman" w:eastAsia="仿宋_GB2312" w:cs="Times New Roman"/>
          <w:color w:val="auto"/>
          <w:highlight w:val="none"/>
        </w:rPr>
        <w:t>油罐采用直埋方式敷设，油罐周围需采用3-12mm破碎石进行回填并分层夯实，基坑采用碎石回填并分层夯实；基坑回填完工后，需采用细沙或素土回填至罐底设计标高，再进行油罐安装及通气管线、加油油气回收管线、卸油油气回收管线等配套设施建设。</w:t>
      </w:r>
    </w:p>
    <w:p>
      <w:pPr>
        <w:pStyle w:val="55"/>
        <w:numPr>
          <w:ilvl w:val="0"/>
          <w:numId w:val="0"/>
        </w:numPr>
        <w:ind w:firstLine="480" w:firstLineChars="200"/>
        <w:rPr>
          <w:rFonts w:hint="default" w:cs="Times New Roman"/>
          <w:color w:val="auto"/>
          <w:highlight w:val="none"/>
          <w:lang w:val="en-US" w:eastAsia="zh-CN"/>
        </w:rPr>
      </w:pPr>
      <w:r>
        <w:rPr>
          <w:rFonts w:hint="eastAsia" w:cs="Times New Roman"/>
          <w:color w:val="auto"/>
          <w:highlight w:val="none"/>
          <w:lang w:val="en-US" w:eastAsia="zh-CN"/>
        </w:rPr>
        <w:t>三.加油区</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加油区占地面积约</w:t>
      </w:r>
      <w:r>
        <w:rPr>
          <w:rFonts w:hint="eastAsia" w:cs="Times New Roman"/>
          <w:color w:val="auto"/>
          <w:highlight w:val="none"/>
          <w:lang w:val="en-US" w:eastAsia="zh-CN"/>
        </w:rPr>
        <w:t>243</w:t>
      </w:r>
      <w:r>
        <w:rPr>
          <w:rFonts w:hint="eastAsia" w:cs="Times New Roman"/>
          <w:color w:val="auto"/>
          <w:highlight w:val="none"/>
          <w:lang w:eastAsia="zh-CN"/>
        </w:rPr>
        <w:t>m²</w:t>
      </w:r>
      <w:r>
        <w:rPr>
          <w:rFonts w:hint="default" w:ascii="Times New Roman" w:hAnsi="Times New Roman" w:eastAsia="仿宋_GB2312" w:cs="Times New Roman"/>
          <w:color w:val="auto"/>
          <w:highlight w:val="none"/>
        </w:rPr>
        <w:t>，主要包括4台双枪潜泵式加油机。除加油机及罩棚支柱占地外，罩棚内占地均采用混凝土硬化。加油区新建罩棚面积约</w:t>
      </w:r>
      <w:r>
        <w:rPr>
          <w:rFonts w:hint="eastAsia" w:cs="Times New Roman"/>
          <w:color w:val="auto"/>
          <w:highlight w:val="none"/>
          <w:lang w:val="en-US" w:eastAsia="zh-CN"/>
        </w:rPr>
        <w:t>228</w:t>
      </w:r>
      <w:r>
        <w:rPr>
          <w:rFonts w:hint="eastAsia" w:cs="Times New Roman"/>
          <w:color w:val="auto"/>
          <w:highlight w:val="none"/>
          <w:lang w:eastAsia="zh-CN"/>
        </w:rPr>
        <w:t>m²</w:t>
      </w:r>
      <w:r>
        <w:rPr>
          <w:rFonts w:hint="default" w:ascii="Times New Roman" w:hAnsi="Times New Roman" w:eastAsia="仿宋_GB2312" w:cs="Times New Roman"/>
          <w:color w:val="auto"/>
          <w:highlight w:val="none"/>
        </w:rPr>
        <w:t>，结构类型：钢网架结构，净高</w:t>
      </w:r>
      <w:r>
        <w:rPr>
          <w:rFonts w:hint="eastAsia" w:cs="Times New Roman"/>
          <w:color w:val="auto"/>
          <w:highlight w:val="none"/>
          <w:lang w:val="en-US" w:eastAsia="zh-CN"/>
        </w:rPr>
        <w:t>7</w:t>
      </w:r>
      <w:r>
        <w:rPr>
          <w:rFonts w:hint="default" w:ascii="Times New Roman" w:hAnsi="Times New Roman" w:eastAsia="仿宋_GB2312" w:cs="Times New Roman"/>
          <w:color w:val="auto"/>
          <w:highlight w:val="none"/>
        </w:rPr>
        <w:t>.7m</w:t>
      </w:r>
      <w:r>
        <w:rPr>
          <w:rFonts w:hint="eastAsia" w:cs="Times New Roman"/>
          <w:color w:val="auto"/>
          <w:highlight w:val="none"/>
          <w:lang w:eastAsia="zh-CN"/>
        </w:rPr>
        <w:t>，挖深</w:t>
      </w:r>
      <w:r>
        <w:rPr>
          <w:rFonts w:hint="eastAsia" w:cs="Times New Roman"/>
          <w:color w:val="auto"/>
          <w:highlight w:val="none"/>
          <w:lang w:val="en-US" w:eastAsia="zh-CN"/>
        </w:rPr>
        <w:t>0.3m</w:t>
      </w:r>
      <w:r>
        <w:rPr>
          <w:rFonts w:hint="default" w:ascii="Times New Roman" w:hAnsi="Times New Roman" w:eastAsia="仿宋_GB2312" w:cs="Times New Roman"/>
          <w:color w:val="auto"/>
          <w:highlight w:val="none"/>
        </w:rPr>
        <w:t>。</w:t>
      </w:r>
    </w:p>
    <w:p>
      <w:pPr>
        <w:pStyle w:val="55"/>
        <w:numPr>
          <w:ilvl w:val="0"/>
          <w:numId w:val="0"/>
        </w:numPr>
        <w:ind w:firstLine="480" w:firstLineChars="200"/>
        <w:jc w:val="center"/>
        <w:rPr>
          <w:rFonts w:hint="default" w:ascii="Times New Roman" w:hAnsi="Times New Roman" w:eastAsia="仿宋_GB2312" w:cs="Times New Roman"/>
          <w:b/>
          <w:snapToGrid/>
          <w:color w:val="auto"/>
          <w:kern w:val="2"/>
          <w:sz w:val="21"/>
          <w:szCs w:val="21"/>
          <w:highlight w:val="none"/>
          <w:lang w:val="en-US" w:eastAsia="zh-CN" w:bidi="ar-SA"/>
        </w:rPr>
      </w:pPr>
      <w:r>
        <w:rPr>
          <w:rFonts w:hint="eastAsia" w:ascii="Times New Roman" w:hAnsi="Times New Roman" w:eastAsia="仿宋_GB2312" w:cs="Times New Roman"/>
          <w:color w:val="auto"/>
          <w:highlight w:val="none"/>
          <w:lang w:eastAsia="zh-CN"/>
        </w:rPr>
        <w:drawing>
          <wp:inline distT="0" distB="0" distL="114300" distR="114300">
            <wp:extent cx="5607685" cy="2839720"/>
            <wp:effectExtent l="0" t="0" r="12065" b="17780"/>
            <wp:docPr id="20" name="图片 20" descr="30d1af9bc8c5e673842b6e2abc94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0d1af9bc8c5e673842b6e2abc9430d"/>
                    <pic:cNvPicPr>
                      <a:picLocks noChangeAspect="1"/>
                    </pic:cNvPicPr>
                  </pic:nvPicPr>
                  <pic:blipFill>
                    <a:blip r:embed="rId38"/>
                    <a:stretch>
                      <a:fillRect/>
                    </a:stretch>
                  </pic:blipFill>
                  <pic:spPr>
                    <a:xfrm>
                      <a:off x="0" y="0"/>
                      <a:ext cx="5607685" cy="2839720"/>
                    </a:xfrm>
                    <a:prstGeom prst="rect">
                      <a:avLst/>
                    </a:prstGeom>
                  </pic:spPr>
                </pic:pic>
              </a:graphicData>
            </a:graphic>
          </wp:inline>
        </w:drawing>
      </w:r>
      <w:r>
        <w:rPr>
          <w:rFonts w:hint="eastAsia" w:ascii="Times New Roman" w:hAnsi="Times New Roman" w:eastAsia="仿宋_GB2312" w:cs="Times New Roman"/>
          <w:b/>
          <w:snapToGrid/>
          <w:color w:val="auto"/>
          <w:kern w:val="2"/>
          <w:sz w:val="21"/>
          <w:szCs w:val="21"/>
          <w:highlight w:val="none"/>
          <w:lang w:val="en-US" w:eastAsia="zh-CN" w:bidi="ar-SA"/>
        </w:rPr>
        <w:t>图</w:t>
      </w:r>
      <w:r>
        <w:rPr>
          <w:rFonts w:hint="eastAsia" w:ascii="Times New Roman" w:hAnsi="Times New Roman" w:cs="Times New Roman"/>
          <w:b/>
          <w:snapToGrid/>
          <w:color w:val="auto"/>
          <w:kern w:val="2"/>
          <w:sz w:val="21"/>
          <w:szCs w:val="21"/>
          <w:highlight w:val="none"/>
          <w:lang w:val="en-US" w:eastAsia="zh-CN" w:bidi="ar-SA"/>
        </w:rPr>
        <w:t>2.1.5罩棚立面图</w:t>
      </w:r>
    </w:p>
    <w:p>
      <w:pPr>
        <w:pStyle w:val="55"/>
        <w:numPr>
          <w:ilvl w:val="0"/>
          <w:numId w:val="6"/>
        </w:numPr>
        <w:ind w:firstLine="480" w:firstLineChars="200"/>
        <w:rPr>
          <w:rFonts w:hint="default" w:ascii="Times New Roman" w:hAnsi="Times New Roman" w:eastAsia="仿宋_GB2312" w:cs="Times New Roman"/>
          <w:color w:val="auto"/>
          <w:highlight w:val="none"/>
        </w:rPr>
      </w:pPr>
      <w:r>
        <w:rPr>
          <w:rFonts w:hint="eastAsia" w:cs="Times New Roman"/>
          <w:color w:val="auto"/>
          <w:highlight w:val="none"/>
          <w:lang w:eastAsia="zh-CN"/>
        </w:rPr>
        <w:t>绿化</w:t>
      </w:r>
      <w:r>
        <w:rPr>
          <w:rFonts w:hint="default" w:ascii="Times New Roman" w:hAnsi="Times New Roman" w:eastAsia="仿宋_GB2312" w:cs="Times New Roman"/>
          <w:color w:val="auto"/>
          <w:highlight w:val="none"/>
        </w:rPr>
        <w:t>区</w:t>
      </w:r>
    </w:p>
    <w:p>
      <w:pPr>
        <w:pStyle w:val="55"/>
        <w:numPr>
          <w:ilvl w:val="0"/>
          <w:numId w:val="0"/>
        </w:numPr>
        <w:ind w:firstLine="480" w:firstLineChars="200"/>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本</w:t>
      </w:r>
      <w:r>
        <w:rPr>
          <w:rFonts w:hint="default" w:ascii="Times New Roman" w:hAnsi="Times New Roman" w:cs="Times New Roman"/>
          <w:color w:val="auto"/>
          <w:highlight w:val="none"/>
        </w:rPr>
        <w:t>项目区除了建筑物、道路、硬化场地以外的其他空地实施植被绿化。</w:t>
      </w:r>
      <w:r>
        <w:rPr>
          <w:rFonts w:hint="eastAsia" w:ascii="Times New Roman" w:hAnsi="Times New Roman" w:cs="Times New Roman"/>
          <w:color w:val="auto"/>
          <w:highlight w:val="none"/>
          <w:lang w:eastAsia="zh-CN"/>
        </w:rPr>
        <w:t>本项目采取</w:t>
      </w:r>
      <w:r>
        <w:rPr>
          <w:rFonts w:hint="default" w:ascii="Times New Roman" w:hAnsi="Times New Roman" w:cs="Times New Roman"/>
          <w:color w:val="auto"/>
          <w:highlight w:val="none"/>
        </w:rPr>
        <w:t>撒播草籽的绿化方式。项目区绿化区域为项目区</w:t>
      </w:r>
      <w:r>
        <w:rPr>
          <w:rFonts w:hint="eastAsia" w:ascii="Times New Roman" w:hAnsi="Times New Roman" w:cs="Times New Roman"/>
          <w:color w:val="auto"/>
          <w:highlight w:val="none"/>
          <w:lang w:eastAsia="zh-CN"/>
        </w:rPr>
        <w:t>东</w:t>
      </w:r>
      <w:r>
        <w:rPr>
          <w:rFonts w:hint="default" w:ascii="Times New Roman" w:hAnsi="Times New Roman" w:cs="Times New Roman"/>
          <w:color w:val="auto"/>
          <w:highlight w:val="none"/>
        </w:rPr>
        <w:t>、南两侧，占地面积约</w:t>
      </w:r>
      <w:r>
        <w:rPr>
          <w:rFonts w:hint="eastAsia" w:ascii="Times New Roman" w:hAnsi="Times New Roman" w:cs="Times New Roman"/>
          <w:color w:val="auto"/>
          <w:highlight w:val="none"/>
          <w:lang w:val="en-US" w:eastAsia="zh-CN"/>
        </w:rPr>
        <w:t>1676.66</w:t>
      </w:r>
      <w:r>
        <w:rPr>
          <w:rFonts w:hint="default" w:ascii="Times New Roman" w:hAnsi="Times New Roman" w:cs="Times New Roman"/>
          <w:color w:val="auto"/>
          <w:highlight w:val="none"/>
        </w:rPr>
        <w:t>h</w:t>
      </w:r>
      <w:r>
        <w:rPr>
          <w:rFonts w:hint="eastAsia" w:ascii="Times New Roman" w:hAnsi="Times New Roman" w:cs="Times New Roman"/>
          <w:color w:val="auto"/>
          <w:highlight w:val="none"/>
          <w:lang w:eastAsia="zh-CN"/>
        </w:rPr>
        <w:t>m²</w:t>
      </w:r>
      <w:r>
        <w:rPr>
          <w:rFonts w:hint="default" w:ascii="Times New Roman" w:hAnsi="Times New Roman" w:cs="Times New Roman"/>
          <w:color w:val="auto"/>
          <w:highlight w:val="none"/>
        </w:rPr>
        <w:t>，绿化区域草种为芨芨草；项目绿化区域灌溉选用人工方式进行灌溉，水源来源</w:t>
      </w:r>
      <w:r>
        <w:rPr>
          <w:rFonts w:hint="eastAsia" w:ascii="Times New Roman" w:hAnsi="Times New Roman" w:cs="Times New Roman"/>
          <w:color w:val="auto"/>
          <w:highlight w:val="none"/>
          <w:lang w:eastAsia="zh-CN"/>
        </w:rPr>
        <w:t>于园区</w:t>
      </w:r>
      <w:r>
        <w:rPr>
          <w:rFonts w:hint="default" w:ascii="Times New Roman" w:hAnsi="Times New Roman" w:cs="Times New Roman"/>
          <w:color w:val="auto"/>
          <w:highlight w:val="none"/>
        </w:rPr>
        <w:t>管网用水</w:t>
      </w:r>
      <w:r>
        <w:rPr>
          <w:rFonts w:hint="eastAsia" w:ascii="Times New Roman" w:hAnsi="Times New Roman" w:cs="Times New Roman"/>
          <w:color w:val="auto"/>
          <w:highlight w:val="none"/>
          <w:lang w:eastAsia="zh-CN"/>
        </w:rPr>
        <w:t>以及</w:t>
      </w:r>
      <w:r>
        <w:rPr>
          <w:rFonts w:hint="default" w:ascii="Times New Roman" w:hAnsi="Times New Roman" w:eastAsia="仿宋_GB2312" w:cs="Times New Roman"/>
          <w:color w:val="auto"/>
          <w:highlight w:val="none"/>
        </w:rPr>
        <w:t>经防渗化粪池处理</w:t>
      </w:r>
      <w:r>
        <w:rPr>
          <w:rFonts w:hint="eastAsia" w:ascii="Times New Roman" w:hAnsi="Times New Roman" w:cs="Times New Roman"/>
          <w:color w:val="auto"/>
          <w:highlight w:val="none"/>
          <w:lang w:eastAsia="zh-CN"/>
        </w:rPr>
        <w:t>后的</w:t>
      </w:r>
      <w:r>
        <w:rPr>
          <w:rFonts w:hint="default" w:ascii="Times New Roman" w:hAnsi="Times New Roman" w:eastAsia="仿宋_GB2312" w:cs="Times New Roman"/>
          <w:color w:val="auto"/>
          <w:highlight w:val="none"/>
        </w:rPr>
        <w:t>生活污水</w:t>
      </w:r>
      <w:r>
        <w:rPr>
          <w:rFonts w:hint="default" w:ascii="Times New Roman" w:hAnsi="Times New Roman" w:cs="Times New Roman"/>
          <w:color w:val="auto"/>
          <w:highlight w:val="none"/>
        </w:rPr>
        <w:t>。</w:t>
      </w:r>
    </w:p>
    <w:p>
      <w:pPr>
        <w:pStyle w:val="73"/>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2.1.4.</w:t>
      </w:r>
      <w:r>
        <w:rPr>
          <w:rFonts w:hint="eastAsia" w:cs="Times New Roman"/>
          <w:color w:val="auto"/>
          <w:highlight w:val="none"/>
          <w:lang w:val="en-US" w:eastAsia="zh-CN"/>
        </w:rPr>
        <w:t>2</w:t>
      </w:r>
      <w:r>
        <w:rPr>
          <w:rFonts w:hint="default" w:ascii="Times New Roman" w:hAnsi="Times New Roman" w:eastAsia="仿宋_GB2312" w:cs="Times New Roman"/>
          <w:color w:val="auto"/>
          <w:highlight w:val="none"/>
        </w:rPr>
        <w:t xml:space="preserve"> </w:t>
      </w:r>
      <w:r>
        <w:rPr>
          <w:rFonts w:hint="eastAsia" w:cs="Times New Roman"/>
          <w:color w:val="auto"/>
          <w:highlight w:val="none"/>
          <w:lang w:eastAsia="zh-CN"/>
        </w:rPr>
        <w:t>管线工程区</w:t>
      </w:r>
    </w:p>
    <w:p>
      <w:pPr>
        <w:pStyle w:val="55"/>
        <w:numPr>
          <w:ilvl w:val="0"/>
          <w:numId w:val="0"/>
        </w:numPr>
        <w:ind w:firstLine="480" w:firstLineChars="200"/>
        <w:rPr>
          <w:rFonts w:hint="default" w:ascii="Times New Roman" w:hAnsi="Times New Roman" w:eastAsia="仿宋_GB2312" w:cs="Times New Roman"/>
          <w:color w:val="auto"/>
          <w:highlight w:val="none"/>
        </w:rPr>
      </w:pPr>
      <w:r>
        <w:rPr>
          <w:rFonts w:hint="eastAsia" w:cs="Times New Roman"/>
          <w:color w:val="auto"/>
          <w:highlight w:val="none"/>
          <w:lang w:eastAsia="zh-CN"/>
        </w:rPr>
        <w:t>包括管道电缆埋深，给水以及排水管道，占地面积为</w:t>
      </w:r>
      <w:r>
        <w:rPr>
          <w:rFonts w:hint="eastAsia" w:cs="Times New Roman"/>
          <w:color w:val="auto"/>
          <w:highlight w:val="none"/>
          <w:lang w:val="en-US" w:eastAsia="zh-CN"/>
        </w:rPr>
        <w:t>159</w:t>
      </w:r>
      <w:r>
        <w:rPr>
          <w:rFonts w:hint="eastAsia" w:cs="Times New Roman"/>
          <w:color w:val="auto"/>
          <w:highlight w:val="none"/>
          <w:lang w:eastAsia="zh-CN"/>
        </w:rPr>
        <w:t>m²，均为</w:t>
      </w:r>
      <w:r>
        <w:rPr>
          <w:rFonts w:hint="default" w:ascii="Times New Roman" w:hAnsi="Times New Roman" w:eastAsia="仿宋_GB2312" w:cs="Times New Roman"/>
          <w:color w:val="auto"/>
          <w:highlight w:val="none"/>
        </w:rPr>
        <w:t>重复占地。</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（1）管线布设</w:t>
      </w:r>
    </w:p>
    <w:p>
      <w:pPr>
        <w:pStyle w:val="5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站区水源为自来水，排水至站区南侧新建化粪池，定期清掏拉</w:t>
      </w:r>
      <w:r>
        <w:rPr>
          <w:rFonts w:hint="eastAsia" w:ascii="Times New Roman" w:hAnsi="Times New Roman" w:cs="Times New Roman"/>
          <w:color w:val="auto"/>
          <w:highlight w:val="none"/>
          <w:lang w:eastAsia="zh-CN"/>
        </w:rPr>
        <w:t>并进行</w:t>
      </w:r>
      <w:r>
        <w:rPr>
          <w:rFonts w:hint="default" w:ascii="Times New Roman" w:hAnsi="Times New Roman" w:cs="Times New Roman"/>
          <w:color w:val="auto"/>
          <w:highlight w:val="none"/>
        </w:rPr>
        <w:t>污水处理。</w:t>
      </w:r>
    </w:p>
    <w:p>
      <w:pPr>
        <w:pStyle w:val="5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站区给水接</w:t>
      </w:r>
      <w:r>
        <w:rPr>
          <w:rFonts w:hint="eastAsia" w:ascii="Times New Roman" w:hAnsi="Times New Roman" w:cs="Times New Roman"/>
          <w:color w:val="auto"/>
          <w:highlight w:val="none"/>
          <w:lang w:eastAsia="zh-CN"/>
        </w:rPr>
        <w:t>园区</w:t>
      </w:r>
      <w:r>
        <w:rPr>
          <w:rFonts w:hint="default" w:ascii="Times New Roman" w:hAnsi="Times New Roman" w:cs="Times New Roman"/>
          <w:color w:val="auto"/>
          <w:highlight w:val="none"/>
        </w:rPr>
        <w:t>给水管网，接至站房员工宿舍，管沟开挖尺寸：上口1.</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m、下口宽0.</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m，挖深1.</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m，施工作业带3m，长</w:t>
      </w:r>
      <w:r>
        <w:rPr>
          <w:rFonts w:hint="eastAsia" w:ascii="Times New Roman" w:hAnsi="Times New Roman" w:cs="Times New Roman"/>
          <w:color w:val="auto"/>
          <w:highlight w:val="none"/>
          <w:lang w:eastAsia="zh-CN"/>
        </w:rPr>
        <w:t>共</w:t>
      </w:r>
      <w:r>
        <w:rPr>
          <w:rFonts w:hint="eastAsia" w:ascii="Times New Roman" w:hAnsi="Times New Roman" w:cs="Times New Roman"/>
          <w:color w:val="auto"/>
          <w:highlight w:val="none"/>
          <w:lang w:val="en-US" w:eastAsia="zh-CN"/>
        </w:rPr>
        <w:t>90</w:t>
      </w:r>
      <w:r>
        <w:rPr>
          <w:rFonts w:hint="default" w:ascii="Times New Roman" w:hAnsi="Times New Roman" w:cs="Times New Roman"/>
          <w:color w:val="auto"/>
          <w:highlight w:val="none"/>
        </w:rPr>
        <w:t>m。</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本项目供电电源引自站外电力线，通过电缆埋地引入营业室配电室，电缆沟尺寸为0.</w:t>
      </w:r>
      <w:r>
        <w:rPr>
          <w:rFonts w:hint="eastAsia" w:cs="Times New Roman"/>
          <w:color w:val="auto"/>
          <w:highlight w:val="none"/>
          <w:lang w:val="en-US" w:eastAsia="zh-CN"/>
        </w:rPr>
        <w:t>6</w:t>
      </w:r>
      <w:r>
        <w:rPr>
          <w:rFonts w:hint="default" w:ascii="Times New Roman" w:hAnsi="Times New Roman" w:eastAsia="仿宋_GB2312" w:cs="Times New Roman"/>
          <w:color w:val="auto"/>
          <w:highlight w:val="none"/>
        </w:rPr>
        <w:t>m×0.6m，埋深1m，站区内合计布设电缆线</w:t>
      </w:r>
      <w:r>
        <w:rPr>
          <w:rFonts w:hint="eastAsia" w:cs="Times New Roman"/>
          <w:color w:val="auto"/>
          <w:highlight w:val="none"/>
          <w:lang w:val="en-US" w:eastAsia="zh-CN"/>
        </w:rPr>
        <w:t>37</w:t>
      </w:r>
      <w:r>
        <w:rPr>
          <w:rFonts w:hint="default" w:ascii="Times New Roman" w:hAnsi="Times New Roman" w:eastAsia="仿宋_GB2312" w:cs="Times New Roman"/>
          <w:color w:val="auto"/>
          <w:highlight w:val="none"/>
        </w:rPr>
        <w:t>m。电缆铺设完毕后，采用细沙</w:t>
      </w:r>
      <w:r>
        <w:rPr>
          <w:rFonts w:hint="eastAsia" w:cs="Times New Roman"/>
          <w:color w:val="auto"/>
          <w:highlight w:val="none"/>
          <w:lang w:eastAsia="zh-CN"/>
        </w:rPr>
        <w:t>等</w:t>
      </w:r>
      <w:r>
        <w:rPr>
          <w:rFonts w:hint="default" w:ascii="Times New Roman" w:hAnsi="Times New Roman" w:eastAsia="仿宋_GB2312" w:cs="Times New Roman"/>
          <w:color w:val="auto"/>
          <w:highlight w:val="none"/>
        </w:rPr>
        <w:t>填实。电缆布设均建筑物、油罐、加油区四周布设，并连接警务室，且布置在硬化区域下，主体考虑本项目电缆线线均在站区内布设，因此施工作业带较小，采用小机械施工。</w:t>
      </w:r>
    </w:p>
    <w:p>
      <w:pPr>
        <w:pStyle w:val="76"/>
        <w:rPr>
          <w:rFonts w:hint="default" w:ascii="Times New Roman" w:hAnsi="Times New Roman" w:cs="Times New Roman"/>
          <w:color w:val="auto"/>
          <w:highlight w:val="none"/>
        </w:rPr>
      </w:pPr>
      <w:r>
        <w:rPr>
          <w:rFonts w:hint="default" w:ascii="Times New Roman" w:hAnsi="Times New Roman" w:cs="Times New Roman"/>
          <w:color w:val="auto"/>
          <w:highlight w:val="none"/>
        </w:rPr>
        <w:t>表2.1-</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管线工程尺寸统计表</w:t>
      </w:r>
    </w:p>
    <w:tbl>
      <w:tblPr>
        <w:tblStyle w:val="25"/>
        <w:tblW w:w="9240" w:type="dxa"/>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5" w:type="dxa"/>
          <w:bottom w:w="15" w:type="dxa"/>
          <w:right w:w="15" w:type="dxa"/>
        </w:tblCellMar>
      </w:tblPr>
      <w:tblGrid>
        <w:gridCol w:w="729"/>
        <w:gridCol w:w="1579"/>
        <w:gridCol w:w="1391"/>
        <w:gridCol w:w="1381"/>
        <w:gridCol w:w="920"/>
        <w:gridCol w:w="1080"/>
        <w:gridCol w:w="1080"/>
        <w:gridCol w:w="108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69" w:hRule="exact"/>
        </w:trPr>
        <w:tc>
          <w:tcPr>
            <w:tcW w:w="729" w:type="dxa"/>
            <w:vMerge w:val="restar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bidi="ar"/>
              </w:rPr>
              <w:t>管线工程</w:t>
            </w:r>
          </w:p>
        </w:tc>
        <w:tc>
          <w:tcPr>
            <w:tcW w:w="1579" w:type="dxa"/>
            <w:vMerge w:val="restar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bidi="ar"/>
              </w:rPr>
              <w:t>名称</w:t>
            </w:r>
          </w:p>
        </w:tc>
        <w:tc>
          <w:tcPr>
            <w:tcW w:w="1391" w:type="dxa"/>
            <w:vMerge w:val="restar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bidi="ar"/>
              </w:rPr>
              <w:t>管径</w:t>
            </w:r>
          </w:p>
        </w:tc>
        <w:tc>
          <w:tcPr>
            <w:tcW w:w="1381" w:type="dxa"/>
            <w:vMerge w:val="restar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bidi="ar"/>
              </w:rPr>
              <w:t>长（m）</w:t>
            </w:r>
          </w:p>
        </w:tc>
        <w:tc>
          <w:tcPr>
            <w:tcW w:w="3080" w:type="dxa"/>
            <w:gridSpan w:val="3"/>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bidi="ar"/>
              </w:rPr>
              <w:t>开挖断面</w:t>
            </w:r>
          </w:p>
        </w:tc>
        <w:tc>
          <w:tcPr>
            <w:tcW w:w="1080" w:type="dxa"/>
            <w:vMerge w:val="restar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bidi="ar"/>
              </w:rPr>
              <w:t>占地面积（m²）</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69" w:hRule="exact"/>
        </w:trPr>
        <w:tc>
          <w:tcPr>
            <w:tcW w:w="729" w:type="dxa"/>
            <w:vMerge w:val="continue"/>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1579" w:type="dxa"/>
            <w:vMerge w:val="continue"/>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1391" w:type="dxa"/>
            <w:vMerge w:val="continue"/>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1381" w:type="dxa"/>
            <w:vMerge w:val="continue"/>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92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bidi="ar"/>
              </w:rPr>
              <w:t>上口（m）</w:t>
            </w:r>
          </w:p>
        </w:tc>
        <w:tc>
          <w:tcPr>
            <w:tcW w:w="108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bidi="ar"/>
              </w:rPr>
              <w:t>下口（m）</w:t>
            </w:r>
          </w:p>
        </w:tc>
        <w:tc>
          <w:tcPr>
            <w:tcW w:w="108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bidi="ar"/>
              </w:rPr>
              <w:t>埋深（m）</w:t>
            </w:r>
          </w:p>
        </w:tc>
        <w:tc>
          <w:tcPr>
            <w:tcW w:w="1080" w:type="dxa"/>
            <w:vMerge w:val="continue"/>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52" w:hRule="exact"/>
        </w:trPr>
        <w:tc>
          <w:tcPr>
            <w:tcW w:w="729" w:type="dxa"/>
            <w:vMerge w:val="continue"/>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1579"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bidi="ar"/>
              </w:rPr>
              <w:t>给水管道</w:t>
            </w:r>
          </w:p>
        </w:tc>
        <w:tc>
          <w:tcPr>
            <w:tcW w:w="1391"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bidi="ar"/>
              </w:rPr>
              <w:t>DN50</w:t>
            </w:r>
          </w:p>
        </w:tc>
        <w:tc>
          <w:tcPr>
            <w:tcW w:w="1381"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bidi="ar"/>
              </w:rPr>
              <w:t>57</w:t>
            </w:r>
          </w:p>
        </w:tc>
        <w:tc>
          <w:tcPr>
            <w:tcW w:w="92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bidi="ar"/>
              </w:rPr>
              <w:t>1.5</w:t>
            </w:r>
          </w:p>
        </w:tc>
        <w:tc>
          <w:tcPr>
            <w:tcW w:w="108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bidi="ar"/>
              </w:rPr>
              <w:t>0.5</w:t>
            </w:r>
          </w:p>
        </w:tc>
        <w:tc>
          <w:tcPr>
            <w:tcW w:w="108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1.2</w:t>
            </w:r>
          </w:p>
        </w:tc>
        <w:tc>
          <w:tcPr>
            <w:tcW w:w="108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86.64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75" w:hRule="exact"/>
        </w:trPr>
        <w:tc>
          <w:tcPr>
            <w:tcW w:w="729" w:type="dxa"/>
            <w:vMerge w:val="continue"/>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1579"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bidi="ar"/>
              </w:rPr>
              <w:t>排水管道</w:t>
            </w:r>
          </w:p>
        </w:tc>
        <w:tc>
          <w:tcPr>
            <w:tcW w:w="1391"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bidi="ar"/>
              </w:rPr>
              <w:t>DN200</w:t>
            </w:r>
          </w:p>
        </w:tc>
        <w:tc>
          <w:tcPr>
            <w:tcW w:w="1381"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bidi="ar"/>
              </w:rPr>
              <w:t>33</w:t>
            </w:r>
          </w:p>
        </w:tc>
        <w:tc>
          <w:tcPr>
            <w:tcW w:w="92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kern w:val="0"/>
                <w:sz w:val="21"/>
                <w:szCs w:val="21"/>
                <w:highlight w:val="none"/>
                <w:lang w:val="en-US" w:eastAsia="zh-CN" w:bidi="ar"/>
              </w:rPr>
              <w:t>1.5</w:t>
            </w:r>
          </w:p>
        </w:tc>
        <w:tc>
          <w:tcPr>
            <w:tcW w:w="108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kern w:val="0"/>
                <w:sz w:val="21"/>
                <w:szCs w:val="21"/>
                <w:highlight w:val="none"/>
                <w:lang w:val="en-US" w:eastAsia="zh-CN" w:bidi="ar"/>
              </w:rPr>
              <w:t>0.5</w:t>
            </w:r>
          </w:p>
        </w:tc>
        <w:tc>
          <w:tcPr>
            <w:tcW w:w="108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eastAsia" w:ascii="Times New Roman" w:hAnsi="Times New Roman" w:eastAsia="仿宋_GB2312" w:cs="Times New Roman"/>
                <w:color w:val="auto"/>
                <w:sz w:val="21"/>
                <w:szCs w:val="21"/>
                <w:highlight w:val="none"/>
                <w:lang w:val="en-US" w:eastAsia="zh-CN"/>
              </w:rPr>
              <w:t>1.2</w:t>
            </w:r>
          </w:p>
        </w:tc>
        <w:tc>
          <w:tcPr>
            <w:tcW w:w="108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50.16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69" w:hRule="exact"/>
        </w:trPr>
        <w:tc>
          <w:tcPr>
            <w:tcW w:w="729" w:type="dxa"/>
            <w:vMerge w:val="continue"/>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1579"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bidi="ar"/>
              </w:rPr>
              <w:t>电缆埋深</w:t>
            </w:r>
          </w:p>
        </w:tc>
        <w:tc>
          <w:tcPr>
            <w:tcW w:w="1391"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w:t>
            </w:r>
          </w:p>
        </w:tc>
        <w:tc>
          <w:tcPr>
            <w:tcW w:w="1381" w:type="dxa"/>
            <w:tcBorders>
              <w:tl2br w:val="nil"/>
              <w:tr2bl w:val="nil"/>
            </w:tcBorders>
            <w:shd w:val="clear" w:color="auto" w:fill="auto"/>
            <w:vAlign w:val="center"/>
          </w:tcPr>
          <w:p>
            <w:pPr>
              <w:widowControl/>
              <w:spacing w:line="240" w:lineRule="auto"/>
              <w:ind w:firstLine="0" w:firstLineChars="0"/>
              <w:jc w:val="center"/>
              <w:textAlignment w:val="center"/>
              <w:rPr>
                <w:rFonts w:hint="eastAsia"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kern w:val="0"/>
                <w:sz w:val="21"/>
                <w:szCs w:val="21"/>
                <w:highlight w:val="none"/>
                <w:lang w:bidi="ar"/>
              </w:rPr>
              <w:t>3</w:t>
            </w:r>
            <w:r>
              <w:rPr>
                <w:rFonts w:hint="eastAsia" w:ascii="Times New Roman" w:hAnsi="Times New Roman" w:eastAsia="仿宋_GB2312" w:cs="Times New Roman"/>
                <w:color w:val="auto"/>
                <w:kern w:val="0"/>
                <w:sz w:val="21"/>
                <w:szCs w:val="21"/>
                <w:highlight w:val="none"/>
                <w:lang w:val="en-US" w:eastAsia="zh-CN" w:bidi="ar"/>
              </w:rPr>
              <w:t>7</w:t>
            </w:r>
          </w:p>
        </w:tc>
        <w:tc>
          <w:tcPr>
            <w:tcW w:w="920" w:type="dxa"/>
            <w:tcBorders>
              <w:tl2br w:val="nil"/>
              <w:tr2bl w:val="nil"/>
            </w:tcBorders>
            <w:shd w:val="clear" w:color="auto" w:fill="auto"/>
            <w:vAlign w:val="center"/>
          </w:tcPr>
          <w:p>
            <w:pPr>
              <w:widowControl/>
              <w:spacing w:line="240" w:lineRule="auto"/>
              <w:ind w:firstLine="0" w:firstLineChars="0"/>
              <w:jc w:val="center"/>
              <w:textAlignment w:val="center"/>
              <w:rPr>
                <w:rFonts w:hint="eastAsia"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kern w:val="0"/>
                <w:sz w:val="21"/>
                <w:szCs w:val="21"/>
                <w:highlight w:val="none"/>
                <w:lang w:bidi="ar"/>
              </w:rPr>
              <w:t>0.</w:t>
            </w:r>
            <w:r>
              <w:rPr>
                <w:rFonts w:hint="eastAsia" w:ascii="Times New Roman" w:hAnsi="Times New Roman" w:eastAsia="仿宋_GB2312" w:cs="Times New Roman"/>
                <w:color w:val="auto"/>
                <w:kern w:val="0"/>
                <w:sz w:val="21"/>
                <w:szCs w:val="21"/>
                <w:highlight w:val="none"/>
                <w:lang w:val="en-US" w:eastAsia="zh-CN" w:bidi="ar"/>
              </w:rPr>
              <w:t>6</w:t>
            </w:r>
          </w:p>
        </w:tc>
        <w:tc>
          <w:tcPr>
            <w:tcW w:w="108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bidi="ar"/>
              </w:rPr>
              <w:t>0.6</w:t>
            </w:r>
          </w:p>
        </w:tc>
        <w:tc>
          <w:tcPr>
            <w:tcW w:w="108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bidi="ar"/>
              </w:rPr>
              <w:t>1.0</w:t>
            </w:r>
          </w:p>
        </w:tc>
        <w:tc>
          <w:tcPr>
            <w:tcW w:w="108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22.2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69" w:hRule="exact"/>
        </w:trPr>
        <w:tc>
          <w:tcPr>
            <w:tcW w:w="2308" w:type="dxa"/>
            <w:gridSpan w:val="2"/>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lang w:bidi="ar"/>
              </w:rPr>
              <w:t>合计</w:t>
            </w:r>
          </w:p>
        </w:tc>
        <w:tc>
          <w:tcPr>
            <w:tcW w:w="1391"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1381"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127</w:t>
            </w:r>
          </w:p>
        </w:tc>
        <w:tc>
          <w:tcPr>
            <w:tcW w:w="920"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1080"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1080"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108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p>
        </w:tc>
      </w:tr>
    </w:tbl>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（2）基础及管道设计</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管道基础采用120°砂弧基，砂弧基础材料采用中、粗砂或级配碎石铺设，最大粒径不得大于25mm。管道回填土要求槽底至管顶以上500mm范围内，土中不得含有机物、冻土以及大于50mm的砖、石等硬块；在抹带接口处、防腐绝缘层或电缆周围，应采用细粒土回填，并符合规范要求规定。管道两侧和管顶以上500mm范围内的回填材料，应由机械由沟槽运入槽内，不得直接回填在管道上；回填其他部位时，应均匀运入槽内，不得集中推入。管线沟槽开挖采取放坡开挖，边坡比为1:0.3左右，开挖断面为底宽0.60m，顶宽0.</w:t>
      </w:r>
      <w:r>
        <w:rPr>
          <w:rFonts w:hint="eastAsia" w:cs="Times New Roman"/>
          <w:color w:val="auto"/>
          <w:highlight w:val="none"/>
          <w:lang w:val="en-US" w:eastAsia="zh-CN"/>
        </w:rPr>
        <w:t>9</w:t>
      </w:r>
      <w:r>
        <w:rPr>
          <w:rFonts w:hint="default" w:ascii="Times New Roman" w:hAnsi="Times New Roman" w:eastAsia="仿宋_GB2312" w:cs="Times New Roman"/>
          <w:color w:val="auto"/>
          <w:highlight w:val="none"/>
        </w:rPr>
        <w:t>m，埋深平均</w:t>
      </w:r>
      <w:r>
        <w:rPr>
          <w:rFonts w:hint="eastAsia" w:ascii="Times New Roman" w:hAnsi="Times New Roman" w:cs="Times New Roman"/>
          <w:color w:val="auto"/>
          <w:highlight w:val="none"/>
          <w:lang w:val="en-US" w:eastAsia="zh-CN"/>
        </w:rPr>
        <w:t>1.2</w:t>
      </w:r>
      <w:r>
        <w:rPr>
          <w:rFonts w:hint="default" w:ascii="Times New Roman" w:hAnsi="Times New Roman" w:eastAsia="仿宋_GB2312" w:cs="Times New Roman"/>
          <w:color w:val="auto"/>
          <w:highlight w:val="none"/>
        </w:rPr>
        <w:t>m。</w:t>
      </w:r>
    </w:p>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2.1.4.</w:t>
      </w:r>
      <w:r>
        <w:rPr>
          <w:rFonts w:hint="eastAsia" w:cs="Times New Roman"/>
          <w:color w:val="auto"/>
          <w:highlight w:val="none"/>
          <w:lang w:val="en-US" w:eastAsia="zh-CN"/>
        </w:rPr>
        <w:t xml:space="preserve">3 </w:t>
      </w:r>
      <w:r>
        <w:rPr>
          <w:rFonts w:hint="eastAsia" w:cs="Times New Roman"/>
          <w:color w:val="auto"/>
          <w:highlight w:val="none"/>
          <w:lang w:eastAsia="zh-CN"/>
        </w:rPr>
        <w:t>道路及</w:t>
      </w:r>
      <w:r>
        <w:rPr>
          <w:rFonts w:hint="default" w:ascii="Times New Roman" w:hAnsi="Times New Roman" w:eastAsia="仿宋_GB2312" w:cs="Times New Roman"/>
          <w:color w:val="auto"/>
          <w:highlight w:val="none"/>
        </w:rPr>
        <w:t>硬化区</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站区内除建筑物区、绿化区外，其他场地均实施混凝土硬化处理</w:t>
      </w:r>
      <w:r>
        <w:rPr>
          <w:rFonts w:hint="eastAsia" w:cs="Times New Roman"/>
          <w:color w:val="auto"/>
          <w:highlight w:val="none"/>
          <w:lang w:eastAsia="zh-CN"/>
        </w:rPr>
        <w:t>。车行混凝土铺砌地面时底层素土夯实，压实度不小于</w:t>
      </w:r>
      <w:r>
        <w:rPr>
          <w:rFonts w:hint="eastAsia" w:cs="Times New Roman"/>
          <w:color w:val="auto"/>
          <w:highlight w:val="none"/>
          <w:lang w:val="en-US" w:eastAsia="zh-CN"/>
        </w:rPr>
        <w:t>95%，再铺埋40cm的戈壁料垫层，压实度不小于95%，最后用C30水泥混凝土封层，厚度为25cm；混凝土用料均来源于商品料场，责任归料场承担，该硬化区面积为1458m²</w:t>
      </w:r>
      <w:r>
        <w:rPr>
          <w:rFonts w:hint="default" w:ascii="Times New Roman" w:hAnsi="Times New Roman" w:eastAsia="仿宋_GB2312" w:cs="Times New Roman"/>
          <w:color w:val="auto"/>
          <w:highlight w:val="none"/>
        </w:rPr>
        <w:t>。</w:t>
      </w:r>
    </w:p>
    <w:p>
      <w:pPr>
        <w:pStyle w:val="55"/>
        <w:ind w:firstLine="480"/>
        <w:rPr>
          <w:rFonts w:hint="default" w:ascii="Times New Roman" w:hAnsi="Times New Roman" w:eastAsia="仿宋_GB2312" w:cs="Times New Roman"/>
          <w:color w:val="auto"/>
          <w:highlight w:val="none"/>
        </w:rPr>
      </w:pPr>
      <w:r>
        <w:rPr>
          <w:rFonts w:hint="eastAsia" w:cs="Times New Roman"/>
          <w:color w:val="auto"/>
          <w:highlight w:val="none"/>
          <w:lang w:eastAsia="zh-CN"/>
        </w:rPr>
        <w:t>同时</w:t>
      </w:r>
      <w:r>
        <w:rPr>
          <w:rFonts w:hint="default" w:ascii="Times New Roman" w:hAnsi="Times New Roman" w:eastAsia="仿宋_GB2312" w:cs="Times New Roman"/>
          <w:b w:val="0"/>
          <w:bCs w:val="0"/>
          <w:snapToGrid w:val="0"/>
          <w:color w:val="auto"/>
          <w:kern w:val="24"/>
          <w:szCs w:val="24"/>
          <w:highlight w:val="none"/>
        </w:rPr>
        <w:t>主体工程中设计的站区进出口道路可作为施工临时道路，连接</w:t>
      </w:r>
      <w:r>
        <w:rPr>
          <w:rFonts w:hint="eastAsia" w:cs="Times New Roman"/>
          <w:b w:val="0"/>
          <w:bCs w:val="0"/>
          <w:snapToGrid w:val="0"/>
          <w:color w:val="auto"/>
          <w:kern w:val="24"/>
          <w:szCs w:val="24"/>
          <w:highlight w:val="none"/>
          <w:lang w:eastAsia="zh-CN"/>
        </w:rPr>
        <w:t>和平北路</w:t>
      </w:r>
      <w:r>
        <w:rPr>
          <w:rFonts w:hint="default" w:ascii="Times New Roman" w:hAnsi="Times New Roman" w:eastAsia="仿宋_GB2312" w:cs="Times New Roman"/>
          <w:b w:val="0"/>
          <w:bCs w:val="0"/>
          <w:snapToGrid w:val="0"/>
          <w:color w:val="auto"/>
          <w:kern w:val="24"/>
          <w:szCs w:val="24"/>
          <w:highlight w:val="none"/>
        </w:rPr>
        <w:t>与站区，进出口共两条道路，</w:t>
      </w:r>
      <w:r>
        <w:rPr>
          <w:rFonts w:hint="eastAsia" w:cs="Times New Roman"/>
          <w:b w:val="0"/>
          <w:bCs w:val="0"/>
          <w:snapToGrid w:val="0"/>
          <w:color w:val="auto"/>
          <w:kern w:val="24"/>
          <w:szCs w:val="24"/>
          <w:highlight w:val="none"/>
          <w:lang w:eastAsia="zh-CN"/>
        </w:rPr>
        <w:t>共</w:t>
      </w:r>
      <w:r>
        <w:rPr>
          <w:rFonts w:hint="default" w:ascii="Times New Roman" w:hAnsi="Times New Roman" w:eastAsia="仿宋_GB2312" w:cs="Times New Roman"/>
          <w:b w:val="0"/>
          <w:bCs w:val="0"/>
          <w:snapToGrid w:val="0"/>
          <w:color w:val="auto"/>
          <w:kern w:val="24"/>
          <w:szCs w:val="24"/>
          <w:highlight w:val="none"/>
        </w:rPr>
        <w:t>长</w:t>
      </w:r>
      <w:r>
        <w:rPr>
          <w:rFonts w:hint="eastAsia" w:cs="Times New Roman"/>
          <w:b w:val="0"/>
          <w:bCs w:val="0"/>
          <w:snapToGrid w:val="0"/>
          <w:color w:val="auto"/>
          <w:kern w:val="24"/>
          <w:szCs w:val="24"/>
          <w:highlight w:val="none"/>
          <w:lang w:val="en-US" w:eastAsia="zh-CN"/>
        </w:rPr>
        <w:t>60</w:t>
      </w:r>
      <w:r>
        <w:rPr>
          <w:rFonts w:hint="default" w:ascii="Times New Roman" w:hAnsi="Times New Roman" w:eastAsia="仿宋_GB2312" w:cs="Times New Roman"/>
          <w:b w:val="0"/>
          <w:bCs w:val="0"/>
          <w:snapToGrid w:val="0"/>
          <w:color w:val="auto"/>
          <w:kern w:val="24"/>
          <w:szCs w:val="24"/>
          <w:highlight w:val="none"/>
        </w:rPr>
        <w:t>m，宽</w:t>
      </w:r>
      <w:r>
        <w:rPr>
          <w:rFonts w:hint="eastAsia" w:cs="Times New Roman"/>
          <w:b w:val="0"/>
          <w:bCs w:val="0"/>
          <w:snapToGrid w:val="0"/>
          <w:color w:val="auto"/>
          <w:kern w:val="24"/>
          <w:szCs w:val="24"/>
          <w:highlight w:val="none"/>
          <w:lang w:val="en-US" w:eastAsia="zh-CN"/>
        </w:rPr>
        <w:t>8</w:t>
      </w:r>
      <w:r>
        <w:rPr>
          <w:rFonts w:hint="default" w:ascii="Times New Roman" w:hAnsi="Times New Roman" w:eastAsia="仿宋_GB2312" w:cs="Times New Roman"/>
          <w:b w:val="0"/>
          <w:bCs w:val="0"/>
          <w:snapToGrid w:val="0"/>
          <w:color w:val="auto"/>
          <w:kern w:val="24"/>
          <w:szCs w:val="24"/>
          <w:highlight w:val="none"/>
        </w:rPr>
        <w:t>m</w:t>
      </w:r>
      <w:r>
        <w:rPr>
          <w:rFonts w:hint="eastAsia" w:cs="Times New Roman"/>
          <w:b w:val="0"/>
          <w:bCs w:val="0"/>
          <w:snapToGrid w:val="0"/>
          <w:color w:val="auto"/>
          <w:kern w:val="24"/>
          <w:szCs w:val="24"/>
          <w:highlight w:val="none"/>
          <w:lang w:eastAsia="zh-CN"/>
        </w:rPr>
        <w:t>，面积为</w:t>
      </w:r>
      <w:r>
        <w:rPr>
          <w:rFonts w:hint="eastAsia" w:cs="Times New Roman"/>
          <w:b w:val="0"/>
          <w:bCs w:val="0"/>
          <w:snapToGrid w:val="0"/>
          <w:color w:val="auto"/>
          <w:kern w:val="24"/>
          <w:szCs w:val="24"/>
          <w:highlight w:val="none"/>
          <w:lang w:val="en-US" w:eastAsia="zh-CN"/>
        </w:rPr>
        <w:t>480m²</w:t>
      </w:r>
      <w:r>
        <w:rPr>
          <w:rFonts w:hint="default" w:ascii="Times New Roman" w:hAnsi="Times New Roman" w:eastAsia="仿宋_GB2312" w:cs="Times New Roman"/>
          <w:b w:val="0"/>
          <w:bCs w:val="0"/>
          <w:snapToGrid w:val="0"/>
          <w:color w:val="auto"/>
          <w:kern w:val="24"/>
          <w:szCs w:val="24"/>
          <w:highlight w:val="none"/>
        </w:rPr>
        <w:t>。</w:t>
      </w:r>
    </w:p>
    <w:p>
      <w:pPr>
        <w:pStyle w:val="66"/>
        <w:ind w:firstLine="148"/>
        <w:rPr>
          <w:rFonts w:hint="default" w:ascii="Times New Roman" w:hAnsi="Times New Roman" w:eastAsia="仿宋_GB2312" w:cs="Times New Roman"/>
          <w:color w:val="auto"/>
          <w:highlight w:val="none"/>
        </w:rPr>
      </w:pPr>
      <w:bookmarkStart w:id="75" w:name="_Toc12667"/>
      <w:r>
        <w:rPr>
          <w:rFonts w:hint="default" w:ascii="Times New Roman" w:hAnsi="Times New Roman" w:eastAsia="仿宋_GB2312" w:cs="Times New Roman"/>
          <w:color w:val="auto"/>
          <w:highlight w:val="none"/>
        </w:rPr>
        <w:t>2.2 施工组织</w:t>
      </w:r>
      <w:bookmarkEnd w:id="75"/>
    </w:p>
    <w:p>
      <w:pPr>
        <w:pStyle w:val="69"/>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 xml:space="preserve">2.2.1 </w:t>
      </w:r>
      <w:r>
        <w:rPr>
          <w:rFonts w:hint="eastAsia" w:cs="Times New Roman"/>
          <w:color w:val="auto"/>
          <w:highlight w:val="none"/>
          <w:lang w:eastAsia="zh-CN"/>
        </w:rPr>
        <w:t>施工生产生活区</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根据沿线筑路材料与构造物的分布、地形、地物情况，结合考虑环境保护要求、施工组织等因素，本项目位于</w:t>
      </w:r>
      <w:r>
        <w:rPr>
          <w:rFonts w:hint="eastAsia" w:cs="Times New Roman"/>
          <w:color w:val="auto"/>
          <w:highlight w:val="none"/>
          <w:lang w:eastAsia="zh-CN"/>
        </w:rPr>
        <w:t>策勒县</w:t>
      </w:r>
      <w:r>
        <w:rPr>
          <w:rFonts w:hint="default" w:ascii="Times New Roman" w:hAnsi="Times New Roman" w:eastAsia="仿宋_GB2312" w:cs="Times New Roman"/>
          <w:color w:val="auto"/>
          <w:highlight w:val="none"/>
        </w:rPr>
        <w:t>，主体考虑在施工人员租住周边民房的情况下，在项目区共布设1处</w:t>
      </w:r>
      <w:r>
        <w:rPr>
          <w:rFonts w:hint="eastAsia" w:cs="Times New Roman"/>
          <w:color w:val="auto"/>
          <w:highlight w:val="none"/>
          <w:lang w:eastAsia="zh-CN"/>
        </w:rPr>
        <w:t>施工生产生活区</w:t>
      </w:r>
      <w:r>
        <w:rPr>
          <w:rFonts w:hint="default" w:ascii="Times New Roman" w:hAnsi="Times New Roman" w:eastAsia="仿宋_GB2312" w:cs="Times New Roman"/>
          <w:color w:val="auto"/>
          <w:highlight w:val="none"/>
        </w:rPr>
        <w:t>，布设在项目区东侧靠近围墙处。</w:t>
      </w:r>
      <w:r>
        <w:rPr>
          <w:rFonts w:hint="eastAsia" w:cs="Times New Roman"/>
          <w:color w:val="auto"/>
          <w:highlight w:val="none"/>
          <w:lang w:eastAsia="zh-CN"/>
        </w:rPr>
        <w:t>施工生产生活区</w:t>
      </w:r>
      <w:r>
        <w:rPr>
          <w:rFonts w:hint="default" w:ascii="Times New Roman" w:hAnsi="Times New Roman" w:eastAsia="仿宋_GB2312" w:cs="Times New Roman"/>
          <w:color w:val="auto"/>
          <w:highlight w:val="none"/>
        </w:rPr>
        <w:t>占地共计150m²，作为施工期间材料堆放场地等。</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2.2.2 施工道路</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本项目位于</w:t>
      </w:r>
      <w:r>
        <w:rPr>
          <w:rFonts w:hint="eastAsia" w:cs="Times New Roman"/>
          <w:color w:val="auto"/>
          <w:highlight w:val="none"/>
          <w:lang w:eastAsia="zh-CN"/>
        </w:rPr>
        <w:t>策勒县天津工业园区内</w:t>
      </w:r>
      <w:r>
        <w:rPr>
          <w:rFonts w:hint="default" w:ascii="Times New Roman" w:hAnsi="Times New Roman" w:eastAsia="仿宋_GB2312" w:cs="Times New Roman"/>
          <w:color w:val="auto"/>
          <w:highlight w:val="none"/>
        </w:rPr>
        <w:t>，临近</w:t>
      </w:r>
      <w:r>
        <w:rPr>
          <w:rFonts w:hint="eastAsia" w:cs="Times New Roman"/>
          <w:color w:val="auto"/>
          <w:highlight w:val="none"/>
          <w:lang w:eastAsia="zh-CN"/>
        </w:rPr>
        <w:t>园区</w:t>
      </w:r>
      <w:r>
        <w:rPr>
          <w:rFonts w:hint="default" w:ascii="Times New Roman" w:hAnsi="Times New Roman" w:eastAsia="仿宋_GB2312" w:cs="Times New Roman"/>
          <w:color w:val="auto"/>
          <w:highlight w:val="none"/>
        </w:rPr>
        <w:t>道路布设，因此施工期间车辆运输可直接利用</w:t>
      </w:r>
      <w:r>
        <w:rPr>
          <w:rFonts w:hint="eastAsia" w:cs="Times New Roman"/>
          <w:color w:val="auto"/>
          <w:highlight w:val="none"/>
          <w:lang w:eastAsia="zh-CN"/>
        </w:rPr>
        <w:t>其</w:t>
      </w:r>
      <w:r>
        <w:rPr>
          <w:rFonts w:hint="default" w:ascii="Times New Roman" w:hAnsi="Times New Roman" w:eastAsia="仿宋_GB2312" w:cs="Times New Roman"/>
          <w:color w:val="auto"/>
          <w:highlight w:val="none"/>
        </w:rPr>
        <w:t>作为施工道路，对外交通便利。</w:t>
      </w:r>
      <w:r>
        <w:rPr>
          <w:rFonts w:hint="eastAsia" w:cs="Times New Roman"/>
          <w:color w:val="auto"/>
          <w:highlight w:val="none"/>
          <w:lang w:eastAsia="zh-CN"/>
        </w:rPr>
        <w:t>进出场道路连接园区道路与项目区，位于红线征地范围外，面积为</w:t>
      </w:r>
      <w:r>
        <w:rPr>
          <w:rFonts w:hint="eastAsia" w:cs="Times New Roman"/>
          <w:color w:val="auto"/>
          <w:highlight w:val="none"/>
          <w:lang w:val="en-US" w:eastAsia="zh-CN"/>
        </w:rPr>
        <w:t>480m²。</w:t>
      </w:r>
      <w:r>
        <w:rPr>
          <w:rFonts w:hint="default" w:ascii="Times New Roman" w:hAnsi="Times New Roman" w:eastAsia="仿宋_GB2312" w:cs="Times New Roman"/>
          <w:color w:val="auto"/>
          <w:highlight w:val="none"/>
        </w:rPr>
        <w:t>场内临时施工道路可利用主体工程设计的站区进出口道路。</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2.2.3 施工用水、用电</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施工用水：本项目施工用水为园区自来水管网，就近接入管道</w:t>
      </w:r>
      <w:r>
        <w:rPr>
          <w:rFonts w:hint="eastAsia" w:cs="Times New Roman"/>
          <w:color w:val="auto"/>
          <w:highlight w:val="none"/>
          <w:lang w:val="en-US" w:eastAsia="zh-CN"/>
        </w:rPr>
        <w:t>用</w:t>
      </w:r>
      <w:r>
        <w:rPr>
          <w:rFonts w:hint="default" w:ascii="Times New Roman" w:hAnsi="Times New Roman" w:eastAsia="仿宋_GB2312" w:cs="Times New Roman"/>
          <w:color w:val="auto"/>
          <w:highlight w:val="none"/>
        </w:rPr>
        <w:t>水，施工现场不设置临时储水设施，</w:t>
      </w:r>
      <w:r>
        <w:rPr>
          <w:rFonts w:hint="eastAsia" w:cs="Times New Roman"/>
          <w:color w:val="auto"/>
          <w:highlight w:val="none"/>
          <w:lang w:eastAsia="zh-CN"/>
        </w:rPr>
        <w:t>可</w:t>
      </w:r>
      <w:r>
        <w:rPr>
          <w:rFonts w:hint="default" w:ascii="Times New Roman" w:hAnsi="Times New Roman" w:eastAsia="仿宋_GB2312" w:cs="Times New Roman"/>
          <w:color w:val="auto"/>
          <w:highlight w:val="none"/>
        </w:rPr>
        <w:t>满足施工需要</w:t>
      </w:r>
      <w:r>
        <w:rPr>
          <w:rFonts w:hint="default" w:ascii="Times New Roman" w:hAnsi="Times New Roman" w:eastAsia="仿宋_GB2312" w:cs="Times New Roman"/>
          <w:color w:val="auto"/>
          <w:szCs w:val="26"/>
          <w:highlight w:val="none"/>
        </w:rPr>
        <w:t>。</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施工用电：本项目采用10kV进线引入变压器，经变压器变压后为站内提供主电源，设置2台变压器提供生产管理用电与电采暖用电</w:t>
      </w:r>
      <w:r>
        <w:rPr>
          <w:rFonts w:hint="eastAsia" w:cs="Times New Roman"/>
          <w:color w:val="auto"/>
          <w:highlight w:val="none"/>
          <w:lang w:eastAsia="zh-CN"/>
        </w:rPr>
        <w:t>，满足用电条件</w:t>
      </w:r>
      <w:r>
        <w:rPr>
          <w:rFonts w:hint="default" w:ascii="Times New Roman" w:hAnsi="Times New Roman" w:eastAsia="仿宋_GB2312" w:cs="Times New Roman"/>
          <w:color w:val="auto"/>
          <w:szCs w:val="26"/>
          <w:highlight w:val="none"/>
        </w:rPr>
        <w:t>。</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2.2.4 取土（石、砂）场</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本项目建设所需的混凝土砂砾石拌合料</w:t>
      </w:r>
      <w:r>
        <w:rPr>
          <w:rFonts w:hint="eastAsia" w:cs="Times New Roman"/>
          <w:color w:val="auto"/>
          <w:highlight w:val="none"/>
          <w:lang w:eastAsia="zh-CN"/>
        </w:rPr>
        <w:t>均</w:t>
      </w:r>
      <w:r>
        <w:rPr>
          <w:rFonts w:hint="default" w:ascii="Times New Roman" w:hAnsi="Times New Roman" w:eastAsia="仿宋_GB2312" w:cs="Times New Roman"/>
          <w:color w:val="auto"/>
          <w:highlight w:val="none"/>
        </w:rPr>
        <w:t>从周边商品料场购买，其水土保持责任由砂砾石料厂承担，不设置专用料场。</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2.2.5 弃土（石、渣）场</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本工程建设期间挖方均用于后期回填，多余土方就地摊平平整，无永久弃方，因此本项目未设置永久弃渣场。</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但本项目涉及土方主要为各构筑物基础开挖土方以及管沟开挖土方，在施工完成后均回填利用，因此该部分土石方均需要临时堆置。在后期施工过程中各构筑物基础开挖土方均临时堆置在开挖扰动区域周边，后期回填利用，多余土方周边摊平处理；管沟开挖土方临时堆置在管沟开挖一侧，后期回填利用。</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2.2.</w:t>
      </w:r>
      <w:r>
        <w:rPr>
          <w:rFonts w:hint="eastAsia" w:cs="Times New Roman"/>
          <w:color w:val="auto"/>
          <w:highlight w:val="none"/>
          <w:lang w:val="en-US" w:eastAsia="zh-CN"/>
        </w:rPr>
        <w:t>6</w:t>
      </w:r>
      <w:r>
        <w:rPr>
          <w:rFonts w:hint="default" w:ascii="Times New Roman" w:hAnsi="Times New Roman" w:eastAsia="仿宋_GB2312" w:cs="Times New Roman"/>
          <w:color w:val="auto"/>
          <w:highlight w:val="none"/>
        </w:rPr>
        <w:t xml:space="preserve"> 施工方法与施工工艺</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本项目的各工程主要以机械化施工为主，辅以人工施工。其主要项目与水土流失有关的施工如下：</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（1）建构筑物基础开挖回填</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构筑物基础直接采用机械开挖，采取放坡开挖，边坡为1:0.5，基坑开挖至设计标高0.1</w:t>
      </w:r>
      <w:r>
        <w:rPr>
          <w:rFonts w:hint="eastAsia" w:cs="Times New Roman"/>
          <w:color w:val="auto"/>
          <w:highlight w:val="none"/>
          <w:lang w:val="en-US" w:eastAsia="zh-CN"/>
        </w:rPr>
        <w:t>5</w:t>
      </w:r>
      <w:r>
        <w:rPr>
          <w:rFonts w:hint="default" w:ascii="Times New Roman" w:hAnsi="Times New Roman" w:eastAsia="仿宋_GB2312" w:cs="Times New Roman"/>
          <w:color w:val="auto"/>
          <w:highlight w:val="none"/>
        </w:rPr>
        <w:t>m时，由人工清理至设计标高。开挖土方临时堆置在开挖基坑周边，基坑建设完成后回填利用，多余土石方直接回填周边空地平整。</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（2）管沟开挖</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管道沟槽在开挖时，在保证道路正常通行的情况下，采取分段开挖的方式进行施工，管道沟槽采用机械开挖的形式进行施工，基坑开挖至设计标高0.10m时，由人工清理至设计标高。开挖时沟槽开挖成梯形，边坡比为1:0.3。部分路段施工作业范围较小，采用人工开挖。管线施工期间开挖土方临时堆置在开挖沟槽一侧。</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（3）管沟回填</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在回填期间直接利用管线开挖土方，同时利用配备的移动式筛分机现场筛分，将筛分完成料直接用于管沟垫层回填，其余回填料直接利用开挖料回填，不再外购土石方以及垫层料。</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管道基础采用120°砂弧基，砂弧基础材料采用中、粗砂或级配碎石铺设，最大粒径不得大于25mm。管道回填土要求槽底至管顶以上500mm范围内，土中不得含有机物、冻土以及大于50mm的砖、石等硬块；在抹带接口处、防腐绝缘层或电缆周围，应采用细粒土回填，并符合规范要求规定。管道两侧和管顶以上500mm范围内的回填材料，应由机械运入槽内，不得直接回填在管道上；回填其他部位时，应均匀运入槽内，不得集中推入。</w:t>
      </w:r>
    </w:p>
    <w:p>
      <w:pPr>
        <w:pStyle w:val="66"/>
        <w:ind w:firstLine="148"/>
        <w:rPr>
          <w:rFonts w:hint="default" w:ascii="Times New Roman" w:hAnsi="Times New Roman" w:eastAsia="仿宋_GB2312" w:cs="Times New Roman"/>
          <w:color w:val="auto"/>
          <w:highlight w:val="none"/>
        </w:rPr>
      </w:pPr>
      <w:bookmarkStart w:id="76" w:name="_Toc20368"/>
      <w:r>
        <w:rPr>
          <w:rFonts w:hint="default" w:ascii="Times New Roman" w:hAnsi="Times New Roman" w:eastAsia="仿宋_GB2312" w:cs="Times New Roman"/>
          <w:color w:val="auto"/>
          <w:highlight w:val="none"/>
        </w:rPr>
        <w:t>2.3 工程占地</w:t>
      </w:r>
      <w:bookmarkEnd w:id="76"/>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项目建设总占地面积</w:t>
      </w:r>
      <w:r>
        <w:rPr>
          <w:rFonts w:hint="eastAsia" w:cs="Times New Roman"/>
          <w:color w:val="auto"/>
          <w:highlight w:val="none"/>
          <w:lang w:val="en-US" w:eastAsia="zh-CN"/>
        </w:rPr>
        <w:t>0.45h</w:t>
      </w:r>
      <w:r>
        <w:rPr>
          <w:rFonts w:hint="default" w:ascii="Times New Roman" w:hAnsi="Times New Roman" w:eastAsia="仿宋_GB2312" w:cs="Times New Roman"/>
          <w:color w:val="auto"/>
          <w:highlight w:val="none"/>
        </w:rPr>
        <w:t>m²，</w:t>
      </w:r>
      <w:r>
        <w:rPr>
          <w:rFonts w:hint="eastAsia" w:cs="Times New Roman"/>
          <w:color w:val="auto"/>
          <w:highlight w:val="none"/>
          <w:lang w:eastAsia="zh-CN"/>
        </w:rPr>
        <w:t>均为永久占地</w:t>
      </w:r>
      <w:r>
        <w:rPr>
          <w:rFonts w:hint="eastAsia" w:cs="Times New Roman"/>
          <w:color w:val="auto"/>
          <w:highlight w:val="none"/>
          <w:lang w:val="en-US" w:eastAsia="zh-CN"/>
        </w:rPr>
        <w:t>，</w:t>
      </w:r>
      <w:r>
        <w:rPr>
          <w:rFonts w:hint="default" w:ascii="Times New Roman" w:hAnsi="Times New Roman" w:eastAsia="仿宋_GB2312" w:cs="Times New Roman"/>
          <w:color w:val="auto"/>
          <w:highlight w:val="none"/>
        </w:rPr>
        <w:t>其中红线内</w:t>
      </w:r>
      <w:r>
        <w:rPr>
          <w:rFonts w:hint="eastAsia" w:ascii="Times New Roman" w:hAnsi="Times New Roman" w:cs="Times New Roman"/>
          <w:color w:val="auto"/>
          <w:highlight w:val="none"/>
          <w:lang w:eastAsia="zh-CN"/>
        </w:rPr>
        <w:t>永久</w:t>
      </w:r>
      <w:r>
        <w:rPr>
          <w:rFonts w:hint="default" w:ascii="Times New Roman" w:hAnsi="Times New Roman" w:eastAsia="仿宋_GB2312" w:cs="Times New Roman"/>
          <w:color w:val="auto"/>
          <w:highlight w:val="none"/>
        </w:rPr>
        <w:t>占地面积为</w:t>
      </w:r>
      <w:r>
        <w:rPr>
          <w:rFonts w:hint="eastAsia" w:cs="Times New Roman"/>
          <w:color w:val="auto"/>
          <w:highlight w:val="none"/>
          <w:lang w:val="en-US" w:eastAsia="zh-CN"/>
        </w:rPr>
        <w:t>0.40h</w:t>
      </w:r>
      <w:r>
        <w:rPr>
          <w:rFonts w:hint="default" w:ascii="Times New Roman" w:hAnsi="Times New Roman" w:eastAsia="仿宋_GB2312" w:cs="Times New Roman"/>
          <w:color w:val="auto"/>
          <w:highlight w:val="none"/>
        </w:rPr>
        <w:t>m²，</w:t>
      </w:r>
      <w:r>
        <w:rPr>
          <w:rFonts w:hint="eastAsia" w:cs="Times New Roman"/>
          <w:color w:val="auto"/>
          <w:highlight w:val="none"/>
          <w:lang w:val="en-US" w:eastAsia="zh-CN"/>
        </w:rPr>
        <w:t>红线外永久占地面积为0.05hm²</w:t>
      </w:r>
      <w:r>
        <w:rPr>
          <w:rFonts w:hint="default" w:ascii="Times New Roman" w:hAnsi="Times New Roman" w:eastAsia="仿宋_GB2312" w:cs="Times New Roman"/>
          <w:color w:val="auto"/>
          <w:highlight w:val="none"/>
        </w:rPr>
        <w:t>，占地类型为</w:t>
      </w:r>
      <w:r>
        <w:rPr>
          <w:rFonts w:hint="eastAsia" w:cs="Times New Roman"/>
          <w:color w:val="auto"/>
          <w:highlight w:val="none"/>
          <w:lang w:eastAsia="zh-CN"/>
        </w:rPr>
        <w:t>商业用地</w:t>
      </w:r>
      <w:r>
        <w:rPr>
          <w:rFonts w:hint="default" w:ascii="Times New Roman" w:hAnsi="Times New Roman" w:eastAsia="仿宋_GB2312" w:cs="Times New Roman"/>
          <w:color w:val="auto"/>
          <w:highlight w:val="none"/>
        </w:rPr>
        <w:t>。</w:t>
      </w: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表2.3-1本项目占地面积及占地类型情况统计表   单位：m²</w:t>
      </w:r>
    </w:p>
    <w:tbl>
      <w:tblPr>
        <w:tblStyle w:val="25"/>
        <w:tblW w:w="9060" w:type="dxa"/>
        <w:tblInd w:w="0" w:type="dxa"/>
        <w:tblLayout w:type="fixed"/>
        <w:tblCellMar>
          <w:top w:w="0" w:type="dxa"/>
          <w:left w:w="108" w:type="dxa"/>
          <w:bottom w:w="0" w:type="dxa"/>
          <w:right w:w="108" w:type="dxa"/>
        </w:tblCellMar>
      </w:tblPr>
      <w:tblGrid>
        <w:gridCol w:w="1134"/>
        <w:gridCol w:w="1821"/>
        <w:gridCol w:w="1281"/>
        <w:gridCol w:w="1207"/>
        <w:gridCol w:w="1059"/>
        <w:gridCol w:w="1087"/>
        <w:gridCol w:w="1471"/>
      </w:tblGrid>
      <w:tr>
        <w:tblPrEx>
          <w:tblCellMar>
            <w:top w:w="0" w:type="dxa"/>
            <w:left w:w="108" w:type="dxa"/>
            <w:bottom w:w="0" w:type="dxa"/>
            <w:right w:w="108" w:type="dxa"/>
          </w:tblCellMar>
        </w:tblPrEx>
        <w:trPr>
          <w:trHeight w:val="284" w:hRule="atLeast"/>
        </w:trPr>
        <w:tc>
          <w:tcPr>
            <w:tcW w:w="2955"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项目组成</w:t>
            </w:r>
          </w:p>
        </w:tc>
        <w:tc>
          <w:tcPr>
            <w:tcW w:w="1281"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占地类型</w:t>
            </w:r>
          </w:p>
        </w:tc>
        <w:tc>
          <w:tcPr>
            <w:tcW w:w="2266" w:type="dxa"/>
            <w:gridSpan w:val="2"/>
            <w:tcBorders>
              <w:top w:val="single" w:color="auto" w:sz="4" w:space="0"/>
              <w:left w:val="nil"/>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占地性质</w:t>
            </w:r>
          </w:p>
        </w:tc>
        <w:tc>
          <w:tcPr>
            <w:tcW w:w="108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合计</w:t>
            </w:r>
          </w:p>
        </w:tc>
        <w:tc>
          <w:tcPr>
            <w:tcW w:w="147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备注</w:t>
            </w:r>
          </w:p>
        </w:tc>
      </w:tr>
      <w:tr>
        <w:tblPrEx>
          <w:tblCellMar>
            <w:top w:w="0" w:type="dxa"/>
            <w:left w:w="108" w:type="dxa"/>
            <w:bottom w:w="0" w:type="dxa"/>
            <w:right w:w="108" w:type="dxa"/>
          </w:tblCellMar>
        </w:tblPrEx>
        <w:trPr>
          <w:trHeight w:val="284" w:hRule="atLeast"/>
        </w:trPr>
        <w:tc>
          <w:tcPr>
            <w:tcW w:w="2955"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1281"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eastAsia" w:ascii="Times New Roman" w:hAnsi="Times New Roman" w:eastAsia="仿宋_GB2312" w:cs="Times New Roman"/>
                <w:color w:val="auto"/>
                <w:kern w:val="0"/>
                <w:sz w:val="21"/>
                <w:szCs w:val="21"/>
                <w:highlight w:val="none"/>
                <w:lang w:eastAsia="zh-CN"/>
              </w:rPr>
            </w:pPr>
            <w:r>
              <w:rPr>
                <w:rFonts w:hint="eastAsia" w:ascii="Times New Roman" w:hAnsi="Times New Roman" w:eastAsia="仿宋_GB2312" w:cs="Times New Roman"/>
                <w:color w:val="auto"/>
                <w:kern w:val="0"/>
                <w:sz w:val="21"/>
                <w:szCs w:val="21"/>
                <w:highlight w:val="none"/>
                <w:lang w:eastAsia="zh-CN"/>
              </w:rPr>
              <w:t>商业用地</w:t>
            </w:r>
          </w:p>
        </w:tc>
        <w:tc>
          <w:tcPr>
            <w:tcW w:w="120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永久占地</w:t>
            </w:r>
          </w:p>
        </w:tc>
        <w:tc>
          <w:tcPr>
            <w:tcW w:w="105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eastAsia="zh-CN"/>
              </w:rPr>
              <w:t>临时</w:t>
            </w:r>
            <w:r>
              <w:rPr>
                <w:rFonts w:hint="default" w:ascii="Times New Roman" w:hAnsi="Times New Roman" w:eastAsia="仿宋_GB2312" w:cs="Times New Roman"/>
                <w:color w:val="auto"/>
                <w:kern w:val="0"/>
                <w:sz w:val="21"/>
                <w:szCs w:val="21"/>
                <w:highlight w:val="none"/>
              </w:rPr>
              <w:t>占地</w:t>
            </w:r>
          </w:p>
        </w:tc>
        <w:tc>
          <w:tcPr>
            <w:tcW w:w="108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147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CellMar>
            <w:top w:w="0" w:type="dxa"/>
            <w:left w:w="108" w:type="dxa"/>
            <w:bottom w:w="0" w:type="dxa"/>
            <w:right w:w="108" w:type="dxa"/>
          </w:tblCellMar>
        </w:tblPrEx>
        <w:trPr>
          <w:trHeight w:val="284" w:hRule="atLeast"/>
        </w:trPr>
        <w:tc>
          <w:tcPr>
            <w:tcW w:w="1134" w:type="dxa"/>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建筑物区</w:t>
            </w:r>
          </w:p>
        </w:tc>
        <w:tc>
          <w:tcPr>
            <w:tcW w:w="1821"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站房区</w:t>
            </w:r>
          </w:p>
        </w:tc>
        <w:tc>
          <w:tcPr>
            <w:tcW w:w="1281"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401.3</w:t>
            </w:r>
          </w:p>
        </w:tc>
        <w:tc>
          <w:tcPr>
            <w:tcW w:w="1207"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eastAsia="仿宋_GB2312" w:cs="Times New Roman"/>
                <w:color w:val="auto"/>
                <w:kern w:val="0"/>
                <w:sz w:val="21"/>
                <w:szCs w:val="21"/>
                <w:highlight w:val="none"/>
                <w:lang w:val="en-US" w:eastAsia="zh-CN"/>
              </w:rPr>
              <w:t>401.3</w:t>
            </w:r>
          </w:p>
        </w:tc>
        <w:tc>
          <w:tcPr>
            <w:tcW w:w="105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1087"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eastAsia="仿宋_GB2312" w:cs="Times New Roman"/>
                <w:color w:val="auto"/>
                <w:kern w:val="0"/>
                <w:sz w:val="21"/>
                <w:szCs w:val="21"/>
                <w:highlight w:val="none"/>
                <w:lang w:val="en-US" w:eastAsia="zh-CN"/>
              </w:rPr>
              <w:t>401.3</w:t>
            </w:r>
          </w:p>
        </w:tc>
        <w:tc>
          <w:tcPr>
            <w:tcW w:w="1471" w:type="dxa"/>
            <w:vMerge w:val="restart"/>
            <w:tcBorders>
              <w:top w:val="nil"/>
              <w:left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项目区红线范围内实际占地</w:t>
            </w:r>
          </w:p>
        </w:tc>
      </w:tr>
      <w:tr>
        <w:tblPrEx>
          <w:tblCellMar>
            <w:top w:w="0" w:type="dxa"/>
            <w:left w:w="108" w:type="dxa"/>
            <w:bottom w:w="0" w:type="dxa"/>
            <w:right w:w="108" w:type="dxa"/>
          </w:tblCellMar>
        </w:tblPrEx>
        <w:trPr>
          <w:trHeight w:val="284" w:hRule="atLeast"/>
        </w:trPr>
        <w:tc>
          <w:tcPr>
            <w:tcW w:w="1134" w:type="dxa"/>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1821"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油罐区</w:t>
            </w:r>
          </w:p>
        </w:tc>
        <w:tc>
          <w:tcPr>
            <w:tcW w:w="1281"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188.312</w:t>
            </w:r>
          </w:p>
        </w:tc>
        <w:tc>
          <w:tcPr>
            <w:tcW w:w="1207"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eastAsia="仿宋_GB2312" w:cs="Times New Roman"/>
                <w:color w:val="auto"/>
                <w:kern w:val="0"/>
                <w:sz w:val="21"/>
                <w:szCs w:val="21"/>
                <w:highlight w:val="none"/>
                <w:lang w:val="en-US" w:eastAsia="zh-CN"/>
              </w:rPr>
              <w:t>188.312</w:t>
            </w:r>
          </w:p>
        </w:tc>
        <w:tc>
          <w:tcPr>
            <w:tcW w:w="105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1087"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eastAsia="仿宋_GB2312" w:cs="Times New Roman"/>
                <w:color w:val="auto"/>
                <w:kern w:val="0"/>
                <w:sz w:val="21"/>
                <w:szCs w:val="21"/>
                <w:highlight w:val="none"/>
                <w:lang w:val="en-US" w:eastAsia="zh-CN"/>
              </w:rPr>
              <w:t>188.312</w:t>
            </w:r>
          </w:p>
        </w:tc>
        <w:tc>
          <w:tcPr>
            <w:tcW w:w="1471" w:type="dxa"/>
            <w:vMerge w:val="continue"/>
            <w:tcBorders>
              <w:left w:val="single" w:color="auto"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CellMar>
            <w:top w:w="0" w:type="dxa"/>
            <w:left w:w="108" w:type="dxa"/>
            <w:bottom w:w="0" w:type="dxa"/>
            <w:right w:w="108" w:type="dxa"/>
          </w:tblCellMar>
        </w:tblPrEx>
        <w:trPr>
          <w:trHeight w:val="284" w:hRule="atLeast"/>
        </w:trPr>
        <w:tc>
          <w:tcPr>
            <w:tcW w:w="1134" w:type="dxa"/>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1821"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加油区</w:t>
            </w:r>
          </w:p>
        </w:tc>
        <w:tc>
          <w:tcPr>
            <w:tcW w:w="1281"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243.00 </w:t>
            </w:r>
          </w:p>
        </w:tc>
        <w:tc>
          <w:tcPr>
            <w:tcW w:w="1207"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eastAsia="仿宋_GB2312" w:cs="Times New Roman"/>
                <w:color w:val="auto"/>
                <w:kern w:val="0"/>
                <w:sz w:val="21"/>
                <w:szCs w:val="21"/>
                <w:highlight w:val="none"/>
                <w:lang w:val="en-US" w:eastAsia="zh-CN"/>
              </w:rPr>
              <w:t xml:space="preserve">243.00 </w:t>
            </w:r>
          </w:p>
        </w:tc>
        <w:tc>
          <w:tcPr>
            <w:tcW w:w="105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1087"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eastAsia="仿宋_GB2312" w:cs="Times New Roman"/>
                <w:color w:val="auto"/>
                <w:kern w:val="0"/>
                <w:sz w:val="21"/>
                <w:szCs w:val="21"/>
                <w:highlight w:val="none"/>
                <w:lang w:val="en-US" w:eastAsia="zh-CN"/>
              </w:rPr>
              <w:t xml:space="preserve">243.00 </w:t>
            </w:r>
          </w:p>
        </w:tc>
        <w:tc>
          <w:tcPr>
            <w:tcW w:w="1471" w:type="dxa"/>
            <w:vMerge w:val="continue"/>
            <w:tcBorders>
              <w:left w:val="single" w:color="auto"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CellMar>
            <w:top w:w="0" w:type="dxa"/>
            <w:left w:w="108" w:type="dxa"/>
            <w:bottom w:w="0" w:type="dxa"/>
            <w:right w:w="108" w:type="dxa"/>
          </w:tblCellMar>
        </w:tblPrEx>
        <w:trPr>
          <w:trHeight w:val="284" w:hRule="atLeast"/>
        </w:trPr>
        <w:tc>
          <w:tcPr>
            <w:tcW w:w="1134" w:type="dxa"/>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1821"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eastAsia" w:ascii="Times New Roman" w:hAnsi="Times New Roman" w:eastAsia="仿宋_GB2312" w:cs="Times New Roman"/>
                <w:color w:val="auto"/>
                <w:kern w:val="0"/>
                <w:sz w:val="21"/>
                <w:szCs w:val="21"/>
                <w:highlight w:val="none"/>
                <w:lang w:eastAsia="zh-CN"/>
              </w:rPr>
            </w:pPr>
            <w:r>
              <w:rPr>
                <w:rFonts w:hint="eastAsia" w:ascii="Times New Roman" w:hAnsi="Times New Roman" w:eastAsia="仿宋_GB2312" w:cs="Times New Roman"/>
                <w:color w:val="auto"/>
                <w:kern w:val="0"/>
                <w:sz w:val="21"/>
                <w:szCs w:val="21"/>
                <w:highlight w:val="none"/>
                <w:lang w:eastAsia="zh-CN"/>
              </w:rPr>
              <w:t>绿化区</w:t>
            </w:r>
          </w:p>
        </w:tc>
        <w:tc>
          <w:tcPr>
            <w:tcW w:w="1281"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1676.66</w:t>
            </w:r>
          </w:p>
        </w:tc>
        <w:tc>
          <w:tcPr>
            <w:tcW w:w="1207"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eastAsia="仿宋_GB2312" w:cs="Times New Roman"/>
                <w:color w:val="auto"/>
                <w:kern w:val="0"/>
                <w:sz w:val="21"/>
                <w:szCs w:val="21"/>
                <w:highlight w:val="none"/>
                <w:lang w:val="en-US" w:eastAsia="zh-CN"/>
              </w:rPr>
              <w:t>1676.66</w:t>
            </w:r>
          </w:p>
        </w:tc>
        <w:tc>
          <w:tcPr>
            <w:tcW w:w="105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1087"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eastAsia="仿宋_GB2312" w:cs="Times New Roman"/>
                <w:color w:val="auto"/>
                <w:kern w:val="0"/>
                <w:sz w:val="21"/>
                <w:szCs w:val="21"/>
                <w:highlight w:val="none"/>
                <w:lang w:val="en-US" w:eastAsia="zh-CN"/>
              </w:rPr>
              <w:t>1676.66</w:t>
            </w:r>
          </w:p>
        </w:tc>
        <w:tc>
          <w:tcPr>
            <w:tcW w:w="1471" w:type="dxa"/>
            <w:vMerge w:val="continue"/>
            <w:tcBorders>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CellMar>
            <w:top w:w="0" w:type="dxa"/>
            <w:left w:w="108" w:type="dxa"/>
            <w:bottom w:w="0" w:type="dxa"/>
            <w:right w:w="108" w:type="dxa"/>
          </w:tblCellMar>
        </w:tblPrEx>
        <w:trPr>
          <w:trHeight w:val="284" w:hRule="atLeast"/>
        </w:trPr>
        <w:tc>
          <w:tcPr>
            <w:tcW w:w="2955" w:type="dxa"/>
            <w:gridSpan w:val="2"/>
            <w:tcBorders>
              <w:top w:val="single" w:color="auto" w:sz="4" w:space="0"/>
              <w:left w:val="single" w:color="auto" w:sz="4" w:space="0"/>
              <w:bottom w:val="nil"/>
              <w:right w:val="single" w:color="000000" w:sz="4" w:space="0"/>
            </w:tcBorders>
            <w:shd w:val="clear" w:color="auto" w:fill="auto"/>
            <w:vAlign w:val="center"/>
          </w:tcPr>
          <w:p>
            <w:pPr>
              <w:widowControl/>
              <w:adjustRightInd/>
              <w:snapToGrid/>
              <w:spacing w:line="240" w:lineRule="auto"/>
              <w:ind w:firstLine="0" w:firstLineChars="0"/>
              <w:jc w:val="center"/>
              <w:rPr>
                <w:rFonts w:hint="eastAsia" w:ascii="Times New Roman" w:hAnsi="Times New Roman" w:eastAsia="仿宋_GB2312" w:cs="Times New Roman"/>
                <w:color w:val="auto"/>
                <w:kern w:val="0"/>
                <w:sz w:val="21"/>
                <w:szCs w:val="21"/>
                <w:highlight w:val="none"/>
                <w:lang w:eastAsia="zh-CN"/>
              </w:rPr>
            </w:pPr>
            <w:r>
              <w:rPr>
                <w:rFonts w:hint="eastAsia" w:ascii="Times New Roman" w:hAnsi="Times New Roman" w:eastAsia="仿宋_GB2312" w:cs="Times New Roman"/>
                <w:color w:val="auto"/>
                <w:kern w:val="0"/>
                <w:sz w:val="21"/>
                <w:szCs w:val="21"/>
                <w:highlight w:val="none"/>
                <w:lang w:eastAsia="zh-CN"/>
              </w:rPr>
              <w:t>管线工程区</w:t>
            </w:r>
          </w:p>
        </w:tc>
        <w:tc>
          <w:tcPr>
            <w:tcW w:w="1281"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(159)</w:t>
            </w:r>
          </w:p>
        </w:tc>
        <w:tc>
          <w:tcPr>
            <w:tcW w:w="1207"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(159)</w:t>
            </w:r>
          </w:p>
        </w:tc>
        <w:tc>
          <w:tcPr>
            <w:tcW w:w="105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bidi="ar-SA"/>
              </w:rPr>
            </w:pPr>
          </w:p>
        </w:tc>
        <w:tc>
          <w:tcPr>
            <w:tcW w:w="1087"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bidi="ar-SA"/>
              </w:rPr>
            </w:pPr>
          </w:p>
        </w:tc>
        <w:tc>
          <w:tcPr>
            <w:tcW w:w="1471" w:type="dxa"/>
            <w:tcBorders>
              <w:top w:val="single" w:color="auto" w:sz="4" w:space="0"/>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hint="eastAsia" w:ascii="Times New Roman" w:hAnsi="Times New Roman" w:eastAsia="仿宋_GB2312" w:cs="Times New Roman"/>
                <w:color w:val="auto"/>
                <w:kern w:val="0"/>
                <w:sz w:val="21"/>
                <w:szCs w:val="21"/>
                <w:highlight w:val="none"/>
                <w:lang w:eastAsia="zh-CN"/>
              </w:rPr>
            </w:pPr>
            <w:r>
              <w:rPr>
                <w:rFonts w:hint="eastAsia" w:ascii="Times New Roman" w:hAnsi="Times New Roman" w:eastAsia="仿宋_GB2312" w:cs="Times New Roman"/>
                <w:color w:val="auto"/>
                <w:kern w:val="0"/>
                <w:sz w:val="21"/>
                <w:szCs w:val="21"/>
                <w:highlight w:val="none"/>
                <w:lang w:eastAsia="zh-CN"/>
              </w:rPr>
              <w:t>重复占地</w:t>
            </w:r>
          </w:p>
        </w:tc>
      </w:tr>
      <w:tr>
        <w:tblPrEx>
          <w:tblCellMar>
            <w:top w:w="0" w:type="dxa"/>
            <w:left w:w="108" w:type="dxa"/>
            <w:bottom w:w="0" w:type="dxa"/>
            <w:right w:w="108" w:type="dxa"/>
          </w:tblCellMar>
        </w:tblPrEx>
        <w:trPr>
          <w:trHeight w:val="284" w:hRule="atLeast"/>
        </w:trPr>
        <w:tc>
          <w:tcPr>
            <w:tcW w:w="2955"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eastAsia="zh-CN"/>
              </w:rPr>
              <w:t>道路及硬化区</w:t>
            </w:r>
            <w:r>
              <w:rPr>
                <w:rFonts w:hint="default" w:ascii="Times New Roman" w:hAnsi="Times New Roman" w:eastAsia="仿宋_GB2312" w:cs="Times New Roman"/>
                <w:color w:val="auto"/>
                <w:kern w:val="0"/>
                <w:sz w:val="21"/>
                <w:szCs w:val="21"/>
                <w:highlight w:val="none"/>
              </w:rPr>
              <w:t>区</w:t>
            </w:r>
          </w:p>
        </w:tc>
        <w:tc>
          <w:tcPr>
            <w:tcW w:w="1281"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rPr>
            </w:pPr>
            <w:r>
              <w:rPr>
                <w:rFonts w:hint="eastAsia" w:ascii="Times New Roman" w:hAnsi="Times New Roman" w:eastAsia="仿宋_GB2312" w:cs="Times New Roman"/>
                <w:color w:val="auto"/>
                <w:kern w:val="0"/>
                <w:sz w:val="21"/>
                <w:szCs w:val="21"/>
                <w:highlight w:val="none"/>
                <w:lang w:val="en-US" w:eastAsia="zh-CN"/>
              </w:rPr>
              <w:t>1970</w:t>
            </w:r>
          </w:p>
        </w:tc>
        <w:tc>
          <w:tcPr>
            <w:tcW w:w="1207"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1970</w:t>
            </w:r>
          </w:p>
        </w:tc>
        <w:tc>
          <w:tcPr>
            <w:tcW w:w="105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bidi="ar-SA"/>
              </w:rPr>
            </w:pPr>
          </w:p>
        </w:tc>
        <w:tc>
          <w:tcPr>
            <w:tcW w:w="1087"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bidi="ar-SA"/>
              </w:rPr>
            </w:pPr>
          </w:p>
        </w:tc>
        <w:tc>
          <w:tcPr>
            <w:tcW w:w="1471" w:type="dxa"/>
            <w:tcBorders>
              <w:top w:val="single" w:color="auto" w:sz="4" w:space="0"/>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rPr>
              <w:t>项目区红线范围</w:t>
            </w:r>
            <w:r>
              <w:rPr>
                <w:rFonts w:hint="eastAsia" w:ascii="Times New Roman" w:hAnsi="Times New Roman" w:eastAsia="仿宋_GB2312" w:cs="Times New Roman"/>
                <w:color w:val="auto"/>
                <w:kern w:val="0"/>
                <w:sz w:val="21"/>
                <w:szCs w:val="21"/>
                <w:highlight w:val="none"/>
                <w:lang w:eastAsia="zh-CN"/>
              </w:rPr>
              <w:t>外永久</w:t>
            </w:r>
            <w:r>
              <w:rPr>
                <w:rFonts w:hint="default" w:ascii="Times New Roman" w:hAnsi="Times New Roman" w:eastAsia="仿宋_GB2312" w:cs="Times New Roman"/>
                <w:color w:val="auto"/>
                <w:kern w:val="0"/>
                <w:sz w:val="21"/>
                <w:szCs w:val="21"/>
                <w:highlight w:val="none"/>
              </w:rPr>
              <w:t>占地</w:t>
            </w:r>
            <w:r>
              <w:rPr>
                <w:rFonts w:hint="eastAsia" w:ascii="Times New Roman" w:hAnsi="Times New Roman" w:eastAsia="仿宋_GB2312" w:cs="Times New Roman"/>
                <w:color w:val="auto"/>
                <w:kern w:val="0"/>
                <w:sz w:val="21"/>
                <w:szCs w:val="21"/>
                <w:highlight w:val="none"/>
                <w:lang w:val="en-US" w:eastAsia="zh-CN"/>
              </w:rPr>
              <w:t>480m²</w:t>
            </w:r>
          </w:p>
        </w:tc>
      </w:tr>
      <w:tr>
        <w:tblPrEx>
          <w:tblCellMar>
            <w:top w:w="0" w:type="dxa"/>
            <w:left w:w="108" w:type="dxa"/>
            <w:bottom w:w="0" w:type="dxa"/>
            <w:right w:w="108" w:type="dxa"/>
          </w:tblCellMar>
        </w:tblPrEx>
        <w:trPr>
          <w:trHeight w:val="284" w:hRule="atLeast"/>
        </w:trPr>
        <w:tc>
          <w:tcPr>
            <w:tcW w:w="2955"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center"/>
              <w:rPr>
                <w:rFonts w:hint="eastAsia"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w:t>
            </w:r>
            <w:r>
              <w:rPr>
                <w:rFonts w:hint="eastAsia" w:ascii="Times New Roman" w:hAnsi="Times New Roman" w:eastAsia="仿宋_GB2312" w:cs="Times New Roman"/>
                <w:color w:val="auto"/>
                <w:kern w:val="0"/>
                <w:sz w:val="21"/>
                <w:szCs w:val="21"/>
                <w:highlight w:val="none"/>
                <w:lang w:eastAsia="zh-CN"/>
              </w:rPr>
              <w:t>施工生产生活区</w:t>
            </w:r>
          </w:p>
        </w:tc>
        <w:tc>
          <w:tcPr>
            <w:tcW w:w="1281"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150</w:t>
            </w:r>
          </w:p>
        </w:tc>
        <w:tc>
          <w:tcPr>
            <w:tcW w:w="1207"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150</w:t>
            </w:r>
          </w:p>
        </w:tc>
        <w:tc>
          <w:tcPr>
            <w:tcW w:w="105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bidi="ar-SA"/>
              </w:rPr>
            </w:pPr>
          </w:p>
        </w:tc>
        <w:tc>
          <w:tcPr>
            <w:tcW w:w="1087"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bidi="ar-SA"/>
              </w:rPr>
            </w:pPr>
          </w:p>
        </w:tc>
        <w:tc>
          <w:tcPr>
            <w:tcW w:w="1471"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重复占地</w:t>
            </w:r>
          </w:p>
        </w:tc>
      </w:tr>
      <w:tr>
        <w:tblPrEx>
          <w:tblCellMar>
            <w:top w:w="0" w:type="dxa"/>
            <w:left w:w="108" w:type="dxa"/>
            <w:bottom w:w="0" w:type="dxa"/>
            <w:right w:w="108" w:type="dxa"/>
          </w:tblCellMar>
        </w:tblPrEx>
        <w:trPr>
          <w:trHeight w:val="284" w:hRule="atLeast"/>
        </w:trPr>
        <w:tc>
          <w:tcPr>
            <w:tcW w:w="29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合计</w:t>
            </w:r>
          </w:p>
        </w:tc>
        <w:tc>
          <w:tcPr>
            <w:tcW w:w="1281"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4479.272</w:t>
            </w:r>
          </w:p>
        </w:tc>
        <w:tc>
          <w:tcPr>
            <w:tcW w:w="1207"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4479.272</w:t>
            </w:r>
          </w:p>
        </w:tc>
        <w:tc>
          <w:tcPr>
            <w:tcW w:w="1059"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bidi="ar-SA"/>
              </w:rPr>
            </w:pPr>
          </w:p>
        </w:tc>
        <w:tc>
          <w:tcPr>
            <w:tcW w:w="1087"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bidi="ar-SA"/>
              </w:rPr>
            </w:pPr>
          </w:p>
        </w:tc>
        <w:tc>
          <w:tcPr>
            <w:tcW w:w="1471" w:type="dxa"/>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bl>
    <w:p>
      <w:pPr>
        <w:pStyle w:val="66"/>
        <w:ind w:firstLine="148"/>
        <w:rPr>
          <w:rFonts w:hint="default" w:ascii="Times New Roman" w:hAnsi="Times New Roman" w:eastAsia="仿宋_GB2312" w:cs="Times New Roman"/>
          <w:color w:val="auto"/>
          <w:highlight w:val="none"/>
        </w:rPr>
      </w:pPr>
      <w:bookmarkStart w:id="77" w:name="_Toc417412310"/>
      <w:bookmarkStart w:id="78" w:name="_Toc11047"/>
      <w:r>
        <w:rPr>
          <w:rFonts w:hint="default" w:ascii="Times New Roman" w:hAnsi="Times New Roman" w:eastAsia="仿宋_GB2312" w:cs="Times New Roman"/>
          <w:color w:val="auto"/>
          <w:highlight w:val="none"/>
        </w:rPr>
        <w:t xml:space="preserve">2.4 </w:t>
      </w:r>
      <w:bookmarkEnd w:id="77"/>
      <w:r>
        <w:rPr>
          <w:rFonts w:hint="default" w:ascii="Times New Roman" w:hAnsi="Times New Roman" w:eastAsia="仿宋_GB2312" w:cs="Times New Roman"/>
          <w:color w:val="auto"/>
          <w:highlight w:val="none"/>
        </w:rPr>
        <w:t>土石方平衡</w:t>
      </w:r>
      <w:bookmarkEnd w:id="78"/>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本项目土石方主要产生于施工期建筑物基础开挖、管沟开挖回填及</w:t>
      </w:r>
      <w:r>
        <w:rPr>
          <w:rFonts w:hint="eastAsia" w:cs="Times New Roman"/>
          <w:color w:val="auto"/>
          <w:highlight w:val="none"/>
          <w:lang w:eastAsia="zh-CN"/>
        </w:rPr>
        <w:t>土地平整</w:t>
      </w:r>
      <w:r>
        <w:rPr>
          <w:rFonts w:hint="default" w:ascii="Times New Roman" w:hAnsi="Times New Roman" w:eastAsia="仿宋_GB2312" w:cs="Times New Roman"/>
          <w:color w:val="auto"/>
          <w:highlight w:val="none"/>
        </w:rPr>
        <w:t>。</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本工程建设期开挖土石方</w:t>
      </w:r>
      <w:r>
        <w:rPr>
          <w:rFonts w:hint="eastAsia" w:cs="Times New Roman"/>
          <w:color w:val="auto"/>
          <w:highlight w:val="none"/>
          <w:lang w:val="en-US" w:eastAsia="zh-CN"/>
        </w:rPr>
        <w:t>0.14万</w:t>
      </w:r>
      <w:r>
        <w:rPr>
          <w:rFonts w:hint="default" w:ascii="Times New Roman" w:hAnsi="Times New Roman" w:eastAsia="仿宋_GB2312" w:cs="Times New Roman"/>
          <w:color w:val="auto"/>
          <w:highlight w:val="none"/>
        </w:rPr>
        <w:t>m³，回填</w:t>
      </w:r>
      <w:r>
        <w:rPr>
          <w:rFonts w:hint="eastAsia" w:cs="Times New Roman"/>
          <w:color w:val="auto"/>
          <w:highlight w:val="none"/>
          <w:lang w:val="en-US" w:eastAsia="zh-CN"/>
        </w:rPr>
        <w:t>0.14万</w:t>
      </w:r>
      <w:r>
        <w:rPr>
          <w:rFonts w:hint="default" w:ascii="Times New Roman" w:hAnsi="Times New Roman" w:eastAsia="仿宋_GB2312" w:cs="Times New Roman"/>
          <w:color w:val="auto"/>
          <w:highlight w:val="none"/>
        </w:rPr>
        <w:t>m³，通过移挖做填，项目区整体土石方能够达到平衡。</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项目地表土土壤肥力不高，</w:t>
      </w:r>
      <w:r>
        <w:rPr>
          <w:rFonts w:hint="eastAsia" w:cs="Times New Roman"/>
          <w:color w:val="auto"/>
          <w:highlight w:val="none"/>
          <w:lang w:eastAsia="zh-CN"/>
        </w:rPr>
        <w:t>腐殖质层较薄，</w:t>
      </w:r>
      <w:r>
        <w:rPr>
          <w:rFonts w:hint="default" w:ascii="Times New Roman" w:hAnsi="Times New Roman" w:eastAsia="仿宋_GB2312" w:cs="Times New Roman"/>
          <w:color w:val="auto"/>
          <w:highlight w:val="none"/>
        </w:rPr>
        <w:t>因此项目不单独剥离表土。</w:t>
      </w: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表2.4-1土石方平衡表   单位：</w:t>
      </w:r>
      <w:r>
        <w:rPr>
          <w:rFonts w:hint="eastAsia" w:cs="Times New Roman"/>
          <w:color w:val="auto"/>
          <w:highlight w:val="none"/>
          <w:lang w:eastAsia="zh-CN"/>
        </w:rPr>
        <w:t>万</w:t>
      </w:r>
      <w:r>
        <w:rPr>
          <w:rFonts w:hint="default" w:ascii="Times New Roman" w:hAnsi="Times New Roman" w:eastAsia="仿宋_GB2312" w:cs="Times New Roman"/>
          <w:color w:val="auto"/>
          <w:highlight w:val="none"/>
        </w:rPr>
        <w:t>m³</w:t>
      </w:r>
    </w:p>
    <w:tbl>
      <w:tblPr>
        <w:tblStyle w:val="25"/>
        <w:tblW w:w="9060" w:type="dxa"/>
        <w:tblInd w:w="0" w:type="dxa"/>
        <w:tblLayout w:type="fixed"/>
        <w:tblCellMar>
          <w:top w:w="0" w:type="dxa"/>
          <w:left w:w="108" w:type="dxa"/>
          <w:bottom w:w="0" w:type="dxa"/>
          <w:right w:w="108" w:type="dxa"/>
        </w:tblCellMar>
      </w:tblPr>
      <w:tblGrid>
        <w:gridCol w:w="1809"/>
        <w:gridCol w:w="567"/>
        <w:gridCol w:w="1197"/>
        <w:gridCol w:w="827"/>
        <w:gridCol w:w="1027"/>
        <w:gridCol w:w="777"/>
        <w:gridCol w:w="799"/>
        <w:gridCol w:w="687"/>
        <w:gridCol w:w="687"/>
        <w:gridCol w:w="683"/>
      </w:tblGrid>
      <w:tr>
        <w:tblPrEx>
          <w:tblCellMar>
            <w:top w:w="0" w:type="dxa"/>
            <w:left w:w="108" w:type="dxa"/>
            <w:bottom w:w="0" w:type="dxa"/>
            <w:right w:w="108" w:type="dxa"/>
          </w:tblCellMar>
        </w:tblPrEx>
        <w:trPr>
          <w:trHeight w:val="284" w:hRule="atLeast"/>
        </w:trPr>
        <w:tc>
          <w:tcPr>
            <w:tcW w:w="18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项目组成</w:t>
            </w:r>
          </w:p>
        </w:tc>
        <w:tc>
          <w:tcPr>
            <w:tcW w:w="1764"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分部工程</w:t>
            </w:r>
          </w:p>
        </w:tc>
        <w:tc>
          <w:tcPr>
            <w:tcW w:w="82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挖方</w:t>
            </w:r>
          </w:p>
        </w:tc>
        <w:tc>
          <w:tcPr>
            <w:tcW w:w="1027" w:type="dxa"/>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填方</w:t>
            </w:r>
          </w:p>
        </w:tc>
        <w:tc>
          <w:tcPr>
            <w:tcW w:w="1576"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调入(</w:t>
            </w:r>
            <w:r>
              <w:rPr>
                <w:rFonts w:hint="eastAsia" w:eastAsia="仿宋_GB2312" w:cs="Times New Roman"/>
                <w:color w:val="auto"/>
                <w:kern w:val="0"/>
                <w:sz w:val="21"/>
                <w:szCs w:val="21"/>
                <w:highlight w:val="none"/>
                <w:lang w:eastAsia="zh-CN"/>
              </w:rPr>
              <w:t>万</w:t>
            </w:r>
            <w:r>
              <w:rPr>
                <w:rFonts w:hint="default" w:ascii="Times New Roman" w:hAnsi="Times New Roman" w:eastAsia="仿宋_GB2312" w:cs="Times New Roman"/>
                <w:color w:val="auto"/>
                <w:kern w:val="0"/>
                <w:sz w:val="21"/>
                <w:szCs w:val="21"/>
                <w:highlight w:val="none"/>
              </w:rPr>
              <w:t>m³)</w:t>
            </w:r>
          </w:p>
        </w:tc>
        <w:tc>
          <w:tcPr>
            <w:tcW w:w="1374"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调出(</w:t>
            </w:r>
            <w:r>
              <w:rPr>
                <w:rFonts w:hint="eastAsia" w:eastAsia="仿宋_GB2312" w:cs="Times New Roman"/>
                <w:color w:val="auto"/>
                <w:kern w:val="0"/>
                <w:sz w:val="21"/>
                <w:szCs w:val="21"/>
                <w:highlight w:val="none"/>
                <w:lang w:eastAsia="zh-CN"/>
              </w:rPr>
              <w:t>万</w:t>
            </w:r>
            <w:r>
              <w:rPr>
                <w:rFonts w:hint="default" w:ascii="Times New Roman" w:hAnsi="Times New Roman" w:eastAsia="仿宋_GB2312" w:cs="Times New Roman"/>
                <w:color w:val="auto"/>
                <w:kern w:val="0"/>
                <w:sz w:val="21"/>
                <w:szCs w:val="21"/>
                <w:highlight w:val="none"/>
              </w:rPr>
              <w:t>m³)</w:t>
            </w:r>
          </w:p>
        </w:tc>
        <w:tc>
          <w:tcPr>
            <w:tcW w:w="6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弃方</w:t>
            </w:r>
          </w:p>
        </w:tc>
      </w:tr>
      <w:tr>
        <w:tblPrEx>
          <w:tblCellMar>
            <w:top w:w="0" w:type="dxa"/>
            <w:left w:w="108" w:type="dxa"/>
            <w:bottom w:w="0" w:type="dxa"/>
            <w:right w:w="108" w:type="dxa"/>
          </w:tblCellMar>
        </w:tblPrEx>
        <w:trPr>
          <w:trHeight w:val="285" w:hRule="atLeast"/>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567"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序号</w:t>
            </w:r>
          </w:p>
        </w:tc>
        <w:tc>
          <w:tcPr>
            <w:tcW w:w="1197"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工程名称</w:t>
            </w:r>
          </w:p>
        </w:tc>
        <w:tc>
          <w:tcPr>
            <w:tcW w:w="827"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(m³)</w:t>
            </w:r>
          </w:p>
        </w:tc>
        <w:tc>
          <w:tcPr>
            <w:tcW w:w="1027"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(m³)</w:t>
            </w:r>
          </w:p>
        </w:tc>
        <w:tc>
          <w:tcPr>
            <w:tcW w:w="777"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数量</w:t>
            </w:r>
          </w:p>
        </w:tc>
        <w:tc>
          <w:tcPr>
            <w:tcW w:w="79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来源</w:t>
            </w:r>
          </w:p>
        </w:tc>
        <w:tc>
          <w:tcPr>
            <w:tcW w:w="687"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数量</w:t>
            </w:r>
          </w:p>
        </w:tc>
        <w:tc>
          <w:tcPr>
            <w:tcW w:w="687"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去向</w:t>
            </w:r>
          </w:p>
        </w:tc>
        <w:tc>
          <w:tcPr>
            <w:tcW w:w="683"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CellMar>
            <w:top w:w="0" w:type="dxa"/>
            <w:left w:w="108" w:type="dxa"/>
            <w:bottom w:w="0" w:type="dxa"/>
            <w:right w:w="108" w:type="dxa"/>
          </w:tblCellMar>
        </w:tblPrEx>
        <w:trPr>
          <w:trHeight w:val="285" w:hRule="atLeast"/>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567"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1197"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827"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1027"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777"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799"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687"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687" w:type="dxa"/>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683"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CellMar>
            <w:top w:w="0" w:type="dxa"/>
            <w:left w:w="108" w:type="dxa"/>
            <w:bottom w:w="0" w:type="dxa"/>
            <w:right w:w="108" w:type="dxa"/>
          </w:tblCellMar>
        </w:tblPrEx>
        <w:trPr>
          <w:trHeight w:val="284" w:hRule="atLeast"/>
        </w:trPr>
        <w:tc>
          <w:tcPr>
            <w:tcW w:w="180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建筑物区</w:t>
            </w:r>
          </w:p>
        </w:tc>
        <w:tc>
          <w:tcPr>
            <w:tcW w:w="56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①</w:t>
            </w:r>
          </w:p>
        </w:tc>
        <w:tc>
          <w:tcPr>
            <w:tcW w:w="119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基础开挖</w:t>
            </w:r>
          </w:p>
        </w:tc>
        <w:tc>
          <w:tcPr>
            <w:tcW w:w="82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0.11</w:t>
            </w:r>
          </w:p>
        </w:tc>
        <w:tc>
          <w:tcPr>
            <w:tcW w:w="102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0.09</w:t>
            </w:r>
          </w:p>
        </w:tc>
        <w:tc>
          <w:tcPr>
            <w:tcW w:w="77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79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68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0.02</w:t>
            </w:r>
          </w:p>
        </w:tc>
        <w:tc>
          <w:tcPr>
            <w:tcW w:w="68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eastAsia" w:ascii="Times New Roman" w:hAnsi="Times New Roman"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eastAsia="zh-CN"/>
              </w:rPr>
              <w:t>③</w:t>
            </w:r>
          </w:p>
        </w:tc>
        <w:tc>
          <w:tcPr>
            <w:tcW w:w="683"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CellMar>
            <w:top w:w="0" w:type="dxa"/>
            <w:left w:w="108" w:type="dxa"/>
            <w:bottom w:w="0" w:type="dxa"/>
            <w:right w:w="108" w:type="dxa"/>
          </w:tblCellMar>
        </w:tblPrEx>
        <w:trPr>
          <w:trHeight w:val="284" w:hRule="atLeast"/>
        </w:trPr>
        <w:tc>
          <w:tcPr>
            <w:tcW w:w="180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eastAsia" w:ascii="Times New Roman" w:hAnsi="Times New Roman"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eastAsia="zh-CN"/>
              </w:rPr>
              <w:t>管线工程</w:t>
            </w:r>
            <w:r>
              <w:rPr>
                <w:rFonts w:hint="default" w:ascii="Times New Roman" w:hAnsi="Times New Roman" w:eastAsia="仿宋_GB2312" w:cs="Times New Roman"/>
                <w:color w:val="auto"/>
                <w:kern w:val="0"/>
                <w:sz w:val="21"/>
                <w:szCs w:val="21"/>
                <w:highlight w:val="none"/>
              </w:rPr>
              <w:t>区</w:t>
            </w:r>
          </w:p>
        </w:tc>
        <w:tc>
          <w:tcPr>
            <w:tcW w:w="56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②</w:t>
            </w:r>
          </w:p>
        </w:tc>
        <w:tc>
          <w:tcPr>
            <w:tcW w:w="1197" w:type="dxa"/>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hint="eastAsia" w:ascii="Times New Roman" w:hAnsi="Times New Roman" w:eastAsia="仿宋_GB2312" w:cs="Times New Roman"/>
                <w:color w:val="auto"/>
                <w:kern w:val="0"/>
                <w:sz w:val="21"/>
                <w:szCs w:val="21"/>
                <w:highlight w:val="none"/>
                <w:lang w:eastAsia="zh-CN"/>
              </w:rPr>
            </w:pPr>
            <w:r>
              <w:rPr>
                <w:rFonts w:hint="eastAsia" w:ascii="Times New Roman" w:hAnsi="Times New Roman" w:eastAsia="仿宋_GB2312" w:cs="Times New Roman"/>
                <w:color w:val="auto"/>
                <w:kern w:val="0"/>
                <w:sz w:val="21"/>
                <w:szCs w:val="21"/>
                <w:highlight w:val="none"/>
                <w:lang w:eastAsia="zh-CN"/>
              </w:rPr>
              <w:t>土地平整</w:t>
            </w:r>
          </w:p>
        </w:tc>
        <w:tc>
          <w:tcPr>
            <w:tcW w:w="82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0.01</w:t>
            </w:r>
          </w:p>
        </w:tc>
        <w:tc>
          <w:tcPr>
            <w:tcW w:w="102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0.01</w:t>
            </w:r>
          </w:p>
        </w:tc>
        <w:tc>
          <w:tcPr>
            <w:tcW w:w="77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p>
        </w:tc>
        <w:tc>
          <w:tcPr>
            <w:tcW w:w="79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68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68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683"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CellMar>
            <w:top w:w="0" w:type="dxa"/>
            <w:left w:w="108" w:type="dxa"/>
            <w:bottom w:w="0" w:type="dxa"/>
            <w:right w:w="108" w:type="dxa"/>
          </w:tblCellMar>
        </w:tblPrEx>
        <w:trPr>
          <w:trHeight w:val="284" w:hRule="atLeast"/>
        </w:trPr>
        <w:tc>
          <w:tcPr>
            <w:tcW w:w="180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eastAsia" w:eastAsia="仿宋_GB2312" w:cs="Times New Roman"/>
                <w:color w:val="auto"/>
                <w:kern w:val="0"/>
                <w:sz w:val="21"/>
                <w:szCs w:val="21"/>
                <w:highlight w:val="none"/>
                <w:lang w:eastAsia="zh-CN"/>
              </w:rPr>
              <w:t>道路及</w:t>
            </w:r>
            <w:r>
              <w:rPr>
                <w:rFonts w:hint="default" w:ascii="Times New Roman" w:hAnsi="Times New Roman" w:eastAsia="仿宋_GB2312" w:cs="Times New Roman"/>
                <w:color w:val="auto"/>
                <w:kern w:val="0"/>
                <w:sz w:val="21"/>
                <w:szCs w:val="21"/>
                <w:highlight w:val="none"/>
              </w:rPr>
              <w:t>硬化区</w:t>
            </w:r>
          </w:p>
        </w:tc>
        <w:tc>
          <w:tcPr>
            <w:tcW w:w="56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③</w:t>
            </w:r>
          </w:p>
        </w:tc>
        <w:tc>
          <w:tcPr>
            <w:tcW w:w="1197" w:type="dxa"/>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82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0.02</w:t>
            </w:r>
          </w:p>
        </w:tc>
        <w:tc>
          <w:tcPr>
            <w:tcW w:w="102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0.04</w:t>
            </w:r>
          </w:p>
        </w:tc>
        <w:tc>
          <w:tcPr>
            <w:tcW w:w="77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0.02</w:t>
            </w:r>
          </w:p>
        </w:tc>
        <w:tc>
          <w:tcPr>
            <w:tcW w:w="79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eastAsia" w:ascii="Times New Roman" w:hAnsi="Times New Roman"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eastAsia="zh-CN"/>
              </w:rPr>
              <w:t>①</w:t>
            </w:r>
          </w:p>
        </w:tc>
        <w:tc>
          <w:tcPr>
            <w:tcW w:w="68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68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683"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CellMar>
            <w:top w:w="0" w:type="dxa"/>
            <w:left w:w="108" w:type="dxa"/>
            <w:bottom w:w="0" w:type="dxa"/>
            <w:right w:w="108" w:type="dxa"/>
          </w:tblCellMar>
        </w:tblPrEx>
        <w:trPr>
          <w:trHeight w:val="284" w:hRule="atLeast"/>
        </w:trPr>
        <w:tc>
          <w:tcPr>
            <w:tcW w:w="1809" w:type="dxa"/>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eastAsia" w:ascii="Times New Roman" w:hAnsi="Times New Roman" w:eastAsia="仿宋_GB2312" w:cs="Times New Roman"/>
                <w:color w:val="auto"/>
                <w:kern w:val="0"/>
                <w:sz w:val="21"/>
                <w:szCs w:val="21"/>
                <w:highlight w:val="none"/>
                <w:lang w:eastAsia="zh-CN"/>
              </w:rPr>
            </w:pPr>
            <w:r>
              <w:rPr>
                <w:rFonts w:hint="default" w:ascii="Times New Roman" w:hAnsi="Times New Roman" w:eastAsia="仿宋_GB2312" w:cs="Times New Roman"/>
                <w:color w:val="auto"/>
                <w:kern w:val="0"/>
                <w:sz w:val="21"/>
                <w:szCs w:val="21"/>
                <w:highlight w:val="none"/>
              </w:rPr>
              <w:t>*</w:t>
            </w:r>
            <w:r>
              <w:rPr>
                <w:rFonts w:hint="eastAsia" w:ascii="Times New Roman" w:hAnsi="Times New Roman" w:eastAsia="仿宋_GB2312" w:cs="Times New Roman"/>
                <w:color w:val="auto"/>
                <w:kern w:val="0"/>
                <w:sz w:val="21"/>
                <w:szCs w:val="21"/>
                <w:highlight w:val="none"/>
                <w:lang w:eastAsia="zh-CN"/>
              </w:rPr>
              <w:t>施工生产生活区</w:t>
            </w:r>
          </w:p>
        </w:tc>
        <w:tc>
          <w:tcPr>
            <w:tcW w:w="56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④</w:t>
            </w:r>
          </w:p>
        </w:tc>
        <w:tc>
          <w:tcPr>
            <w:tcW w:w="1197" w:type="dxa"/>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82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eastAsia"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w:t>
            </w:r>
          </w:p>
        </w:tc>
        <w:tc>
          <w:tcPr>
            <w:tcW w:w="102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eastAsia"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w:t>
            </w:r>
          </w:p>
        </w:tc>
        <w:tc>
          <w:tcPr>
            <w:tcW w:w="77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79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68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68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683"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CellMar>
            <w:top w:w="0" w:type="dxa"/>
            <w:left w:w="108" w:type="dxa"/>
            <w:bottom w:w="0" w:type="dxa"/>
            <w:right w:w="108" w:type="dxa"/>
          </w:tblCellMar>
        </w:tblPrEx>
        <w:trPr>
          <w:trHeight w:val="284" w:hRule="atLeast"/>
        </w:trPr>
        <w:tc>
          <w:tcPr>
            <w:tcW w:w="357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合  计</w:t>
            </w:r>
          </w:p>
        </w:tc>
        <w:tc>
          <w:tcPr>
            <w:tcW w:w="82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0.14</w:t>
            </w:r>
          </w:p>
        </w:tc>
        <w:tc>
          <w:tcPr>
            <w:tcW w:w="102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0.14</w:t>
            </w:r>
          </w:p>
        </w:tc>
        <w:tc>
          <w:tcPr>
            <w:tcW w:w="77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0.02</w:t>
            </w:r>
          </w:p>
        </w:tc>
        <w:tc>
          <w:tcPr>
            <w:tcW w:w="799"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68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0.02</w:t>
            </w:r>
          </w:p>
        </w:tc>
        <w:tc>
          <w:tcPr>
            <w:tcW w:w="687"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683" w:type="dxa"/>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bl>
    <w:p>
      <w:pPr>
        <w:pStyle w:val="76"/>
        <w:keepNext w:val="0"/>
        <w:keepLines w:val="0"/>
        <w:pageBreakBefore w:val="0"/>
        <w:widowControl/>
        <w:kinsoku/>
        <w:wordWrap/>
        <w:overflowPunct/>
        <w:topLinePunct w:val="0"/>
        <w:autoSpaceDE/>
        <w:autoSpaceDN/>
        <w:bidi w:val="0"/>
        <w:adjustRightInd w:val="0"/>
        <w:snapToGrid w:val="0"/>
        <w:spacing w:afterLines="50"/>
        <w:jc w:val="both"/>
        <w:textAlignment w:val="auto"/>
        <w:outlineLvl w:val="9"/>
        <w:rPr>
          <w:rFonts w:hint="eastAsia" w:ascii="Times New Roman" w:hAnsi="Times New Roman" w:eastAsia="仿宋_GB2312" w:cs="Times New Roman"/>
          <w:color w:val="auto"/>
          <w:highlight w:val="none"/>
          <w:lang w:eastAsia="zh-CN"/>
        </w:rPr>
      </w:pPr>
      <w:bookmarkStart w:id="79" w:name="_Toc417412312"/>
    </w:p>
    <w:p>
      <w:pPr>
        <w:pStyle w:val="76"/>
        <w:keepNext w:val="0"/>
        <w:keepLines w:val="0"/>
        <w:pageBreakBefore w:val="0"/>
        <w:widowControl/>
        <w:kinsoku/>
        <w:wordWrap/>
        <w:overflowPunct/>
        <w:topLinePunct w:val="0"/>
        <w:autoSpaceDE/>
        <w:autoSpaceDN/>
        <w:bidi w:val="0"/>
        <w:adjustRightInd w:val="0"/>
        <w:snapToGrid w:val="0"/>
        <w:spacing w:afterLines="50"/>
        <w:jc w:val="center"/>
        <w:textAlignment w:val="auto"/>
        <w:outlineLvl w:val="9"/>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drawing>
          <wp:inline distT="0" distB="0" distL="114300" distR="114300">
            <wp:extent cx="5901055" cy="2441575"/>
            <wp:effectExtent l="0" t="0" r="4445" b="15875"/>
            <wp:docPr id="22" name="图片 22" descr="土石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土石方"/>
                    <pic:cNvPicPr>
                      <a:picLocks noChangeAspect="1"/>
                    </pic:cNvPicPr>
                  </pic:nvPicPr>
                  <pic:blipFill>
                    <a:blip r:embed="rId39"/>
                    <a:stretch>
                      <a:fillRect/>
                    </a:stretch>
                  </pic:blipFill>
                  <pic:spPr>
                    <a:xfrm>
                      <a:off x="0" y="0"/>
                      <a:ext cx="5901055" cy="2441575"/>
                    </a:xfrm>
                    <a:prstGeom prst="rect">
                      <a:avLst/>
                    </a:prstGeom>
                  </pic:spPr>
                </pic:pic>
              </a:graphicData>
            </a:graphic>
          </wp:inline>
        </w:drawing>
      </w:r>
    </w:p>
    <w:p>
      <w:pPr>
        <w:pStyle w:val="76"/>
        <w:spacing w:afterLines="5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图2.4-1土石方流向图   单位：</w:t>
      </w:r>
      <w:r>
        <w:rPr>
          <w:rFonts w:hint="eastAsia" w:cs="Times New Roman"/>
          <w:color w:val="auto"/>
          <w:highlight w:val="none"/>
          <w:lang w:eastAsia="zh-CN"/>
        </w:rPr>
        <w:t>万</w:t>
      </w:r>
      <w:r>
        <w:rPr>
          <w:rFonts w:hint="default" w:ascii="Times New Roman" w:hAnsi="Times New Roman" w:eastAsia="仿宋_GB2312" w:cs="Times New Roman"/>
          <w:color w:val="auto"/>
          <w:highlight w:val="none"/>
        </w:rPr>
        <w:t>m³</w:t>
      </w:r>
    </w:p>
    <w:p>
      <w:pPr>
        <w:pStyle w:val="66"/>
        <w:ind w:firstLine="148"/>
        <w:rPr>
          <w:rFonts w:hint="default" w:ascii="Times New Roman" w:hAnsi="Times New Roman" w:eastAsia="仿宋_GB2312" w:cs="Times New Roman"/>
          <w:color w:val="auto"/>
          <w:highlight w:val="none"/>
        </w:rPr>
      </w:pPr>
      <w:bookmarkStart w:id="80" w:name="_Toc1484"/>
      <w:r>
        <w:rPr>
          <w:rFonts w:hint="default" w:ascii="Times New Roman" w:hAnsi="Times New Roman" w:eastAsia="仿宋_GB2312" w:cs="Times New Roman"/>
          <w:color w:val="auto"/>
          <w:highlight w:val="none"/>
        </w:rPr>
        <w:t>2.5 拆迁（移民）安置</w:t>
      </w:r>
      <w:bookmarkEnd w:id="79"/>
      <w:r>
        <w:rPr>
          <w:rFonts w:hint="default" w:ascii="Times New Roman" w:hAnsi="Times New Roman" w:eastAsia="仿宋_GB2312" w:cs="Times New Roman"/>
          <w:color w:val="auto"/>
          <w:highlight w:val="none"/>
        </w:rPr>
        <w:t>与专项设施改（迁）建</w:t>
      </w:r>
      <w:bookmarkEnd w:id="80"/>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项目区占地范围内无居民点以及生产设施等，本项目建设不存在拆迁安置问题。</w:t>
      </w:r>
    </w:p>
    <w:p>
      <w:pPr>
        <w:pStyle w:val="66"/>
        <w:ind w:firstLine="148"/>
        <w:rPr>
          <w:rFonts w:hint="default" w:ascii="Times New Roman" w:hAnsi="Times New Roman" w:eastAsia="仿宋_GB2312" w:cs="Times New Roman"/>
          <w:color w:val="auto"/>
          <w:highlight w:val="none"/>
        </w:rPr>
      </w:pPr>
      <w:bookmarkStart w:id="81" w:name="_Toc16589"/>
      <w:r>
        <w:rPr>
          <w:rFonts w:hint="default" w:ascii="Times New Roman" w:hAnsi="Times New Roman" w:eastAsia="仿宋_GB2312" w:cs="Times New Roman"/>
          <w:color w:val="auto"/>
          <w:highlight w:val="none"/>
        </w:rPr>
        <w:t>2.6 施工进度</w:t>
      </w:r>
      <w:bookmarkEnd w:id="81"/>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本工程</w:t>
      </w:r>
      <w:r>
        <w:rPr>
          <w:rFonts w:hint="eastAsia" w:cs="Times New Roman"/>
          <w:color w:val="auto"/>
          <w:highlight w:val="none"/>
          <w:lang w:eastAsia="zh-CN"/>
        </w:rPr>
        <w:t>将于</w:t>
      </w:r>
      <w:r>
        <w:rPr>
          <w:rFonts w:hint="default" w:ascii="Times New Roman" w:hAnsi="Times New Roman" w:eastAsia="仿宋_GB2312" w:cs="Times New Roman"/>
          <w:color w:val="auto"/>
          <w:highlight w:val="none"/>
        </w:rPr>
        <w:t>202</w:t>
      </w:r>
      <w:r>
        <w:rPr>
          <w:rFonts w:hint="eastAsia" w:cs="Times New Roman"/>
          <w:color w:val="auto"/>
          <w:highlight w:val="none"/>
          <w:lang w:val="en-US" w:eastAsia="zh-CN"/>
        </w:rPr>
        <w:t>1</w:t>
      </w:r>
      <w:r>
        <w:rPr>
          <w:rFonts w:hint="default" w:ascii="Times New Roman" w:hAnsi="Times New Roman" w:eastAsia="仿宋_GB2312" w:cs="Times New Roman"/>
          <w:color w:val="auto"/>
          <w:highlight w:val="none"/>
        </w:rPr>
        <w:t>年</w:t>
      </w:r>
      <w:r>
        <w:rPr>
          <w:rFonts w:hint="eastAsia" w:cs="Times New Roman"/>
          <w:color w:val="auto"/>
          <w:highlight w:val="none"/>
          <w:lang w:val="en-US" w:eastAsia="zh-CN"/>
        </w:rPr>
        <w:t>8</w:t>
      </w:r>
      <w:r>
        <w:rPr>
          <w:rFonts w:hint="default" w:ascii="Times New Roman" w:hAnsi="Times New Roman" w:eastAsia="仿宋_GB2312" w:cs="Times New Roman"/>
          <w:color w:val="auto"/>
          <w:highlight w:val="none"/>
        </w:rPr>
        <w:t>月开工建设，</w:t>
      </w:r>
      <w:r>
        <w:rPr>
          <w:rFonts w:hint="eastAsia" w:cs="Times New Roman"/>
          <w:color w:val="auto"/>
          <w:highlight w:val="none"/>
          <w:lang w:eastAsia="zh-CN"/>
        </w:rPr>
        <w:t>于</w:t>
      </w:r>
      <w:r>
        <w:rPr>
          <w:rFonts w:hint="eastAsia" w:cs="Times New Roman"/>
          <w:color w:val="auto"/>
          <w:highlight w:val="none"/>
          <w:lang w:val="en-US" w:eastAsia="zh-CN"/>
        </w:rPr>
        <w:t>2022年6月完工，</w:t>
      </w:r>
      <w:r>
        <w:rPr>
          <w:rFonts w:hint="default" w:ascii="Times New Roman" w:hAnsi="Times New Roman" w:eastAsia="仿宋_GB2312" w:cs="Times New Roman"/>
          <w:color w:val="auto"/>
          <w:highlight w:val="none"/>
        </w:rPr>
        <w:t>总工期</w:t>
      </w:r>
      <w:r>
        <w:rPr>
          <w:rFonts w:hint="eastAsia" w:cs="Times New Roman"/>
          <w:color w:val="auto"/>
          <w:highlight w:val="none"/>
          <w:lang w:val="en-US" w:eastAsia="zh-CN"/>
        </w:rPr>
        <w:t>11</w:t>
      </w:r>
      <w:r>
        <w:rPr>
          <w:rFonts w:hint="default" w:ascii="Times New Roman" w:hAnsi="Times New Roman" w:eastAsia="仿宋_GB2312" w:cs="Times New Roman"/>
          <w:color w:val="auto"/>
          <w:highlight w:val="none"/>
        </w:rPr>
        <w:t>个月。</w:t>
      </w:r>
    </w:p>
    <w:p>
      <w:pPr>
        <w:pStyle w:val="76"/>
        <w:keepNext w:val="0"/>
        <w:keepLines w:val="0"/>
        <w:pageBreakBefore w:val="0"/>
        <w:widowControl/>
        <w:kinsoku/>
        <w:wordWrap/>
        <w:overflowPunct/>
        <w:topLinePunct w:val="0"/>
        <w:autoSpaceDE/>
        <w:autoSpaceDN/>
        <w:bidi w:val="0"/>
        <w:adjustRightInd w:val="0"/>
        <w:snapToGrid w:val="0"/>
        <w:spacing w:afterLines="50"/>
        <w:textAlignment w:val="auto"/>
        <w:outlineLvl w:val="9"/>
        <w:rPr>
          <w:rFonts w:hint="default" w:ascii="Times New Roman" w:hAnsi="Times New Roman" w:eastAsia="仿宋_GB2312" w:cs="Times New Roman"/>
          <w:color w:val="auto"/>
          <w:highlight w:val="none"/>
        </w:rPr>
      </w:pPr>
    </w:p>
    <w:p>
      <w:pPr>
        <w:pStyle w:val="76"/>
        <w:keepNext w:val="0"/>
        <w:keepLines w:val="0"/>
        <w:pageBreakBefore w:val="0"/>
        <w:widowControl/>
        <w:kinsoku/>
        <w:wordWrap/>
        <w:overflowPunct/>
        <w:topLinePunct w:val="0"/>
        <w:autoSpaceDE/>
        <w:autoSpaceDN/>
        <w:bidi w:val="0"/>
        <w:adjustRightInd w:val="0"/>
        <w:snapToGrid w:val="0"/>
        <w:spacing w:afterLines="50"/>
        <w:textAlignment w:val="auto"/>
        <w:outlineLvl w:val="9"/>
        <w:rPr>
          <w:rFonts w:hint="default" w:ascii="Times New Roman" w:hAnsi="Times New Roman" w:eastAsia="仿宋_GB2312" w:cs="Times New Roman"/>
          <w:color w:val="auto"/>
          <w:highlight w:val="none"/>
        </w:rPr>
      </w:pPr>
    </w:p>
    <w:p>
      <w:pPr>
        <w:pStyle w:val="76"/>
        <w:keepNext w:val="0"/>
        <w:keepLines w:val="0"/>
        <w:pageBreakBefore w:val="0"/>
        <w:widowControl/>
        <w:kinsoku/>
        <w:wordWrap/>
        <w:overflowPunct/>
        <w:topLinePunct w:val="0"/>
        <w:autoSpaceDE/>
        <w:autoSpaceDN/>
        <w:bidi w:val="0"/>
        <w:adjustRightInd w:val="0"/>
        <w:snapToGrid w:val="0"/>
        <w:spacing w:afterLines="50"/>
        <w:textAlignment w:val="auto"/>
        <w:outlineLvl w:val="9"/>
        <w:rPr>
          <w:rFonts w:hint="default" w:ascii="Times New Roman" w:hAnsi="Times New Roman" w:eastAsia="仿宋_GB2312" w:cs="Times New Roman"/>
          <w:color w:val="auto"/>
          <w:highlight w:val="none"/>
        </w:rPr>
      </w:pPr>
    </w:p>
    <w:p>
      <w:pPr>
        <w:pStyle w:val="76"/>
        <w:keepNext w:val="0"/>
        <w:keepLines w:val="0"/>
        <w:pageBreakBefore w:val="0"/>
        <w:widowControl/>
        <w:kinsoku/>
        <w:wordWrap/>
        <w:overflowPunct/>
        <w:topLinePunct w:val="0"/>
        <w:autoSpaceDE/>
        <w:autoSpaceDN/>
        <w:bidi w:val="0"/>
        <w:adjustRightInd w:val="0"/>
        <w:snapToGrid w:val="0"/>
        <w:spacing w:afterLines="50"/>
        <w:textAlignment w:val="auto"/>
        <w:outlineLvl w:val="9"/>
        <w:rPr>
          <w:rFonts w:hint="default" w:ascii="Times New Roman" w:hAnsi="Times New Roman" w:eastAsia="仿宋_GB2312" w:cs="Times New Roman"/>
          <w:color w:val="auto"/>
          <w:highlight w:val="none"/>
        </w:rPr>
      </w:pPr>
    </w:p>
    <w:p>
      <w:pPr>
        <w:pStyle w:val="76"/>
        <w:keepNext w:val="0"/>
        <w:keepLines w:val="0"/>
        <w:pageBreakBefore w:val="0"/>
        <w:widowControl/>
        <w:kinsoku/>
        <w:wordWrap/>
        <w:overflowPunct/>
        <w:topLinePunct w:val="0"/>
        <w:autoSpaceDE/>
        <w:autoSpaceDN/>
        <w:bidi w:val="0"/>
        <w:adjustRightInd w:val="0"/>
        <w:snapToGrid w:val="0"/>
        <w:spacing w:afterLines="50"/>
        <w:textAlignment w:val="auto"/>
        <w:outlineLvl w:val="9"/>
        <w:rPr>
          <w:rFonts w:hint="default" w:ascii="Times New Roman" w:hAnsi="Times New Roman" w:eastAsia="仿宋_GB2312" w:cs="Times New Roman"/>
          <w:color w:val="auto"/>
          <w:highlight w:val="none"/>
        </w:rPr>
      </w:pPr>
    </w:p>
    <w:p>
      <w:pPr>
        <w:pStyle w:val="76"/>
        <w:keepNext w:val="0"/>
        <w:keepLines w:val="0"/>
        <w:pageBreakBefore w:val="0"/>
        <w:widowControl/>
        <w:kinsoku/>
        <w:wordWrap/>
        <w:overflowPunct/>
        <w:topLinePunct w:val="0"/>
        <w:autoSpaceDE/>
        <w:autoSpaceDN/>
        <w:bidi w:val="0"/>
        <w:adjustRightInd w:val="0"/>
        <w:snapToGrid w:val="0"/>
        <w:spacing w:afterLines="50"/>
        <w:textAlignment w:val="auto"/>
        <w:outlineLvl w:val="9"/>
        <w:rPr>
          <w:rFonts w:hint="default" w:ascii="Times New Roman" w:hAnsi="Times New Roman" w:eastAsia="仿宋_GB2312" w:cs="Times New Roman"/>
          <w:color w:val="auto"/>
          <w:highlight w:val="none"/>
        </w:rPr>
      </w:pPr>
    </w:p>
    <w:p>
      <w:pPr>
        <w:pStyle w:val="76"/>
        <w:keepNext w:val="0"/>
        <w:keepLines w:val="0"/>
        <w:pageBreakBefore w:val="0"/>
        <w:widowControl/>
        <w:kinsoku/>
        <w:wordWrap/>
        <w:overflowPunct/>
        <w:topLinePunct w:val="0"/>
        <w:autoSpaceDE/>
        <w:autoSpaceDN/>
        <w:bidi w:val="0"/>
        <w:adjustRightInd w:val="0"/>
        <w:snapToGrid w:val="0"/>
        <w:spacing w:afterLines="50"/>
        <w:textAlignment w:val="auto"/>
        <w:outlineLvl w:val="9"/>
        <w:rPr>
          <w:rFonts w:hint="default" w:ascii="Times New Roman" w:hAnsi="Times New Roman" w:eastAsia="仿宋_GB2312" w:cs="Times New Roman"/>
          <w:color w:val="auto"/>
          <w:highlight w:val="none"/>
        </w:rPr>
      </w:pPr>
    </w:p>
    <w:p>
      <w:pPr>
        <w:pStyle w:val="76"/>
        <w:spacing w:afterLines="5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表2.6-1项目施工进度表</w:t>
      </w:r>
    </w:p>
    <w:p>
      <w:pPr>
        <w:pStyle w:val="55"/>
        <w:ind w:left="0" w:leftChars="0" w:firstLine="0" w:firstLineChars="0"/>
        <w:jc w:val="center"/>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drawing>
          <wp:inline distT="0" distB="0" distL="114300" distR="114300">
            <wp:extent cx="5221605" cy="1350010"/>
            <wp:effectExtent l="0" t="0" r="17145" b="2540"/>
            <wp:docPr id="26"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
                    <pic:cNvPicPr>
                      <a:picLocks noChangeAspect="1"/>
                    </pic:cNvPicPr>
                  </pic:nvPicPr>
                  <pic:blipFill>
                    <a:blip r:embed="rId40"/>
                    <a:stretch>
                      <a:fillRect/>
                    </a:stretch>
                  </pic:blipFill>
                  <pic:spPr>
                    <a:xfrm>
                      <a:off x="0" y="0"/>
                      <a:ext cx="5221605" cy="1350010"/>
                    </a:xfrm>
                    <a:prstGeom prst="rect">
                      <a:avLst/>
                    </a:prstGeom>
                  </pic:spPr>
                </pic:pic>
              </a:graphicData>
            </a:graphic>
          </wp:inline>
        </w:drawing>
      </w:r>
    </w:p>
    <w:p>
      <w:pPr>
        <w:pStyle w:val="66"/>
        <w:ind w:firstLine="148"/>
        <w:rPr>
          <w:rFonts w:hint="default" w:ascii="Times New Roman" w:hAnsi="Times New Roman" w:eastAsia="仿宋_GB2312" w:cs="Times New Roman"/>
          <w:color w:val="auto"/>
          <w:highlight w:val="none"/>
        </w:rPr>
      </w:pPr>
      <w:bookmarkStart w:id="82" w:name="_Toc13679"/>
      <w:r>
        <w:rPr>
          <w:rFonts w:hint="default" w:ascii="Times New Roman" w:hAnsi="Times New Roman" w:eastAsia="仿宋_GB2312" w:cs="Times New Roman"/>
          <w:color w:val="auto"/>
          <w:highlight w:val="none"/>
        </w:rPr>
        <w:t>2.7 自然概况</w:t>
      </w:r>
      <w:bookmarkEnd w:id="82"/>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2.7.1 地形地貌</w:t>
      </w:r>
    </w:p>
    <w:p>
      <w:pPr>
        <w:pStyle w:val="55"/>
        <w:ind w:firstLine="480"/>
        <w:rPr>
          <w:rFonts w:hint="eastAsia" w:cs="Times New Roman"/>
          <w:color w:val="auto"/>
          <w:highlight w:val="none"/>
          <w:lang w:eastAsia="zh-CN"/>
        </w:rPr>
      </w:pPr>
      <w:r>
        <w:rPr>
          <w:rFonts w:hint="eastAsia" w:cs="Times New Roman"/>
          <w:color w:val="auto"/>
          <w:highlight w:val="none"/>
          <w:lang w:eastAsia="zh-CN"/>
        </w:rPr>
        <w:t>策勒县地形南高北低，南部山峰连绵，峡谷纵横，中部地势平坦，砾漠伴农田，北部沙丘林立，沙漠无际，除发源于南部的昆仑山南坡的玉龙喀什河流入和田县以外，发源于昆仑山北坡的所有河流沿中部山麓倾斜平原向北部沙漠区流去。</w:t>
      </w:r>
    </w:p>
    <w:p>
      <w:pPr>
        <w:pStyle w:val="55"/>
        <w:ind w:firstLine="480"/>
        <w:rPr>
          <w:rFonts w:hint="eastAsia" w:cs="Times New Roman"/>
          <w:color w:val="auto"/>
          <w:highlight w:val="none"/>
          <w:lang w:eastAsia="zh-CN"/>
        </w:rPr>
      </w:pPr>
      <w:r>
        <w:rPr>
          <w:rFonts w:hint="eastAsia" w:cs="Times New Roman"/>
          <w:color w:val="auto"/>
          <w:highlight w:val="none"/>
          <w:lang w:eastAsia="zh-CN"/>
        </w:rPr>
        <w:t>从不同地质地貌特点，策勒县由南向北大致可以分为南部高山区、丘陵起伏区、砾石戈壁带、冲积平原区这四个地貌单元。</w:t>
      </w:r>
    </w:p>
    <w:p>
      <w:pPr>
        <w:pStyle w:val="55"/>
        <w:ind w:firstLine="480"/>
        <w:rPr>
          <w:rFonts w:hint="default" w:ascii="Times New Roman" w:hAnsi="Times New Roman" w:eastAsia="仿宋_GB2312" w:cs="Times New Roman"/>
          <w:color w:val="auto"/>
          <w:highlight w:val="none"/>
        </w:rPr>
      </w:pPr>
      <w:r>
        <w:rPr>
          <w:rFonts w:hint="eastAsia" w:cs="Times New Roman"/>
          <w:color w:val="auto"/>
          <w:highlight w:val="none"/>
          <w:lang w:eastAsia="zh-CN"/>
        </w:rPr>
        <w:t>场地位于策勒县县城内，地貌上属于冲洪积平原区，地层主要为第四系冲洪积堆积物，场地内地形平坦</w:t>
      </w:r>
      <w:r>
        <w:rPr>
          <w:rFonts w:hint="default" w:ascii="Times New Roman" w:hAnsi="Times New Roman" w:eastAsia="仿宋_GB2312" w:cs="Times New Roman"/>
          <w:color w:val="auto"/>
          <w:highlight w:val="none"/>
        </w:rPr>
        <w:t>。</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2.7.2 地质</w:t>
      </w:r>
    </w:p>
    <w:p>
      <w:pPr>
        <w:pStyle w:val="55"/>
        <w:ind w:firstLine="480"/>
        <w:rPr>
          <w:rFonts w:hint="default" w:ascii="Times New Roman" w:hAnsi="Times New Roman" w:eastAsia="仿宋_GB2312" w:cs="Times New Roman"/>
          <w:color w:val="auto"/>
          <w:szCs w:val="22"/>
          <w:highlight w:val="none"/>
        </w:rPr>
      </w:pPr>
      <w:r>
        <w:rPr>
          <w:rFonts w:hint="default" w:ascii="Times New Roman" w:hAnsi="Times New Roman" w:eastAsia="仿宋_GB2312" w:cs="Times New Roman"/>
          <w:color w:val="auto"/>
          <w:szCs w:val="22"/>
          <w:highlight w:val="none"/>
        </w:rPr>
        <w:t>根据《新疆区域地质志》的划分，项目区处于四级构造单元和田凹陷内，和田坳陷位于塔里木台地南缘，西延伸区外，东至古拉哈玛，北至西南斜坡，属♘仑山山前凹陷。整个晚古生代及中、新生代，和田坳陷总的是下降趋势，沉积了较♘的第四纪堆积物，属地质构造稳定区域。</w:t>
      </w:r>
    </w:p>
    <w:p>
      <w:pPr>
        <w:pStyle w:val="55"/>
        <w:ind w:firstLine="480"/>
        <w:rPr>
          <w:rFonts w:hint="default" w:ascii="Times New Roman" w:hAnsi="Times New Roman" w:eastAsia="仿宋_GB2312" w:cs="Times New Roman"/>
          <w:color w:val="auto"/>
          <w:szCs w:val="22"/>
          <w:highlight w:val="none"/>
        </w:rPr>
      </w:pPr>
      <w:r>
        <w:rPr>
          <w:rFonts w:hint="default" w:ascii="Times New Roman" w:hAnsi="Times New Roman" w:eastAsia="仿宋_GB2312" w:cs="Times New Roman"/>
          <w:color w:val="auto"/>
          <w:szCs w:val="22"/>
          <w:highlight w:val="none"/>
        </w:rPr>
        <w:t>根据本项目地勘报告，拟建场地地层构成简单，在勘探深度（20.00m）范围内主要由耕土、粉砂和卵石组成。</w:t>
      </w:r>
    </w:p>
    <w:p>
      <w:pPr>
        <w:pStyle w:val="55"/>
        <w:ind w:firstLine="480"/>
        <w:rPr>
          <w:rFonts w:hint="default" w:ascii="Times New Roman" w:hAnsi="Times New Roman" w:eastAsia="仿宋_GB2312" w:cs="Times New Roman"/>
          <w:color w:val="auto"/>
          <w:szCs w:val="22"/>
          <w:highlight w:val="none"/>
        </w:rPr>
      </w:pPr>
      <w:r>
        <w:rPr>
          <w:rFonts w:hint="default" w:ascii="Times New Roman" w:hAnsi="Times New Roman" w:eastAsia="仿宋_GB2312" w:cs="Times New Roman"/>
          <w:color w:val="auto"/>
          <w:szCs w:val="22"/>
          <w:highlight w:val="none"/>
        </w:rPr>
        <w:t>据根据1:400万《中国地震动参数区划图》(GB18306-2015)及《建筑抗震设计规范》，拟建场地的建筑场地类别为</w:t>
      </w:r>
      <w:r>
        <w:rPr>
          <w:rFonts w:hint="eastAsia" w:cs="Times New Roman"/>
          <w:color w:val="auto"/>
          <w:szCs w:val="22"/>
          <w:highlight w:val="none"/>
          <w:lang w:val="en-US" w:eastAsia="zh-CN"/>
        </w:rPr>
        <w:t>Ⅱ</w:t>
      </w:r>
      <w:r>
        <w:rPr>
          <w:rFonts w:hint="default" w:ascii="Times New Roman" w:hAnsi="Times New Roman" w:eastAsia="仿宋_GB2312" w:cs="Times New Roman"/>
          <w:color w:val="auto"/>
          <w:szCs w:val="22"/>
          <w:highlight w:val="none"/>
        </w:rPr>
        <w:t>类，本区抗震设防烈度7度，地震分组为第二组，设计基本地震加速度值为0.15g，场地特征周期0.40s。</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2.7.3 气象</w:t>
      </w:r>
    </w:p>
    <w:p>
      <w:pPr>
        <w:pStyle w:val="55"/>
        <w:ind w:firstLine="480"/>
        <w:rPr>
          <w:rFonts w:hint="default" w:ascii="Times New Roman" w:hAnsi="Times New Roman" w:eastAsia="仿宋_GB2312" w:cs="Times New Roman"/>
          <w:color w:val="auto"/>
          <w:szCs w:val="22"/>
          <w:highlight w:val="none"/>
        </w:rPr>
      </w:pPr>
      <w:bookmarkStart w:id="83" w:name="_Toc234207293"/>
      <w:bookmarkStart w:id="84" w:name="_Toc228880925"/>
      <w:r>
        <w:rPr>
          <w:rFonts w:hint="default" w:ascii="Times New Roman" w:hAnsi="Times New Roman" w:eastAsia="仿宋_GB2312" w:cs="Times New Roman"/>
          <w:color w:val="auto"/>
          <w:szCs w:val="22"/>
          <w:highlight w:val="none"/>
        </w:rPr>
        <w:t>策勒县处于欧亚大陆腹地，属暖温带荒漠干旱气候区。南部山区为温带或寒带气候，绿洲平原地区为暖温带干旱荒漠气候，北部沙漠为典型的大陆荒漠气候。总的气候特征是光能和热量资料丰富，气温变化剧烈、平原区降水稀少、蒸发强烈，大气极端干燥，多风沙。平原地带四季气候的基本特点：春长风沙多，夏热且干旱，秋凉降温快，雪少冬不寒。</w:t>
      </w:r>
    </w:p>
    <w:p>
      <w:pPr>
        <w:pStyle w:val="55"/>
        <w:ind w:firstLine="480"/>
      </w:pPr>
      <w:r>
        <w:rPr>
          <w:rFonts w:hint="default" w:ascii="Times New Roman" w:hAnsi="Times New Roman" w:eastAsia="仿宋_GB2312" w:cs="Times New Roman"/>
          <w:color w:val="auto"/>
          <w:szCs w:val="22"/>
          <w:highlight w:val="none"/>
        </w:rPr>
        <w:t>策勒县年平均降水量为35.5mm，年平均蒸发量为2741.6mm，年日照时数为：2690.3小时，年平均温度为12.2℃，极端最高气温为42.0℃，极端最低气温为-23.9℃，平均无霜期为235天，平均大风日数为1.8天，平均浮尘日数为147.6天，平均扬沙日数为46.9天，平均沙尘暴日数为20.4天，年平均风速为1.6m/s，最多风向盛行西风，历年极大风速为28m/s。平均高温日数为23.7天，≥0℃积温为4782.0℃，≥5℃积温为4656.5℃。主要气象条件如下</w:t>
      </w:r>
      <w:r>
        <w:t>：</w:t>
      </w:r>
    </w:p>
    <w:p>
      <w:pPr>
        <w:keepNext w:val="0"/>
        <w:keepLines w:val="0"/>
        <w:pageBreakBefore w:val="0"/>
        <w:widowControl w:val="0"/>
        <w:tabs>
          <w:tab w:val="left" w:pos="3367"/>
        </w:tabs>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sz w:val="5"/>
        </w:rPr>
      </w:pPr>
      <w:r>
        <w:rPr>
          <w:rFonts w:hint="default" w:ascii="Times New Roman" w:hAnsi="Times New Roman" w:eastAsia="仿宋_GB2312" w:cs="Times New Roman"/>
          <w:b/>
          <w:bCs/>
          <w:color w:val="auto"/>
          <w:kern w:val="0"/>
          <w:sz w:val="24"/>
          <w:szCs w:val="21"/>
          <w:highlight w:val="none"/>
          <w:lang w:val="en-US" w:eastAsia="zh-CN" w:bidi="ar-SA"/>
        </w:rPr>
        <w:t>表 2.7-1项目区主要气象资料统计表</w:t>
      </w:r>
    </w:p>
    <w:tbl>
      <w:tblPr>
        <w:tblStyle w:val="2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73"/>
        <w:gridCol w:w="2608"/>
        <w:gridCol w:w="889"/>
        <w:gridCol w:w="1194"/>
        <w:gridCol w:w="2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序号</w:t>
            </w:r>
          </w:p>
        </w:tc>
        <w:tc>
          <w:tcPr>
            <w:tcW w:w="1473"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项 目</w:t>
            </w:r>
          </w:p>
        </w:tc>
        <w:tc>
          <w:tcPr>
            <w:tcW w:w="50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单位</w:t>
            </w:r>
          </w:p>
        </w:tc>
        <w:tc>
          <w:tcPr>
            <w:tcW w:w="674"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数值</w:t>
            </w:r>
          </w:p>
        </w:tc>
        <w:tc>
          <w:tcPr>
            <w:tcW w:w="1517"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3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1</w:t>
            </w:r>
          </w:p>
        </w:tc>
        <w:tc>
          <w:tcPr>
            <w:tcW w:w="1473"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年平均温度</w:t>
            </w:r>
          </w:p>
        </w:tc>
        <w:tc>
          <w:tcPr>
            <w:tcW w:w="50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w:t>
            </w:r>
          </w:p>
        </w:tc>
        <w:tc>
          <w:tcPr>
            <w:tcW w:w="674"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12.2</w:t>
            </w:r>
          </w:p>
        </w:tc>
        <w:tc>
          <w:tcPr>
            <w:tcW w:w="1517"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5" w:hRule="atLeast"/>
        </w:trPr>
        <w:tc>
          <w:tcPr>
            <w:tcW w:w="83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2</w:t>
            </w:r>
          </w:p>
        </w:tc>
        <w:tc>
          <w:tcPr>
            <w:tcW w:w="1473"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极端最高气温</w:t>
            </w:r>
          </w:p>
        </w:tc>
        <w:tc>
          <w:tcPr>
            <w:tcW w:w="50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w:t>
            </w:r>
          </w:p>
        </w:tc>
        <w:tc>
          <w:tcPr>
            <w:tcW w:w="674"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42.0</w:t>
            </w:r>
          </w:p>
        </w:tc>
        <w:tc>
          <w:tcPr>
            <w:tcW w:w="1517"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83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3</w:t>
            </w:r>
          </w:p>
        </w:tc>
        <w:tc>
          <w:tcPr>
            <w:tcW w:w="1473"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极端最低气温</w:t>
            </w:r>
          </w:p>
        </w:tc>
        <w:tc>
          <w:tcPr>
            <w:tcW w:w="50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w:t>
            </w:r>
          </w:p>
        </w:tc>
        <w:tc>
          <w:tcPr>
            <w:tcW w:w="674"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-23.9</w:t>
            </w:r>
          </w:p>
        </w:tc>
        <w:tc>
          <w:tcPr>
            <w:tcW w:w="1517"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2" w:hRule="atLeast"/>
        </w:trPr>
        <w:tc>
          <w:tcPr>
            <w:tcW w:w="83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4</w:t>
            </w:r>
          </w:p>
        </w:tc>
        <w:tc>
          <w:tcPr>
            <w:tcW w:w="1473"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年均最高气温</w:t>
            </w:r>
          </w:p>
        </w:tc>
        <w:tc>
          <w:tcPr>
            <w:tcW w:w="50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w:t>
            </w:r>
          </w:p>
        </w:tc>
        <w:tc>
          <w:tcPr>
            <w:tcW w:w="674"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21.50</w:t>
            </w:r>
          </w:p>
        </w:tc>
        <w:tc>
          <w:tcPr>
            <w:tcW w:w="1517"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 w:hRule="atLeast"/>
        </w:trPr>
        <w:tc>
          <w:tcPr>
            <w:tcW w:w="83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5</w:t>
            </w:r>
          </w:p>
        </w:tc>
        <w:tc>
          <w:tcPr>
            <w:tcW w:w="1473"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年均最低气温</w:t>
            </w:r>
          </w:p>
        </w:tc>
        <w:tc>
          <w:tcPr>
            <w:tcW w:w="50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w:t>
            </w:r>
          </w:p>
        </w:tc>
        <w:tc>
          <w:tcPr>
            <w:tcW w:w="674"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-12.5</w:t>
            </w:r>
          </w:p>
        </w:tc>
        <w:tc>
          <w:tcPr>
            <w:tcW w:w="1517"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83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6</w:t>
            </w:r>
          </w:p>
        </w:tc>
        <w:tc>
          <w:tcPr>
            <w:tcW w:w="1473"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年平均降水量</w:t>
            </w:r>
          </w:p>
        </w:tc>
        <w:tc>
          <w:tcPr>
            <w:tcW w:w="50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mm</w:t>
            </w:r>
          </w:p>
        </w:tc>
        <w:tc>
          <w:tcPr>
            <w:tcW w:w="674"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35.5</w:t>
            </w:r>
          </w:p>
        </w:tc>
        <w:tc>
          <w:tcPr>
            <w:tcW w:w="1517"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（雨季为每年的4月～9月）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0" w:hRule="atLeast"/>
        </w:trPr>
        <w:tc>
          <w:tcPr>
            <w:tcW w:w="83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7</w:t>
            </w:r>
          </w:p>
        </w:tc>
        <w:tc>
          <w:tcPr>
            <w:tcW w:w="1473"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最大日降水量</w:t>
            </w:r>
          </w:p>
        </w:tc>
        <w:tc>
          <w:tcPr>
            <w:tcW w:w="50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mm</w:t>
            </w:r>
          </w:p>
        </w:tc>
        <w:tc>
          <w:tcPr>
            <w:tcW w:w="674"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25.7</w:t>
            </w:r>
          </w:p>
        </w:tc>
        <w:tc>
          <w:tcPr>
            <w:tcW w:w="1517"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 w:hRule="atLeast"/>
        </w:trPr>
        <w:tc>
          <w:tcPr>
            <w:tcW w:w="83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8</w:t>
            </w:r>
          </w:p>
        </w:tc>
        <w:tc>
          <w:tcPr>
            <w:tcW w:w="1473"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年平均蒸发量</w:t>
            </w:r>
          </w:p>
        </w:tc>
        <w:tc>
          <w:tcPr>
            <w:tcW w:w="50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mm</w:t>
            </w:r>
          </w:p>
        </w:tc>
        <w:tc>
          <w:tcPr>
            <w:tcW w:w="674"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2741.6</w:t>
            </w:r>
          </w:p>
        </w:tc>
        <w:tc>
          <w:tcPr>
            <w:tcW w:w="1517"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5" w:hRule="atLeast"/>
        </w:trPr>
        <w:tc>
          <w:tcPr>
            <w:tcW w:w="83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9</w:t>
            </w:r>
          </w:p>
        </w:tc>
        <w:tc>
          <w:tcPr>
            <w:tcW w:w="1473"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年平均风速</w:t>
            </w:r>
          </w:p>
        </w:tc>
        <w:tc>
          <w:tcPr>
            <w:tcW w:w="50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m/s</w:t>
            </w:r>
          </w:p>
        </w:tc>
        <w:tc>
          <w:tcPr>
            <w:tcW w:w="674"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1.6</w:t>
            </w:r>
          </w:p>
        </w:tc>
        <w:tc>
          <w:tcPr>
            <w:tcW w:w="1517"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（风季为每年的3月～8月）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83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10</w:t>
            </w:r>
          </w:p>
        </w:tc>
        <w:tc>
          <w:tcPr>
            <w:tcW w:w="1473"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瞬时极大风速</w:t>
            </w:r>
          </w:p>
        </w:tc>
        <w:tc>
          <w:tcPr>
            <w:tcW w:w="50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m/s</w:t>
            </w:r>
          </w:p>
        </w:tc>
        <w:tc>
          <w:tcPr>
            <w:tcW w:w="674"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28</w:t>
            </w:r>
          </w:p>
        </w:tc>
        <w:tc>
          <w:tcPr>
            <w:tcW w:w="1517"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 w:hRule="atLeast"/>
        </w:trPr>
        <w:tc>
          <w:tcPr>
            <w:tcW w:w="83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11</w:t>
            </w:r>
          </w:p>
        </w:tc>
        <w:tc>
          <w:tcPr>
            <w:tcW w:w="1473"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多年平均气压</w:t>
            </w:r>
          </w:p>
        </w:tc>
        <w:tc>
          <w:tcPr>
            <w:tcW w:w="50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hPa</w:t>
            </w:r>
          </w:p>
        </w:tc>
        <w:tc>
          <w:tcPr>
            <w:tcW w:w="674"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869</w:t>
            </w:r>
          </w:p>
        </w:tc>
        <w:tc>
          <w:tcPr>
            <w:tcW w:w="1517"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83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12</w:t>
            </w:r>
          </w:p>
        </w:tc>
        <w:tc>
          <w:tcPr>
            <w:tcW w:w="1473"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≥0℃的积温</w:t>
            </w:r>
          </w:p>
        </w:tc>
        <w:tc>
          <w:tcPr>
            <w:tcW w:w="50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w:t>
            </w:r>
          </w:p>
        </w:tc>
        <w:tc>
          <w:tcPr>
            <w:tcW w:w="674"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4782.0</w:t>
            </w:r>
          </w:p>
        </w:tc>
        <w:tc>
          <w:tcPr>
            <w:tcW w:w="1517"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 w:hRule="atLeast"/>
        </w:trPr>
        <w:tc>
          <w:tcPr>
            <w:tcW w:w="83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13</w:t>
            </w:r>
          </w:p>
        </w:tc>
        <w:tc>
          <w:tcPr>
            <w:tcW w:w="1473"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年最大冻土深度</w:t>
            </w:r>
          </w:p>
        </w:tc>
        <w:tc>
          <w:tcPr>
            <w:tcW w:w="50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cm</w:t>
            </w:r>
          </w:p>
        </w:tc>
        <w:tc>
          <w:tcPr>
            <w:tcW w:w="674"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63</w:t>
            </w:r>
          </w:p>
        </w:tc>
        <w:tc>
          <w:tcPr>
            <w:tcW w:w="1517"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2" w:hRule="atLeast"/>
        </w:trPr>
        <w:tc>
          <w:tcPr>
            <w:tcW w:w="83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14</w:t>
            </w:r>
          </w:p>
        </w:tc>
        <w:tc>
          <w:tcPr>
            <w:tcW w:w="1473"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无霜期</w:t>
            </w:r>
          </w:p>
        </w:tc>
        <w:tc>
          <w:tcPr>
            <w:tcW w:w="50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d</w:t>
            </w:r>
          </w:p>
        </w:tc>
        <w:tc>
          <w:tcPr>
            <w:tcW w:w="674"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235</w:t>
            </w:r>
          </w:p>
        </w:tc>
        <w:tc>
          <w:tcPr>
            <w:tcW w:w="1517"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2" w:hRule="atLeast"/>
        </w:trPr>
        <w:tc>
          <w:tcPr>
            <w:tcW w:w="83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15</w:t>
            </w:r>
          </w:p>
        </w:tc>
        <w:tc>
          <w:tcPr>
            <w:tcW w:w="1473"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主导风向</w:t>
            </w:r>
          </w:p>
        </w:tc>
        <w:tc>
          <w:tcPr>
            <w:tcW w:w="502"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c>
          <w:tcPr>
            <w:tcW w:w="674"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西风</w:t>
            </w:r>
          </w:p>
        </w:tc>
        <w:tc>
          <w:tcPr>
            <w:tcW w:w="1517" w:type="pct"/>
          </w:tcPr>
          <w:p>
            <w:pPr>
              <w:widowControl/>
              <w:adjustRightInd/>
              <w:snapToGrid/>
              <w:spacing w:line="240" w:lineRule="auto"/>
              <w:ind w:firstLine="0" w:firstLineChars="0"/>
              <w:jc w:val="center"/>
              <w:rPr>
                <w:rFonts w:hint="default" w:ascii="Times New Roman" w:hAnsi="Times New Roman" w:eastAsia="仿宋_GB2312" w:cs="Times New Roman"/>
                <w:color w:val="auto"/>
                <w:kern w:val="0"/>
                <w:sz w:val="21"/>
                <w:szCs w:val="21"/>
                <w:highlight w:val="none"/>
              </w:rPr>
            </w:pPr>
          </w:p>
        </w:tc>
      </w:tr>
      <w:bookmarkEnd w:id="83"/>
      <w:bookmarkEnd w:id="84"/>
    </w:tbl>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2.7.4 水文</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策勒县境内有大小八条季节性河流，年径流总量为8.85亿</w:t>
      </w:r>
      <w:r>
        <w:rPr>
          <w:rFonts w:hint="eastAsia" w:cs="Times New Roman"/>
          <w:color w:val="auto"/>
          <w:highlight w:val="none"/>
          <w:lang w:eastAsia="zh-CN"/>
        </w:rPr>
        <w:t>m³</w:t>
      </w:r>
      <w:r>
        <w:rPr>
          <w:rFonts w:hint="default" w:ascii="Times New Roman" w:hAnsi="Times New Roman" w:eastAsia="仿宋_GB2312" w:cs="Times New Roman"/>
          <w:color w:val="auto"/>
          <w:highlight w:val="none"/>
        </w:rPr>
        <w:t>，其中策勒河为流经策勒县的主要河流，由南向北流动，年径流总量超过1亿</w:t>
      </w:r>
      <w:r>
        <w:rPr>
          <w:rFonts w:hint="eastAsia" w:cs="Times New Roman"/>
          <w:color w:val="auto"/>
          <w:highlight w:val="none"/>
          <w:lang w:eastAsia="zh-CN"/>
        </w:rPr>
        <w:t>m³</w:t>
      </w:r>
      <w:r>
        <w:rPr>
          <w:rFonts w:hint="default" w:ascii="Times New Roman" w:hAnsi="Times New Roman" w:eastAsia="仿宋_GB2312" w:cs="Times New Roman"/>
          <w:color w:val="auto"/>
          <w:highlight w:val="none"/>
        </w:rPr>
        <w:t>，现状功能为农田灌溉。其余均为季节性山溪，另有六条地下水泉出露形成的泉水河，年径流总量为1.209亿</w:t>
      </w:r>
      <w:r>
        <w:rPr>
          <w:rFonts w:hint="eastAsia" w:cs="Times New Roman"/>
          <w:color w:val="auto"/>
          <w:highlight w:val="none"/>
          <w:lang w:eastAsia="zh-CN"/>
        </w:rPr>
        <w:t>m³</w:t>
      </w:r>
      <w:r>
        <w:rPr>
          <w:rFonts w:hint="default" w:ascii="Times New Roman" w:hAnsi="Times New Roman" w:eastAsia="仿宋_GB2312" w:cs="Times New Roman"/>
          <w:color w:val="auto"/>
          <w:highlight w:val="none"/>
        </w:rPr>
        <w:t>，全县地表水资源总量为7.072亿</w:t>
      </w:r>
      <w:r>
        <w:rPr>
          <w:rFonts w:hint="eastAsia" w:cs="Times New Roman"/>
          <w:color w:val="auto"/>
          <w:highlight w:val="none"/>
          <w:lang w:eastAsia="zh-CN"/>
        </w:rPr>
        <w:t>m³</w:t>
      </w:r>
      <w:r>
        <w:rPr>
          <w:rFonts w:hint="default" w:ascii="Times New Roman" w:hAnsi="Times New Roman" w:eastAsia="仿宋_GB2312" w:cs="Times New Roman"/>
          <w:color w:val="auto"/>
          <w:highlight w:val="none"/>
        </w:rPr>
        <w:t>。区域内河流具有：流量小、汛期短、年际变化大、季节分配悬殊的特点。</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当地的水文地质条件较为复杂，一般可分为平原区和山区两个水文地质单元。地下水分为潜水和承压水两大类。项目区域属于平原区地下水，水文地质条件受河流的冲击洪击扇的控制，为山区的侧向径流补给。</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场地地下水水位埋深大于20.0m，远大于基础埋深，可不考虑地下水腐蚀性影响。</w:t>
      </w:r>
    </w:p>
    <w:p>
      <w:pPr>
        <w:pStyle w:val="55"/>
        <w:ind w:firstLine="480"/>
        <w:rPr>
          <w:rFonts w:hint="default" w:ascii="Times New Roman" w:hAnsi="Times New Roman" w:eastAsia="仿宋_GB2312" w:cs="Times New Roman"/>
          <w:color w:val="auto"/>
          <w:szCs w:val="22"/>
          <w:highlight w:val="none"/>
        </w:rPr>
      </w:pPr>
      <w:r>
        <w:rPr>
          <w:rFonts w:hint="default" w:ascii="Times New Roman" w:hAnsi="Times New Roman" w:eastAsia="仿宋_GB2312" w:cs="Times New Roman"/>
          <w:color w:val="auto"/>
          <w:szCs w:val="22"/>
          <w:highlight w:val="none"/>
        </w:rPr>
        <w:t>项目周边无地表水流过，因此本项目建设不受地表水影响。项目区周边地下水埋深较深，因此本项目建设不受地下水影响。</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2.7.5 土壤及植被</w:t>
      </w:r>
    </w:p>
    <w:p>
      <w:pPr>
        <w:pStyle w:val="55"/>
        <w:ind w:firstLine="480"/>
        <w:rPr>
          <w:rFonts w:hint="default" w:ascii="Times New Roman" w:hAnsi="Times New Roman" w:eastAsia="仿宋_GB2312" w:cs="Times New Roman"/>
          <w:color w:val="auto"/>
          <w:highlight w:val="none"/>
        </w:rPr>
      </w:pPr>
      <w:r>
        <w:rPr>
          <w:rFonts w:hint="eastAsia" w:cs="Times New Roman"/>
          <w:color w:val="auto"/>
          <w:highlight w:val="none"/>
          <w:lang w:eastAsia="zh-CN"/>
        </w:rPr>
        <w:t>根据现场勘查，场地地土壤类型为棕钙土，棕钙土是在极端干旱气候条件下，由砾质冲积物发育而形成的一类地带性土壤。这类土壤与砾石戈壁相联系，土质多为砾类土，土壤剖面中看不出有明显的腐殖质层，表层有机质含量低，砂粒级含量较高，主要为砾石覆盖层，粒径1.5～5cm之间。在剖面中下部也出现砂粒层或砂土层，母质层一般质地较粗，结构不明显，一般5m以下有数量不同的石膏聚集和可溶性盐类沉淀，具有较高的碱化度</w:t>
      </w:r>
      <w:r>
        <w:rPr>
          <w:rFonts w:hint="default" w:ascii="Times New Roman" w:hAnsi="Times New Roman" w:eastAsia="仿宋_GB2312" w:cs="Times New Roman"/>
          <w:color w:val="auto"/>
          <w:highlight w:val="none"/>
        </w:rPr>
        <w:t>。</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据现场勘察，项目区植被类型为荒漠植被，由于具有干旱、少雨、多风、温差大等特征，植被比较稀疏、矮小，植被覆盖度在</w:t>
      </w:r>
      <w:r>
        <w:rPr>
          <w:rFonts w:hint="eastAsia" w:cs="Times New Roman"/>
          <w:color w:val="auto"/>
          <w:highlight w:val="none"/>
          <w:lang w:eastAsia="zh-CN"/>
        </w:rPr>
        <w:t>10%</w:t>
      </w:r>
      <w:r>
        <w:rPr>
          <w:rFonts w:hint="default" w:ascii="Times New Roman" w:hAnsi="Times New Roman" w:eastAsia="仿宋_GB2312" w:cs="Times New Roman"/>
          <w:color w:val="auto"/>
          <w:highlight w:val="none"/>
        </w:rPr>
        <w:t>以下。</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2.7.6 其他</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项目区不涉及饮用水源保护区、水功能一级区的保护区和保留区、自然保护区、世界文化和自然遗产地、风景名胜区、地质公园、森林公园、重要湿地等。</w:t>
      </w:r>
    </w:p>
    <w:p>
      <w:pPr>
        <w:pStyle w:val="55"/>
        <w:ind w:firstLine="480"/>
        <w:rPr>
          <w:rFonts w:hint="default" w:ascii="Times New Roman" w:hAnsi="Times New Roman" w:eastAsia="仿宋_GB2312" w:cs="Times New Roman"/>
          <w:color w:val="auto"/>
          <w:highlight w:val="none"/>
        </w:rPr>
      </w:pPr>
    </w:p>
    <w:p>
      <w:pPr>
        <w:pStyle w:val="55"/>
        <w:ind w:firstLine="480"/>
        <w:rPr>
          <w:rFonts w:hint="default" w:ascii="Times New Roman" w:hAnsi="Times New Roman" w:eastAsia="仿宋_GB2312" w:cs="Times New Roman"/>
          <w:color w:val="auto"/>
          <w:highlight w:val="none"/>
        </w:rPr>
      </w:pPr>
    </w:p>
    <w:p>
      <w:pPr>
        <w:pStyle w:val="55"/>
        <w:ind w:firstLine="480"/>
        <w:rPr>
          <w:rFonts w:hint="default" w:ascii="Times New Roman" w:hAnsi="Times New Roman" w:eastAsia="仿宋_GB2312" w:cs="Times New Roman"/>
          <w:color w:val="auto"/>
          <w:highlight w:val="none"/>
        </w:rPr>
        <w:sectPr>
          <w:headerReference r:id="rId21" w:type="default"/>
          <w:footerReference r:id="rId22"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26" w:charSpace="0"/>
        </w:sectPr>
      </w:pPr>
    </w:p>
    <w:p>
      <w:pPr>
        <w:pStyle w:val="65"/>
        <w:rPr>
          <w:rFonts w:hint="default" w:ascii="Times New Roman" w:hAnsi="Times New Roman" w:eastAsia="仿宋_GB2312" w:cs="Times New Roman"/>
          <w:color w:val="auto"/>
          <w:highlight w:val="none"/>
        </w:rPr>
      </w:pPr>
      <w:bookmarkStart w:id="85" w:name="_Toc417412319"/>
      <w:bookmarkStart w:id="86" w:name="_Toc4942"/>
      <w:r>
        <w:rPr>
          <w:rFonts w:hint="default" w:ascii="Times New Roman" w:hAnsi="Times New Roman" w:eastAsia="仿宋_GB2312" w:cs="Times New Roman"/>
          <w:color w:val="auto"/>
          <w:highlight w:val="none"/>
        </w:rPr>
        <w:t>3 项目水土保持评价</w:t>
      </w:r>
      <w:bookmarkEnd w:id="85"/>
      <w:bookmarkEnd w:id="86"/>
    </w:p>
    <w:p>
      <w:pPr>
        <w:pStyle w:val="66"/>
        <w:ind w:firstLine="148"/>
        <w:rPr>
          <w:rFonts w:hint="default" w:ascii="Times New Roman" w:hAnsi="Times New Roman" w:eastAsia="仿宋_GB2312" w:cs="Times New Roman"/>
          <w:color w:val="auto"/>
          <w:highlight w:val="none"/>
        </w:rPr>
      </w:pPr>
      <w:bookmarkStart w:id="87" w:name="_Toc417412320"/>
      <w:bookmarkStart w:id="88" w:name="_Toc80"/>
      <w:r>
        <w:rPr>
          <w:rFonts w:hint="default" w:ascii="Times New Roman" w:hAnsi="Times New Roman" w:eastAsia="仿宋_GB2312" w:cs="Times New Roman"/>
          <w:color w:val="auto"/>
          <w:highlight w:val="none"/>
        </w:rPr>
        <w:t>3.1 主体工程选址（线）水土保持评价</w:t>
      </w:r>
      <w:bookmarkEnd w:id="87"/>
      <w:bookmarkEnd w:id="88"/>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本工程属于新建项目，按《中华人民共和国水土保持法》相关规定，《生产建设项目水土保持技术标准》（GB50433-2018）3.2.1及4.3.12节规定，逐条分析复核，见表3.1-1，3.1-2。</w:t>
      </w: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表3.1-1《中华人民共和国水土保持法》相符性分析表</w:t>
      </w:r>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4791"/>
        <w:gridCol w:w="2975"/>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序号</w:t>
            </w:r>
          </w:p>
        </w:tc>
        <w:tc>
          <w:tcPr>
            <w:tcW w:w="4791"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《中华人民共和国水土保持法》相符性分析表</w:t>
            </w:r>
          </w:p>
        </w:tc>
        <w:tc>
          <w:tcPr>
            <w:tcW w:w="2975"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本项目的情况</w:t>
            </w:r>
          </w:p>
        </w:tc>
        <w:tc>
          <w:tcPr>
            <w:tcW w:w="87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42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w:t>
            </w:r>
          </w:p>
        </w:tc>
        <w:tc>
          <w:tcPr>
            <w:tcW w:w="4791"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第十七条 禁止在崩塌、滑坡危险区和泥石流易发区从事取土、挖砂、采石等可能造成水土流失的活动。崩塌、滑坡危险区和泥石流易发区的范围，由县级以上地方人民政府划定并公告。崩塌、滑坡危险区和泥石流易发区的划定，应当与地质灾害防治规划确定的地质灾害易发区、重点防治区相衔接。</w:t>
            </w:r>
          </w:p>
        </w:tc>
        <w:tc>
          <w:tcPr>
            <w:tcW w:w="2975"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项目区不位于当地政府划定的在崩塌、滑坡危险区和泥石流易发区，同时本项目未在当地政府划定的在崩塌、滑坡危险区和泥石流易发区等区域取土、挖沙。</w:t>
            </w:r>
          </w:p>
        </w:tc>
        <w:tc>
          <w:tcPr>
            <w:tcW w:w="87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符合本条规定要求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2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c>
          <w:tcPr>
            <w:tcW w:w="4791"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第十八条 水土流失严重、生态脆弱的地区，应当限制或者禁止可能造成水土流失的生产建设活动，严格保护植物、沙壳、结皮、地衣等。</w:t>
            </w:r>
          </w:p>
        </w:tc>
        <w:tc>
          <w:tcPr>
            <w:tcW w:w="2975"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项目区不属于水土流失严重、生态脆弱地区。</w:t>
            </w:r>
          </w:p>
        </w:tc>
        <w:tc>
          <w:tcPr>
            <w:tcW w:w="87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符合本条规定要求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42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c>
          <w:tcPr>
            <w:tcW w:w="4791"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第二十四条 生产建设项目选址、选线应当避让水土流失重点预防区和重点治理区；无法避让的，应当提高防治标准，优化施工工艺，减少地表扰动和植被损坏范围，有效控制可能造成的水土流失。</w:t>
            </w:r>
          </w:p>
        </w:tc>
        <w:tc>
          <w:tcPr>
            <w:tcW w:w="2975"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本工程选址无法避让塔里木河国家级水土流失重点预防区，本方案提高了防治标准，主体工程需采取先进施工工艺，并采取了相关水土保持措施。</w:t>
            </w:r>
          </w:p>
        </w:tc>
        <w:tc>
          <w:tcPr>
            <w:tcW w:w="87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符合本条规定要求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42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w:t>
            </w:r>
          </w:p>
        </w:tc>
        <w:tc>
          <w:tcPr>
            <w:tcW w:w="4791"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第二十五条 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没有能力编制水土保持方案的，应当委托具备相应技术条件的机构编制。</w:t>
            </w:r>
          </w:p>
        </w:tc>
        <w:tc>
          <w:tcPr>
            <w:tcW w:w="2975"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已委托我公司编制项目水土保持方案。</w:t>
            </w:r>
          </w:p>
        </w:tc>
        <w:tc>
          <w:tcPr>
            <w:tcW w:w="87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符合本条规定要求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42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p>
        </w:tc>
        <w:tc>
          <w:tcPr>
            <w:tcW w:w="4791"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第二十八条 依法应当编制水土保持方案的生产建设项目，其生产建设活动中排弃的砂、石、土、矸石、尾矿、废渣等应当综合利用；不能综合利用，确需废弃的，应当堆放在水土保持方案确定的专门存放地，并采取措施保证不产生新的危害。</w:t>
            </w:r>
          </w:p>
        </w:tc>
        <w:tc>
          <w:tcPr>
            <w:tcW w:w="2975"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项目建设过程中，挖方全部回填利用，无弃渣。</w:t>
            </w:r>
          </w:p>
        </w:tc>
        <w:tc>
          <w:tcPr>
            <w:tcW w:w="87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符合本条规定要求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42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w:t>
            </w:r>
          </w:p>
        </w:tc>
        <w:tc>
          <w:tcPr>
            <w:tcW w:w="4791"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第三十二条 在山区、丘陵区、风沙区以及水土保持规划确定的容易发生水土流失的其他区域开办生产建设项目或者从事其他生产建设活动，损坏水土保持设施、地貌植被，不能恢复原有水土保持功能的，应当缴纳水土流失补偿费，专项用于水土流失预防和治理。</w:t>
            </w:r>
          </w:p>
        </w:tc>
        <w:tc>
          <w:tcPr>
            <w:tcW w:w="2975"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本项目建设区位于</w:t>
            </w:r>
            <w:r>
              <w:rPr>
                <w:rFonts w:hint="eastAsia" w:cs="Times New Roman"/>
                <w:color w:val="auto"/>
                <w:highlight w:val="none"/>
                <w:lang w:eastAsia="zh-CN"/>
              </w:rPr>
              <w:t>策勒县</w:t>
            </w:r>
            <w:r>
              <w:rPr>
                <w:rFonts w:hint="default" w:ascii="Times New Roman" w:hAnsi="Times New Roman" w:eastAsia="仿宋_GB2312" w:cs="Times New Roman"/>
                <w:color w:val="auto"/>
                <w:highlight w:val="none"/>
              </w:rPr>
              <w:t>，水土保持方案中计列了工程应缴纳的水土保持补偿费。</w:t>
            </w:r>
          </w:p>
        </w:tc>
        <w:tc>
          <w:tcPr>
            <w:tcW w:w="87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符合本条规定要求</w:t>
            </w:r>
          </w:p>
        </w:tc>
      </w:tr>
    </w:tbl>
    <w:p>
      <w:pPr>
        <w:widowControl/>
        <w:ind w:firstLine="0" w:firstLineChars="0"/>
        <w:jc w:val="left"/>
        <w:rPr>
          <w:rFonts w:hint="default" w:ascii="Times New Roman" w:hAnsi="Times New Roman" w:eastAsia="仿宋_GB2312" w:cs="Times New Roman"/>
          <w:color w:val="auto"/>
          <w:sz w:val="18"/>
          <w:szCs w:val="18"/>
          <w:highlight w:val="none"/>
        </w:rPr>
        <w:sectPr>
          <w:headerReference r:id="rId23"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p>
      <w:pPr>
        <w:pStyle w:val="76"/>
        <w:spacing w:beforeLines="5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表3.1-</w:t>
      </w:r>
      <w:r>
        <w:rPr>
          <w:rFonts w:hint="eastAsia" w:cs="Times New Roman"/>
          <w:color w:val="auto"/>
          <w:highlight w:val="none"/>
          <w:lang w:val="en-US" w:eastAsia="zh-CN"/>
        </w:rPr>
        <w:t>2</w:t>
      </w:r>
      <w:r>
        <w:rPr>
          <w:rFonts w:hint="default" w:ascii="Times New Roman" w:hAnsi="Times New Roman" w:eastAsia="仿宋_GB2312" w:cs="Times New Roman"/>
          <w:color w:val="auto"/>
          <w:highlight w:val="none"/>
        </w:rPr>
        <w:t>生产及建设项目水土保持技术标准(GB50433-2018)的水土保持约束性分析</w:t>
      </w:r>
    </w:p>
    <w:tbl>
      <w:tblPr>
        <w:tblStyle w:val="2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4392"/>
        <w:gridCol w:w="3542"/>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23"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序号</w:t>
            </w:r>
          </w:p>
        </w:tc>
        <w:tc>
          <w:tcPr>
            <w:tcW w:w="439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基本规定</w:t>
            </w:r>
          </w:p>
        </w:tc>
        <w:tc>
          <w:tcPr>
            <w:tcW w:w="354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本项目实施情况</w:t>
            </w:r>
          </w:p>
        </w:tc>
        <w:tc>
          <w:tcPr>
            <w:tcW w:w="703"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3"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w:t>
            </w:r>
          </w:p>
        </w:tc>
        <w:tc>
          <w:tcPr>
            <w:tcW w:w="4392"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主体工程选址（线）应避让水土流失重点预防区和重点治理区；</w:t>
            </w:r>
          </w:p>
        </w:tc>
        <w:tc>
          <w:tcPr>
            <w:tcW w:w="3542"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本工程选址无法避让塔里木河国家级水土流失重点预防区，本方案针对主体情况已采取北方风沙区一级标准，</w:t>
            </w:r>
            <w:r>
              <w:rPr>
                <w:rFonts w:hint="eastAsia" w:cs="Times New Roman"/>
                <w:color w:val="auto"/>
                <w:highlight w:val="none"/>
                <w:lang w:eastAsia="zh-CN"/>
              </w:rPr>
              <w:t>同时</w:t>
            </w:r>
            <w:r>
              <w:rPr>
                <w:rFonts w:hint="default" w:ascii="Times New Roman" w:hAnsi="Times New Roman" w:eastAsia="仿宋_GB2312" w:cs="Times New Roman"/>
                <w:color w:val="auto"/>
                <w:highlight w:val="none"/>
              </w:rPr>
              <w:t>主体工程需采取先进施工工艺，并采取了相关水土保持措施</w:t>
            </w:r>
            <w:r>
              <w:rPr>
                <w:rFonts w:hint="eastAsia" w:cs="Times New Roman"/>
                <w:color w:val="auto"/>
                <w:highlight w:val="none"/>
                <w:lang w:eastAsia="zh-CN"/>
              </w:rPr>
              <w:t>防治水土流失</w:t>
            </w:r>
            <w:r>
              <w:rPr>
                <w:rFonts w:hint="default" w:ascii="Times New Roman" w:hAnsi="Times New Roman" w:eastAsia="仿宋_GB2312" w:cs="Times New Roman"/>
                <w:color w:val="auto"/>
                <w:highlight w:val="none"/>
              </w:rPr>
              <w:t>。</w:t>
            </w:r>
          </w:p>
        </w:tc>
        <w:tc>
          <w:tcPr>
            <w:tcW w:w="703"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基本满足规范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423"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p>
        </w:tc>
        <w:tc>
          <w:tcPr>
            <w:tcW w:w="4392"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主体工程选址（线）应避让河流两岸、湖泊和水库周边的植物保护带； </w:t>
            </w:r>
          </w:p>
        </w:tc>
        <w:tc>
          <w:tcPr>
            <w:tcW w:w="3542" w:type="dxa"/>
            <w:tcBorders>
              <w:tl2br w:val="nil"/>
              <w:tr2bl w:val="nil"/>
            </w:tcBorders>
            <w:vAlign w:val="center"/>
          </w:tcPr>
          <w:p>
            <w:pPr>
              <w:pStyle w:val="84"/>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不涉及</w:t>
            </w:r>
            <w:r>
              <w:rPr>
                <w:rFonts w:hint="eastAsia" w:cs="Times New Roman"/>
                <w:color w:val="auto"/>
                <w:highlight w:val="none"/>
                <w:lang w:eastAsia="zh-CN"/>
              </w:rPr>
              <w:t>以上区域。</w:t>
            </w:r>
          </w:p>
        </w:tc>
        <w:tc>
          <w:tcPr>
            <w:tcW w:w="703"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满足规范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423"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w:t>
            </w:r>
          </w:p>
        </w:tc>
        <w:tc>
          <w:tcPr>
            <w:tcW w:w="4392"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主体工程选址（线）应避让全国水土保持监测网络中的水土保持监测站点、重点实验区、不得占用国家确定的水土保持长期定位观测站。</w:t>
            </w:r>
          </w:p>
        </w:tc>
        <w:tc>
          <w:tcPr>
            <w:tcW w:w="354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项目区不涉及上述区域</w:t>
            </w:r>
          </w:p>
        </w:tc>
        <w:tc>
          <w:tcPr>
            <w:tcW w:w="703"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满足规范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423" w:type="dxa"/>
            <w:tcBorders>
              <w:tl2br w:val="nil"/>
              <w:tr2bl w:val="nil"/>
            </w:tcBorders>
            <w:vAlign w:val="center"/>
          </w:tcPr>
          <w:p>
            <w:pPr>
              <w:pStyle w:val="84"/>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4</w:t>
            </w:r>
          </w:p>
        </w:tc>
        <w:tc>
          <w:tcPr>
            <w:tcW w:w="4392"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严禁在崩塌和滑坡危险区、泥石流易发区内设置取土(石、砂)场。</w:t>
            </w:r>
          </w:p>
        </w:tc>
        <w:tc>
          <w:tcPr>
            <w:tcW w:w="354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本项目区不涉及崩塌、滑坡危险区、泥石流易发区，同时工程建设不涉及取土（石、砂）场。</w:t>
            </w:r>
          </w:p>
        </w:tc>
        <w:tc>
          <w:tcPr>
            <w:tcW w:w="703"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满足规范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423" w:type="dxa"/>
            <w:tcBorders>
              <w:tl2br w:val="nil"/>
              <w:tr2bl w:val="nil"/>
            </w:tcBorders>
            <w:vAlign w:val="center"/>
          </w:tcPr>
          <w:p>
            <w:pPr>
              <w:pStyle w:val="84"/>
              <w:ind w:firstLine="0" w:firstLineChars="0"/>
              <w:rPr>
                <w:rFonts w:hint="eastAsia" w:ascii="Times New Roman" w:hAnsi="Times New Roman" w:eastAsia="仿宋_GB2312" w:cs="Times New Roman"/>
                <w:color w:val="auto"/>
                <w:spacing w:val="-2"/>
                <w:kern w:val="0"/>
                <w:sz w:val="21"/>
                <w:szCs w:val="21"/>
                <w:highlight w:val="none"/>
                <w:lang w:val="en-US" w:eastAsia="zh-CN" w:bidi="ar-SA"/>
              </w:rPr>
            </w:pPr>
            <w:r>
              <w:rPr>
                <w:rFonts w:hint="eastAsia" w:cs="Times New Roman"/>
                <w:color w:val="auto"/>
                <w:highlight w:val="none"/>
                <w:lang w:val="en-US" w:eastAsia="zh-CN"/>
              </w:rPr>
              <w:t>5</w:t>
            </w:r>
          </w:p>
        </w:tc>
        <w:tc>
          <w:tcPr>
            <w:tcW w:w="4392" w:type="dxa"/>
            <w:tcBorders>
              <w:tl2br w:val="nil"/>
              <w:tr2bl w:val="nil"/>
            </w:tcBorders>
            <w:vAlign w:val="center"/>
          </w:tcPr>
          <w:p>
            <w:pPr>
              <w:pStyle w:val="84"/>
              <w:ind w:firstLine="0" w:firstLineChars="0"/>
              <w:jc w:val="left"/>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highlight w:val="none"/>
              </w:rPr>
              <w:t>外借土石方应优先考虑利用其他工程废弃的土(石、渣)</w:t>
            </w:r>
            <w:r>
              <w:rPr>
                <w:rFonts w:hint="eastAsia" w:cs="Times New Roman"/>
                <w:color w:val="auto"/>
                <w:highlight w:val="none"/>
                <w:lang w:eastAsia="zh-CN"/>
              </w:rPr>
              <w:t>，</w:t>
            </w:r>
            <w:r>
              <w:rPr>
                <w:rFonts w:hint="default" w:ascii="Times New Roman" w:hAnsi="Times New Roman" w:eastAsia="仿宋_GB2312" w:cs="Times New Roman"/>
                <w:color w:val="auto"/>
                <w:highlight w:val="none"/>
              </w:rPr>
              <w:t>外购土(石、料)应选择合规的料场。</w:t>
            </w:r>
          </w:p>
        </w:tc>
        <w:tc>
          <w:tcPr>
            <w:tcW w:w="3542" w:type="dxa"/>
            <w:tcBorders>
              <w:tl2br w:val="nil"/>
              <w:tr2bl w:val="nil"/>
            </w:tcBorders>
            <w:vAlign w:val="center"/>
          </w:tcPr>
          <w:p>
            <w:pPr>
              <w:pStyle w:val="84"/>
              <w:ind w:firstLine="0" w:firstLineChars="0"/>
              <w:rPr>
                <w:rFonts w:hint="eastAsia"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highlight w:val="none"/>
              </w:rPr>
              <w:t>本项目外借方主要为</w:t>
            </w:r>
            <w:r>
              <w:rPr>
                <w:rFonts w:hint="eastAsia" w:cs="Times New Roman"/>
                <w:color w:val="auto"/>
                <w:highlight w:val="none"/>
                <w:lang w:eastAsia="zh-CN"/>
              </w:rPr>
              <w:t>项目区</w:t>
            </w:r>
            <w:r>
              <w:rPr>
                <w:rFonts w:hint="default" w:ascii="Times New Roman" w:hAnsi="Times New Roman" w:eastAsia="仿宋_GB2312" w:cs="Times New Roman"/>
                <w:color w:val="auto"/>
                <w:highlight w:val="none"/>
              </w:rPr>
              <w:t>内</w:t>
            </w:r>
            <w:r>
              <w:rPr>
                <w:rFonts w:hint="eastAsia" w:cs="Times New Roman"/>
                <w:color w:val="auto"/>
                <w:highlight w:val="none"/>
                <w:lang w:eastAsia="zh-CN"/>
              </w:rPr>
              <w:t>硬化路面</w:t>
            </w:r>
            <w:r>
              <w:rPr>
                <w:rFonts w:hint="default" w:ascii="Times New Roman" w:hAnsi="Times New Roman" w:eastAsia="仿宋_GB2312" w:cs="Times New Roman"/>
                <w:color w:val="auto"/>
                <w:highlight w:val="none"/>
              </w:rPr>
              <w:t>所需</w:t>
            </w:r>
            <w:r>
              <w:rPr>
                <w:rFonts w:hint="eastAsia" w:cs="Times New Roman"/>
                <w:color w:val="auto"/>
                <w:highlight w:val="none"/>
                <w:lang w:eastAsia="zh-CN"/>
              </w:rPr>
              <w:t>的混凝土</w:t>
            </w:r>
            <w:r>
              <w:rPr>
                <w:rFonts w:hint="default" w:ascii="Times New Roman" w:hAnsi="Times New Roman" w:eastAsia="仿宋_GB2312" w:cs="Times New Roman"/>
                <w:color w:val="auto"/>
                <w:highlight w:val="none"/>
              </w:rPr>
              <w:t>砂砾石，已选择正规合法的商业料场购买。</w:t>
            </w:r>
          </w:p>
        </w:tc>
        <w:tc>
          <w:tcPr>
            <w:tcW w:w="703" w:type="dxa"/>
            <w:tcBorders>
              <w:tl2br w:val="nil"/>
              <w:tr2bl w:val="nil"/>
            </w:tcBorders>
            <w:vAlign w:val="center"/>
          </w:tcPr>
          <w:p>
            <w:pPr>
              <w:pStyle w:val="84"/>
              <w:ind w:firstLine="0" w:firstLineChars="0"/>
              <w:rPr>
                <w:rFonts w:hint="default" w:ascii="Times New Roman" w:hAnsi="Times New Roman" w:eastAsia="仿宋_GB2312" w:cs="Times New Roman"/>
                <w:color w:val="auto"/>
                <w:spacing w:val="-2"/>
                <w:kern w:val="0"/>
                <w:sz w:val="21"/>
                <w:szCs w:val="21"/>
                <w:highlight w:val="none"/>
                <w:lang w:val="en-US" w:eastAsia="zh-CN" w:bidi="ar-SA"/>
              </w:rPr>
            </w:pPr>
            <w:r>
              <w:rPr>
                <w:rFonts w:hint="default" w:ascii="Times New Roman" w:hAnsi="Times New Roman" w:eastAsia="仿宋_GB2312" w:cs="Times New Roman"/>
                <w:color w:val="auto"/>
                <w:highlight w:val="none"/>
              </w:rPr>
              <w:t>满足规范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423" w:type="dxa"/>
            <w:tcBorders>
              <w:tl2br w:val="nil"/>
              <w:tr2bl w:val="nil"/>
            </w:tcBorders>
            <w:vAlign w:val="center"/>
          </w:tcPr>
          <w:p>
            <w:pPr>
              <w:pStyle w:val="84"/>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6</w:t>
            </w:r>
          </w:p>
        </w:tc>
        <w:tc>
          <w:tcPr>
            <w:tcW w:w="4392"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严禁在对公共设施、基础设施、工业企业、居民点等有重大影晌的区域设置弃土(石、渣、灰、砰石、尾矿)场。</w:t>
            </w:r>
          </w:p>
        </w:tc>
        <w:tc>
          <w:tcPr>
            <w:tcW w:w="3542" w:type="dxa"/>
            <w:tcBorders>
              <w:tl2br w:val="nil"/>
              <w:tr2bl w:val="nil"/>
            </w:tcBorders>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本项目无弃方产生。</w:t>
            </w:r>
          </w:p>
        </w:tc>
        <w:tc>
          <w:tcPr>
            <w:tcW w:w="703"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满足规范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423" w:type="dxa"/>
            <w:tcBorders>
              <w:tl2br w:val="nil"/>
              <w:tr2bl w:val="nil"/>
            </w:tcBorders>
            <w:vAlign w:val="center"/>
          </w:tcPr>
          <w:p>
            <w:pPr>
              <w:pStyle w:val="84"/>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7</w:t>
            </w:r>
          </w:p>
        </w:tc>
        <w:tc>
          <w:tcPr>
            <w:tcW w:w="4392"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应控制施工场地占地，避开植被相对良好的区域和基本农田区。</w:t>
            </w:r>
          </w:p>
        </w:tc>
        <w:tc>
          <w:tcPr>
            <w:tcW w:w="354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不涉及</w:t>
            </w:r>
            <w:r>
              <w:rPr>
                <w:rFonts w:hint="eastAsia" w:cs="Times New Roman"/>
                <w:color w:val="auto"/>
                <w:highlight w:val="none"/>
                <w:lang w:eastAsia="zh-CN"/>
              </w:rPr>
              <w:t>以上区域。</w:t>
            </w:r>
          </w:p>
        </w:tc>
        <w:tc>
          <w:tcPr>
            <w:tcW w:w="703"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满足规范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423" w:type="dxa"/>
            <w:tcBorders>
              <w:tl2br w:val="nil"/>
              <w:tr2bl w:val="nil"/>
            </w:tcBorders>
            <w:vAlign w:val="center"/>
          </w:tcPr>
          <w:p>
            <w:pPr>
              <w:pStyle w:val="84"/>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8</w:t>
            </w:r>
          </w:p>
        </w:tc>
        <w:tc>
          <w:tcPr>
            <w:tcW w:w="4392"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应合理安排施工，防止重复开挖和多次倒运，减少裸露时间和范围。</w:t>
            </w:r>
          </w:p>
        </w:tc>
        <w:tc>
          <w:tcPr>
            <w:tcW w:w="354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本工程土石方尽量在</w:t>
            </w:r>
            <w:r>
              <w:rPr>
                <w:rFonts w:hint="eastAsia" w:cs="Times New Roman"/>
                <w:color w:val="auto"/>
                <w:highlight w:val="none"/>
                <w:lang w:eastAsia="zh-CN"/>
              </w:rPr>
              <w:t>项目</w:t>
            </w:r>
            <w:r>
              <w:rPr>
                <w:rFonts w:hint="default" w:ascii="Times New Roman" w:hAnsi="Times New Roman" w:eastAsia="仿宋_GB2312" w:cs="Times New Roman"/>
                <w:color w:val="auto"/>
                <w:highlight w:val="none"/>
              </w:rPr>
              <w:t>区内平衡，本方案对土石方进行了综合调配，尽量避免重复开挖和多次倒运。</w:t>
            </w:r>
          </w:p>
        </w:tc>
        <w:tc>
          <w:tcPr>
            <w:tcW w:w="703"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满足规范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423" w:type="dxa"/>
            <w:tcBorders>
              <w:tl2br w:val="nil"/>
              <w:tr2bl w:val="nil"/>
            </w:tcBorders>
            <w:vAlign w:val="center"/>
          </w:tcPr>
          <w:p>
            <w:pPr>
              <w:pStyle w:val="84"/>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9</w:t>
            </w:r>
          </w:p>
        </w:tc>
        <w:tc>
          <w:tcPr>
            <w:tcW w:w="4392"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施工活动应控制在设计的施工道路、施工场地内。</w:t>
            </w:r>
          </w:p>
        </w:tc>
        <w:tc>
          <w:tcPr>
            <w:tcW w:w="354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主体施工组织设计严格要求施工活动需控制在设计的场地内，同时本方案新增临时拦挡防护措施，能进一步减少施工区外扰动。</w:t>
            </w:r>
          </w:p>
        </w:tc>
        <w:tc>
          <w:tcPr>
            <w:tcW w:w="703"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满足规范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423" w:type="dxa"/>
            <w:tcBorders>
              <w:tl2br w:val="nil"/>
              <w:tr2bl w:val="nil"/>
            </w:tcBorders>
            <w:vAlign w:val="center"/>
          </w:tcPr>
          <w:p>
            <w:pPr>
              <w:pStyle w:val="84"/>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10</w:t>
            </w:r>
          </w:p>
        </w:tc>
        <w:tc>
          <w:tcPr>
            <w:tcW w:w="4392" w:type="dxa"/>
            <w:tcBorders>
              <w:tl2br w:val="nil"/>
              <w:tr2bl w:val="nil"/>
            </w:tcBorders>
            <w:vAlign w:val="center"/>
          </w:tcPr>
          <w:p>
            <w:pPr>
              <w:pStyle w:val="84"/>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临时堆土(石、渣)应集中堆放，并采取临时拦挡、苦盖、排水、沉沙等措施。</w:t>
            </w:r>
          </w:p>
        </w:tc>
        <w:tc>
          <w:tcPr>
            <w:tcW w:w="3542"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本项目临时堆土主要为管沟开挖临时堆放的待回填土方</w:t>
            </w:r>
            <w:r>
              <w:rPr>
                <w:rFonts w:hint="eastAsia" w:cs="Times New Roman"/>
                <w:color w:val="auto"/>
                <w:highlight w:val="none"/>
                <w:lang w:eastAsia="zh-CN"/>
              </w:rPr>
              <w:t>以及建筑物基础开挖所产生的土方</w:t>
            </w:r>
            <w:r>
              <w:rPr>
                <w:rFonts w:hint="default" w:ascii="Times New Roman" w:hAnsi="Times New Roman" w:eastAsia="仿宋_GB2312" w:cs="Times New Roman"/>
                <w:color w:val="auto"/>
                <w:highlight w:val="none"/>
              </w:rPr>
              <w:t>，</w:t>
            </w:r>
            <w:r>
              <w:rPr>
                <w:rFonts w:hint="eastAsia" w:cs="Times New Roman"/>
                <w:color w:val="auto"/>
                <w:highlight w:val="none"/>
                <w:lang w:eastAsia="zh-CN"/>
              </w:rPr>
              <w:t>土方量较小，</w:t>
            </w:r>
            <w:r>
              <w:rPr>
                <w:rFonts w:hint="default" w:ascii="Times New Roman" w:hAnsi="Times New Roman" w:eastAsia="仿宋_GB2312" w:cs="Times New Roman"/>
                <w:color w:val="auto"/>
                <w:highlight w:val="none"/>
              </w:rPr>
              <w:t>主体设计施工期间临时堆放，并采取防护措施，及时回填，有效减少开挖区水土流失。</w:t>
            </w:r>
          </w:p>
        </w:tc>
        <w:tc>
          <w:tcPr>
            <w:tcW w:w="703"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满足规范</w:t>
            </w:r>
          </w:p>
        </w:tc>
      </w:tr>
    </w:tbl>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以上分析，按照主体建设方案，通过对项目区水土流失与水土保持调查，对照《中华人民共和国水土保持法》、《生产建设项目水土保持技术标准》（GB50433-2018）对主体工程的约束性规定，项目区未涉及饮用水源保护区、自然保护区、世界文化和自然遗产地、风景名胜区、地质公园、森林公园、重要湿地，主体工程选址不涉及泥石流易发区、崩塌滑坡危险区以及易引发严重水土流失和生态恶化的地区；项目涉及塔里木河国家级水土流失重点预防区，水土流失防治将采用北方风沙区建设类项目一级标准</w:t>
      </w:r>
      <w:r>
        <w:rPr>
          <w:rFonts w:hint="eastAsia" w:cs="Times New Roman"/>
          <w:color w:val="auto"/>
          <w:highlight w:val="none"/>
          <w:lang w:eastAsia="zh-CN"/>
        </w:rPr>
        <w:t>，</w:t>
      </w:r>
      <w:r>
        <w:rPr>
          <w:rFonts w:hint="default" w:ascii="Times New Roman" w:hAnsi="Times New Roman" w:eastAsia="仿宋_GB2312" w:cs="Times New Roman"/>
          <w:color w:val="auto"/>
          <w:highlight w:val="none"/>
        </w:rPr>
        <w:t>不占用全国水土保持网络中的水土保持监测点、重点试验区，不占用国家确定的水土保持长期定位观测站；不在重要江河、湖泊以及跨省（自治区、直辖市）的湖泊的水功能一级区的保护区和保留区，以及水功能二级区的饮用水源区；不涉及饮用水源保护区、自然保护区等环境敏感区。</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综上所述，对照《中华人民共和国水土保持法》及《生产建设项目水土保持技术标准》对主体工程的制约性分析认为，该项目符合水土保持的要求，不存在水土保持制约因素，项目建设具有可行性。</w:t>
      </w:r>
    </w:p>
    <w:p>
      <w:pPr>
        <w:pStyle w:val="66"/>
        <w:ind w:firstLine="148"/>
        <w:rPr>
          <w:rFonts w:hint="default" w:ascii="Times New Roman" w:hAnsi="Times New Roman" w:eastAsia="仿宋_GB2312" w:cs="Times New Roman"/>
          <w:color w:val="auto"/>
          <w:highlight w:val="none"/>
        </w:rPr>
      </w:pPr>
      <w:bookmarkStart w:id="89" w:name="_Toc14235"/>
      <w:r>
        <w:rPr>
          <w:rFonts w:hint="default" w:ascii="Times New Roman" w:hAnsi="Times New Roman" w:eastAsia="仿宋_GB2312" w:cs="Times New Roman"/>
          <w:color w:val="auto"/>
          <w:highlight w:val="none"/>
        </w:rPr>
        <w:t>3.2 建设方案与布局水土保持评价</w:t>
      </w:r>
      <w:bookmarkEnd w:id="89"/>
    </w:p>
    <w:p>
      <w:pPr>
        <w:pStyle w:val="69"/>
        <w:rPr>
          <w:rFonts w:hint="default" w:ascii="Times New Roman" w:hAnsi="Times New Roman" w:eastAsia="仿宋_GB2312" w:cs="Times New Roman"/>
          <w:color w:val="auto"/>
          <w:szCs w:val="22"/>
          <w:highlight w:val="none"/>
        </w:rPr>
      </w:pPr>
      <w:r>
        <w:rPr>
          <w:rFonts w:hint="default" w:ascii="Times New Roman" w:hAnsi="Times New Roman" w:eastAsia="仿宋_GB2312" w:cs="Times New Roman"/>
          <w:color w:val="auto"/>
          <w:highlight w:val="none"/>
        </w:rPr>
        <w:t>3.2.1 建设方案评价</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本项目位于</w:t>
      </w:r>
      <w:r>
        <w:rPr>
          <w:rFonts w:hint="eastAsia" w:cs="Times New Roman"/>
          <w:color w:val="auto"/>
          <w:highlight w:val="none"/>
          <w:lang w:eastAsia="zh-CN"/>
        </w:rPr>
        <w:t>策勒县</w:t>
      </w:r>
      <w:r>
        <w:rPr>
          <w:rFonts w:hint="default" w:ascii="Times New Roman" w:hAnsi="Times New Roman" w:eastAsia="仿宋_GB2312" w:cs="Times New Roman"/>
          <w:color w:val="auto"/>
          <w:highlight w:val="none"/>
        </w:rPr>
        <w:t>，项目区沿线有</w:t>
      </w:r>
      <w:r>
        <w:rPr>
          <w:rFonts w:hint="eastAsia" w:cs="Times New Roman"/>
          <w:color w:val="auto"/>
          <w:highlight w:val="none"/>
          <w:lang w:eastAsia="zh-CN"/>
        </w:rPr>
        <w:t>园区道路</w:t>
      </w:r>
      <w:r>
        <w:rPr>
          <w:rFonts w:hint="default" w:ascii="Times New Roman" w:hAnsi="Times New Roman" w:eastAsia="仿宋_GB2312" w:cs="Times New Roman"/>
          <w:color w:val="auto"/>
          <w:highlight w:val="none"/>
        </w:rPr>
        <w:t>铺设，施工期间可直接利用周边现有道路作为施工道路，临时施工道路可利用主体工程设计的加油站进出口道路；同时施工期间站内建设最大程度布设在站区内，最大程度的不扰动项目区以外的区域。本工程属点状开发建设项目，土方挖方较小，项目区属于平坡式的布置方式，加油站整个场地分为站房、加油区、油罐区。站房布置于站区的</w:t>
      </w:r>
      <w:r>
        <w:rPr>
          <w:rFonts w:hint="eastAsia" w:cs="Times New Roman"/>
          <w:color w:val="auto"/>
          <w:highlight w:val="none"/>
          <w:lang w:eastAsia="zh-CN"/>
        </w:rPr>
        <w:t>南</w:t>
      </w:r>
      <w:r>
        <w:rPr>
          <w:rFonts w:hint="default" w:ascii="Times New Roman" w:hAnsi="Times New Roman" w:eastAsia="仿宋_GB2312" w:cs="Times New Roman"/>
          <w:color w:val="auto"/>
          <w:highlight w:val="none"/>
        </w:rPr>
        <w:t>侧，分为办公室、营业室、便利店、发电机间、配电室等；加油罩棚位于站区</w:t>
      </w:r>
      <w:r>
        <w:rPr>
          <w:rFonts w:hint="eastAsia" w:cs="Times New Roman"/>
          <w:color w:val="auto"/>
          <w:highlight w:val="none"/>
          <w:lang w:eastAsia="zh-CN"/>
        </w:rPr>
        <w:t>中部</w:t>
      </w:r>
      <w:r>
        <w:rPr>
          <w:rFonts w:hint="default" w:ascii="Times New Roman" w:hAnsi="Times New Roman" w:eastAsia="仿宋_GB2312" w:cs="Times New Roman"/>
          <w:color w:val="auto"/>
          <w:highlight w:val="none"/>
        </w:rPr>
        <w:t>，罩棚下布置共4台双枪加油机；油罐区位于站区南部，埋设4座埋地油罐。站区绿化区域位于办公室东侧预留的加气区及南北两侧。站区布置紧凑，方便管理，周边交通便利，车辆进出顺畅。项目区工程占地、施工总体布局、施工组织、施工工艺和方法等的选择合理，不仅有利于经济、高效和施工方便，而且有利于开挖工程量，减少施工扰动原地貌和植被面积，减轻人为水土流失。</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综上所述，项目区整体布局紧凑，各构筑物布置合理，建设期间最大程度利用周边现有设施，有利于水土保持，主体工程符合《生产建设项目水土保持技术标准》(GB-50433-2018)中规定的工程选址、建设方案及布局要求。</w:t>
      </w:r>
    </w:p>
    <w:p>
      <w:pPr>
        <w:pStyle w:val="69"/>
        <w:rPr>
          <w:rFonts w:hint="default" w:ascii="Times New Roman" w:hAnsi="Times New Roman" w:eastAsia="仿宋_GB2312" w:cs="Times New Roman"/>
          <w:color w:val="auto"/>
          <w:highlight w:val="none"/>
        </w:rPr>
      </w:pPr>
      <w:bookmarkStart w:id="90" w:name="_Toc417412321"/>
      <w:bookmarkStart w:id="91" w:name="_Toc407014535"/>
      <w:r>
        <w:rPr>
          <w:rFonts w:hint="default" w:ascii="Times New Roman" w:hAnsi="Times New Roman" w:eastAsia="仿宋_GB2312" w:cs="Times New Roman"/>
          <w:color w:val="auto"/>
          <w:highlight w:val="none"/>
        </w:rPr>
        <w:t>3.2.2 工程占地评价</w:t>
      </w:r>
      <w:bookmarkEnd w:id="90"/>
      <w:bookmarkEnd w:id="91"/>
    </w:p>
    <w:p>
      <w:pPr>
        <w:ind w:firstLine="480"/>
        <w:rPr>
          <w:rFonts w:hint="default" w:ascii="Times New Roman" w:hAnsi="Times New Roman" w:eastAsia="仿宋_GB2312" w:cs="Times New Roman"/>
          <w:color w:val="auto"/>
          <w:highlight w:val="none"/>
        </w:rPr>
      </w:pPr>
      <w:bookmarkStart w:id="92" w:name="_Toc417412322"/>
      <w:bookmarkStart w:id="93" w:name="_Toc407014536"/>
      <w:r>
        <w:rPr>
          <w:rFonts w:hint="default" w:ascii="Times New Roman" w:hAnsi="Times New Roman" w:eastAsia="仿宋_GB2312" w:cs="Times New Roman"/>
          <w:color w:val="auto"/>
          <w:highlight w:val="none"/>
        </w:rPr>
        <w:t>项目区位于平原地带，地势呈自南向北缓坡而下。本项目建设区</w:t>
      </w:r>
      <w:r>
        <w:rPr>
          <w:rFonts w:hint="eastAsia" w:eastAsia="仿宋_GB2312" w:cs="Times New Roman"/>
          <w:color w:val="auto"/>
          <w:highlight w:val="none"/>
          <w:lang w:val="en-US" w:eastAsia="zh-CN"/>
        </w:rPr>
        <w:t>0.45h</w:t>
      </w:r>
      <w:r>
        <w:rPr>
          <w:rFonts w:hint="default" w:ascii="Times New Roman" w:hAnsi="Times New Roman" w:eastAsia="仿宋_GB2312" w:cs="Times New Roman"/>
          <w:color w:val="auto"/>
          <w:highlight w:val="none"/>
        </w:rPr>
        <w:t>m²，</w:t>
      </w:r>
      <w:r>
        <w:rPr>
          <w:rFonts w:hint="eastAsia" w:eastAsia="仿宋_GB2312" w:cs="Times New Roman"/>
          <w:color w:val="auto"/>
          <w:highlight w:val="none"/>
          <w:lang w:eastAsia="zh-CN"/>
        </w:rPr>
        <w:t>红线内</w:t>
      </w:r>
      <w:r>
        <w:rPr>
          <w:rFonts w:hint="default" w:ascii="Times New Roman" w:hAnsi="Times New Roman" w:eastAsia="仿宋_GB2312" w:cs="Times New Roman"/>
          <w:color w:val="auto"/>
          <w:highlight w:val="none"/>
        </w:rPr>
        <w:t>永久占地</w:t>
      </w:r>
      <w:r>
        <w:rPr>
          <w:rFonts w:hint="eastAsia" w:eastAsia="仿宋_GB2312" w:cs="Times New Roman"/>
          <w:color w:val="auto"/>
          <w:highlight w:val="none"/>
          <w:lang w:eastAsia="zh-CN"/>
        </w:rPr>
        <w:t>面积为</w:t>
      </w:r>
      <w:r>
        <w:rPr>
          <w:rFonts w:hint="eastAsia" w:eastAsia="仿宋_GB2312" w:cs="Times New Roman"/>
          <w:color w:val="auto"/>
          <w:highlight w:val="none"/>
          <w:lang w:val="en-US" w:eastAsia="zh-CN"/>
        </w:rPr>
        <w:t>0.40hm²，红线外永久占地为0.05hm²</w:t>
      </w:r>
      <w:r>
        <w:rPr>
          <w:rFonts w:hint="default" w:ascii="Times New Roman" w:hAnsi="Times New Roman" w:eastAsia="仿宋_GB2312" w:cs="Times New Roman"/>
          <w:color w:val="auto"/>
          <w:highlight w:val="none"/>
        </w:rPr>
        <w:t>。土地利用类型</w:t>
      </w:r>
      <w:r>
        <w:rPr>
          <w:rFonts w:hint="eastAsia" w:eastAsia="仿宋_GB2312" w:cs="Times New Roman"/>
          <w:color w:val="auto"/>
          <w:highlight w:val="none"/>
          <w:lang w:eastAsia="zh-CN"/>
        </w:rPr>
        <w:t>商业用地</w:t>
      </w:r>
      <w:r>
        <w:rPr>
          <w:rFonts w:hint="default" w:ascii="Times New Roman" w:hAnsi="Times New Roman" w:eastAsia="仿宋_GB2312" w:cs="Times New Roman"/>
          <w:color w:val="auto"/>
          <w:highlight w:val="none"/>
        </w:rPr>
        <w:t>，占地符合《生产建设项目水土保持技术标准》的相关规定，不占用基本农田等生产力较高的土地，有利于保护水土资源。项目区原生植被覆盖度约</w:t>
      </w:r>
      <w:r>
        <w:rPr>
          <w:rFonts w:hint="eastAsia" w:eastAsia="仿宋_GB2312" w:cs="Times New Roman"/>
          <w:color w:val="auto"/>
          <w:highlight w:val="none"/>
          <w:lang w:eastAsia="zh-CN"/>
        </w:rPr>
        <w:t>10%</w:t>
      </w:r>
      <w:r>
        <w:rPr>
          <w:rFonts w:hint="default" w:ascii="Times New Roman" w:hAnsi="Times New Roman" w:eastAsia="仿宋_GB2312" w:cs="Times New Roman"/>
          <w:color w:val="auto"/>
          <w:highlight w:val="none"/>
        </w:rPr>
        <w:t>，生产力较低，所以本工程建设不会对当地的农牧业生产造成影响。</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占地性质分析：本工程所有项目区全部位于红线占地范围内，不占用基本农田、水浇地等生产力较高的土地。</w:t>
      </w:r>
      <w:r>
        <w:rPr>
          <w:rFonts w:hint="eastAsia" w:eastAsia="仿宋_GB2312" w:cs="Times New Roman"/>
          <w:color w:val="auto"/>
          <w:highlight w:val="none"/>
          <w:lang w:eastAsia="zh-CN"/>
        </w:rPr>
        <w:t>施工生产生活区</w:t>
      </w:r>
      <w:r>
        <w:rPr>
          <w:rFonts w:hint="default" w:ascii="Times New Roman" w:hAnsi="Times New Roman" w:eastAsia="仿宋_GB2312" w:cs="Times New Roman"/>
          <w:color w:val="auto"/>
          <w:highlight w:val="none"/>
        </w:rPr>
        <w:t>布设于站区东侧靠近围墙处。此外，项目进场道路直接利用现有道路。工程施工期间对施工工作面进行洒水降尘等防护措施，符合水土保持要求，控制了新增施工占地扰动、减少了水土流失范围。</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占地面积分析：根据主体设计资料分析，本工程占地</w:t>
      </w:r>
      <w:r>
        <w:rPr>
          <w:rFonts w:hint="eastAsia" w:eastAsia="仿宋_GB2312" w:cs="Times New Roman"/>
          <w:color w:val="auto"/>
          <w:highlight w:val="none"/>
          <w:lang w:val="en-US" w:eastAsia="zh-CN"/>
        </w:rPr>
        <w:t>0.45h</w:t>
      </w:r>
      <w:r>
        <w:rPr>
          <w:rFonts w:hint="default" w:ascii="Times New Roman" w:hAnsi="Times New Roman" w:eastAsia="仿宋_GB2312" w:cs="Times New Roman"/>
          <w:color w:val="auto"/>
          <w:highlight w:val="none"/>
        </w:rPr>
        <w:t>m²，其中红线内永久占地为</w:t>
      </w:r>
      <w:r>
        <w:rPr>
          <w:rFonts w:hint="eastAsia" w:eastAsia="仿宋_GB2312" w:cs="Times New Roman"/>
          <w:color w:val="auto"/>
          <w:highlight w:val="none"/>
          <w:lang w:val="en-US" w:eastAsia="zh-CN"/>
        </w:rPr>
        <w:t>0.40h</w:t>
      </w:r>
      <w:r>
        <w:rPr>
          <w:rFonts w:hint="default" w:ascii="Times New Roman" w:hAnsi="Times New Roman" w:eastAsia="仿宋_GB2312" w:cs="Times New Roman"/>
          <w:color w:val="auto"/>
          <w:highlight w:val="none"/>
        </w:rPr>
        <w:t>m²，红线外</w:t>
      </w:r>
      <w:r>
        <w:rPr>
          <w:rFonts w:hint="eastAsia" w:eastAsia="仿宋_GB2312" w:cs="Times New Roman"/>
          <w:color w:val="auto"/>
          <w:highlight w:val="none"/>
          <w:lang w:eastAsia="zh-CN"/>
        </w:rPr>
        <w:t>永久</w:t>
      </w:r>
      <w:r>
        <w:rPr>
          <w:rFonts w:hint="default" w:ascii="Times New Roman" w:hAnsi="Times New Roman" w:eastAsia="仿宋_GB2312" w:cs="Times New Roman"/>
          <w:color w:val="auto"/>
          <w:highlight w:val="none"/>
        </w:rPr>
        <w:t>占地为连接</w:t>
      </w:r>
      <w:r>
        <w:rPr>
          <w:rFonts w:hint="eastAsia" w:eastAsia="仿宋_GB2312" w:cs="Times New Roman"/>
          <w:color w:val="auto"/>
          <w:highlight w:val="none"/>
          <w:lang w:eastAsia="zh-CN"/>
        </w:rPr>
        <w:t>和平北路</w:t>
      </w:r>
      <w:r>
        <w:rPr>
          <w:rFonts w:hint="default" w:ascii="Times New Roman" w:hAnsi="Times New Roman" w:eastAsia="仿宋_GB2312" w:cs="Times New Roman"/>
          <w:color w:val="auto"/>
          <w:highlight w:val="none"/>
        </w:rPr>
        <w:t>与站区</w:t>
      </w:r>
      <w:r>
        <w:rPr>
          <w:rFonts w:hint="eastAsia" w:eastAsia="仿宋_GB2312" w:cs="Times New Roman"/>
          <w:color w:val="auto"/>
          <w:highlight w:val="none"/>
          <w:lang w:eastAsia="zh-CN"/>
        </w:rPr>
        <w:t>的</w:t>
      </w:r>
      <w:r>
        <w:rPr>
          <w:rFonts w:hint="default" w:ascii="Times New Roman" w:hAnsi="Times New Roman" w:eastAsia="仿宋_GB2312" w:cs="Times New Roman"/>
          <w:color w:val="auto"/>
          <w:highlight w:val="none"/>
        </w:rPr>
        <w:t>车辆进出口道路</w:t>
      </w:r>
      <w:r>
        <w:rPr>
          <w:rFonts w:hint="eastAsia" w:eastAsia="仿宋_GB2312" w:cs="Times New Roman"/>
          <w:color w:val="auto"/>
          <w:highlight w:val="none"/>
          <w:lang w:eastAsia="zh-CN"/>
        </w:rPr>
        <w:t>，面积为</w:t>
      </w:r>
      <w:r>
        <w:rPr>
          <w:rFonts w:hint="eastAsia" w:eastAsia="仿宋_GB2312" w:cs="Times New Roman"/>
          <w:color w:val="auto"/>
          <w:highlight w:val="none"/>
          <w:lang w:val="en-US" w:eastAsia="zh-CN"/>
        </w:rPr>
        <w:t>480</w:t>
      </w:r>
      <w:r>
        <w:rPr>
          <w:rFonts w:hint="default" w:ascii="Times New Roman" w:hAnsi="Times New Roman" w:eastAsia="仿宋_GB2312" w:cs="Times New Roman"/>
          <w:color w:val="auto"/>
          <w:highlight w:val="none"/>
        </w:rPr>
        <w:t>m²，此路为主体工程设计。在施工过程中减少了工程占地面积、缩短了施工工期、降低了对项目区生态环境的扰动和破坏。从水土保持角度考虑，主体工程占地合理，复合水土保持要求。</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占地可恢复性分析：本工程原生地貌植被覆盖率约</w:t>
      </w:r>
      <w:r>
        <w:rPr>
          <w:rFonts w:hint="eastAsia" w:eastAsia="仿宋_GB2312" w:cs="Times New Roman"/>
          <w:color w:val="auto"/>
          <w:highlight w:val="none"/>
          <w:lang w:eastAsia="zh-CN"/>
        </w:rPr>
        <w:t>10%</w:t>
      </w:r>
      <w:r>
        <w:rPr>
          <w:rFonts w:hint="default" w:ascii="Times New Roman" w:hAnsi="Times New Roman" w:eastAsia="仿宋_GB2312" w:cs="Times New Roman"/>
          <w:color w:val="auto"/>
          <w:highlight w:val="none"/>
        </w:rPr>
        <w:t>，土壤肥力较低，但项目区有人工灌溉及增加肥力的条件，满足植被生长要求。项目正在建设过程中，除建设用地外部分硬化部分机械压实，为抑制项目区扬尘，在场区布设绿化区域，减少粉尘扩散，项目</w:t>
      </w:r>
      <w:r>
        <w:rPr>
          <w:rFonts w:hint="eastAsia" w:eastAsia="仿宋_GB2312" w:cs="Times New Roman"/>
          <w:color w:val="auto"/>
          <w:highlight w:val="none"/>
          <w:lang w:eastAsia="zh-CN"/>
        </w:rPr>
        <w:t>区</w:t>
      </w:r>
      <w:r>
        <w:rPr>
          <w:rFonts w:hint="default" w:ascii="Times New Roman" w:hAnsi="Times New Roman" w:eastAsia="仿宋_GB2312" w:cs="Times New Roman"/>
          <w:color w:val="auto"/>
          <w:highlight w:val="none"/>
        </w:rPr>
        <w:t>设置绿化措施合理。</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综上所述，本方案占地面积合理，无乱占多占现象，提高土地利用效率，总体符合水土保持要求。</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3.2.</w:t>
      </w:r>
      <w:r>
        <w:rPr>
          <w:rFonts w:hint="eastAsia" w:cs="Times New Roman"/>
          <w:color w:val="auto"/>
          <w:highlight w:val="none"/>
          <w:lang w:val="en-US" w:eastAsia="zh-CN"/>
        </w:rPr>
        <w:t>3</w:t>
      </w:r>
      <w:r>
        <w:rPr>
          <w:rFonts w:hint="default" w:ascii="Times New Roman" w:hAnsi="Times New Roman" w:eastAsia="仿宋_GB2312" w:cs="Times New Roman"/>
          <w:color w:val="auto"/>
          <w:highlight w:val="none"/>
        </w:rPr>
        <w:t xml:space="preserve"> 弃渣（石、渣、灰、矸石、尾矿）场设置评价</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工程建设期间挖方均用于后期回填，无永久弃方，因此无永久弃渣场。但本项目涉及土方主要为各构筑物基础开挖土方以及管沟开挖土方，在施工完成后均回填利用，因此该部分土石方均需要临时堆置。主体考虑各构筑物较为分散，且单个构筑物施工期较短，未采取集中堆置，避免了土石方的二次倒运，有利于水土保持，并且多余土石方采取周边摊平利用，未单独外运丢弃，土方最大程度综合利用，有利于水土保持；管线开挖期间土方沿线堆置，未采取集中堆置，避免了土石方的二次倒运，有利于水土保持。</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经分析确定，主体未设置永久弃渣场，工程涉及土石方均综合利用，有利于水土保持；同时施工期间产生的临时堆土均有序堆置，未乱堆乱弃，且后期均综合利用，有利于水土保持；但主体未考虑施工期间的临时堆土防护，本方案在第五章中补充相应措施。</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3.2.</w:t>
      </w:r>
      <w:r>
        <w:rPr>
          <w:rFonts w:hint="eastAsia" w:cs="Times New Roman"/>
          <w:color w:val="auto"/>
          <w:highlight w:val="none"/>
          <w:lang w:val="en-US" w:eastAsia="zh-CN"/>
        </w:rPr>
        <w:t>4</w:t>
      </w:r>
      <w:r>
        <w:rPr>
          <w:rFonts w:hint="default" w:ascii="Times New Roman" w:hAnsi="Times New Roman" w:eastAsia="仿宋_GB2312" w:cs="Times New Roman"/>
          <w:color w:val="auto"/>
          <w:highlight w:val="none"/>
        </w:rPr>
        <w:t xml:space="preserve"> 土石方平衡评价</w:t>
      </w:r>
      <w:bookmarkEnd w:id="92"/>
      <w:bookmarkEnd w:id="93"/>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根据主体资料，本工程总挖方</w:t>
      </w:r>
      <w:r>
        <w:rPr>
          <w:rFonts w:hint="eastAsia" w:cs="Times New Roman"/>
          <w:color w:val="auto"/>
          <w:highlight w:val="none"/>
          <w:lang w:val="en-US" w:eastAsia="zh-CN"/>
        </w:rPr>
        <w:t>0.14万</w:t>
      </w:r>
      <w:r>
        <w:rPr>
          <w:rFonts w:hint="default" w:ascii="Times New Roman" w:hAnsi="Times New Roman" w:eastAsia="仿宋_GB2312" w:cs="Times New Roman"/>
          <w:color w:val="auto"/>
          <w:highlight w:val="none"/>
        </w:rPr>
        <w:t>m³，填方</w:t>
      </w:r>
      <w:r>
        <w:rPr>
          <w:rFonts w:hint="eastAsia" w:cs="Times New Roman"/>
          <w:color w:val="auto"/>
          <w:highlight w:val="none"/>
          <w:lang w:val="en-US" w:eastAsia="zh-CN"/>
        </w:rPr>
        <w:t>0.14万</w:t>
      </w:r>
      <w:r>
        <w:rPr>
          <w:rFonts w:hint="default" w:ascii="Times New Roman" w:hAnsi="Times New Roman" w:eastAsia="仿宋_GB2312" w:cs="Times New Roman"/>
          <w:color w:val="auto"/>
          <w:highlight w:val="none"/>
        </w:rPr>
        <w:t>m³，无借方，无弃方。涉及土方主要为建筑物基础、管沟开挖回填。各构筑物基础开挖土方临时堆置在开挖基础周边，后期回填利用。管沟开挖土方临时堆置在管沟开挖一侧，后期管线铺设完成后回填利用。同时为减少工程建设产生的土石方，主体最优布设相应的管线，最大程度减少工程重复扰动以及减少土石方开挖量。</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综上所述，本项目土石方来源及去向明确，土石方利用和调配合理、有序；土石方组成符合要求，运距合理。</w:t>
      </w:r>
      <w:r>
        <w:rPr>
          <w:rFonts w:hint="default" w:ascii="Times New Roman" w:hAnsi="Times New Roman" w:eastAsia="仿宋_GB2312" w:cs="Times New Roman"/>
          <w:bCs/>
          <w:color w:val="auto"/>
          <w:highlight w:val="none"/>
        </w:rPr>
        <w:t>工程开挖土方全部得到了合理处置，满足水土保持的要求。</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3.2.</w:t>
      </w:r>
      <w:r>
        <w:rPr>
          <w:rFonts w:hint="eastAsia" w:cs="Times New Roman"/>
          <w:color w:val="auto"/>
          <w:highlight w:val="none"/>
          <w:lang w:val="en-US" w:eastAsia="zh-CN"/>
        </w:rPr>
        <w:t>5</w:t>
      </w:r>
      <w:r>
        <w:rPr>
          <w:rFonts w:hint="default" w:ascii="Times New Roman" w:hAnsi="Times New Roman" w:eastAsia="仿宋_GB2312" w:cs="Times New Roman"/>
          <w:color w:val="auto"/>
          <w:highlight w:val="none"/>
        </w:rPr>
        <w:t xml:space="preserve"> 取土（石、砂）场设置评价</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本项目建设所需的混凝土砂砾石拌合料从当地商品料场购买，其水土保持责任由砂砾石料厂承担，不设置专用料场。</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3.2.6 施工方法与工艺评价</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一、施工布置分析</w:t>
      </w:r>
    </w:p>
    <w:p>
      <w:pPr>
        <w:pStyle w:val="55"/>
        <w:ind w:firstLine="480"/>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1、</w:t>
      </w:r>
      <w:r>
        <w:rPr>
          <w:rFonts w:hint="eastAsia" w:cs="Times New Roman"/>
          <w:color w:val="auto"/>
          <w:highlight w:val="none"/>
          <w:lang w:eastAsia="zh-CN"/>
        </w:rPr>
        <w:t>施工生产生活区</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本项目建设中</w:t>
      </w:r>
      <w:r>
        <w:rPr>
          <w:rFonts w:hint="eastAsia" w:cs="Times New Roman"/>
          <w:color w:val="auto"/>
          <w:highlight w:val="none"/>
          <w:lang w:eastAsia="zh-CN"/>
        </w:rPr>
        <w:t>施工生产生活区</w:t>
      </w:r>
      <w:r>
        <w:rPr>
          <w:rFonts w:hint="default" w:ascii="Times New Roman" w:hAnsi="Times New Roman" w:eastAsia="仿宋_GB2312" w:cs="Times New Roman"/>
          <w:color w:val="auto"/>
          <w:highlight w:val="none"/>
        </w:rPr>
        <w:t>布设于站区东侧靠近围墙处，集中布设，尽量减少施工期扰动，符合占地要求。</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2、施工材料</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该项目建设施工所需土方通过具有正规生产许可证的厂家购买，其余材料均从当地购置，符合水土保持要求。</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3、施工要求</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主体工程设计施工方案时考虑对水土保持有利的措施包括：充分考虑土石方填挖平衡，减少弃方进而减少水土流失；在纵面技术指标方面，设计中在满足各种构造物净空标准的前提下，最大限度地控制填挖方高度和土方工程量，以减少高填方和深挖方带来的水土流失问题。</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根据不同地质条件，基础开挖工程尽量安排在非雨季施工，基础施工时，设置防护措施后开挖，以减少大面积的开挖堆置表土引发水土流失的物质源，以上要求均符合水土保持要求。</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二、施工方法分析</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工程施工采用机械结合人工的施工方法。进行</w:t>
      </w:r>
      <w:r>
        <w:rPr>
          <w:rFonts w:hint="eastAsia" w:cs="Times New Roman"/>
          <w:color w:val="auto"/>
          <w:highlight w:val="none"/>
          <w:lang w:eastAsia="zh-CN"/>
        </w:rPr>
        <w:t>土地平整</w:t>
      </w:r>
      <w:r>
        <w:rPr>
          <w:rFonts w:hint="default" w:ascii="Times New Roman" w:hAnsi="Times New Roman" w:eastAsia="仿宋_GB2312" w:cs="Times New Roman"/>
          <w:color w:val="auto"/>
          <w:highlight w:val="none"/>
        </w:rPr>
        <w:t>时利用原地形的自然地势移挖作填，既可以减少施工开挖和回填量，也能减少对地面的扰动。基础开挖采用反铲挖掘机从上而下分层进行开挖，并进行一定的放坡，利于边坡稳定及排水，符合水土保持要求。</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三、施工时序分析</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主体工程设计中要求土方开挖、回填等对水土流失影响较大的工程避开大雨、大风天气，当必须施工时，采取适当的临时措施防治水土流失，符合水土流失防治要求。</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总体来看，工程施工工艺基本合理，通过加强临时防护和施工组织设计优化，能够减少新增水土流失。</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3.2.7 主体工程设计中具有水土保持功能工程的评价</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为保证本项目施工的安全，主体工程设计了各种具有水土保持功能的措施：绿化区的</w:t>
      </w:r>
      <w:r>
        <w:rPr>
          <w:rFonts w:hint="eastAsia" w:cs="Times New Roman"/>
          <w:color w:val="auto"/>
          <w:highlight w:val="none"/>
          <w:lang w:eastAsia="zh-CN"/>
        </w:rPr>
        <w:t>全面整地</w:t>
      </w:r>
      <w:r>
        <w:rPr>
          <w:rFonts w:hint="default" w:ascii="Times New Roman" w:hAnsi="Times New Roman" w:eastAsia="仿宋_GB2312" w:cs="Times New Roman"/>
          <w:color w:val="auto"/>
          <w:highlight w:val="none"/>
        </w:rPr>
        <w:t>、撒播草籽，</w:t>
      </w:r>
      <w:r>
        <w:rPr>
          <w:rFonts w:hint="eastAsia" w:cs="Times New Roman"/>
          <w:color w:val="auto"/>
          <w:highlight w:val="none"/>
          <w:lang w:eastAsia="zh-CN"/>
        </w:rPr>
        <w:t>进站道路区</w:t>
      </w:r>
      <w:r>
        <w:rPr>
          <w:rFonts w:hint="default" w:ascii="Times New Roman" w:hAnsi="Times New Roman" w:eastAsia="仿宋_GB2312" w:cs="Times New Roman"/>
          <w:color w:val="auto"/>
          <w:highlight w:val="none"/>
        </w:rPr>
        <w:t>的</w:t>
      </w:r>
      <w:r>
        <w:rPr>
          <w:rFonts w:hint="eastAsia" w:cs="Times New Roman"/>
          <w:color w:val="auto"/>
          <w:highlight w:val="none"/>
          <w:lang w:eastAsia="zh-CN"/>
        </w:rPr>
        <w:t>土地平整</w:t>
      </w:r>
      <w:r>
        <w:rPr>
          <w:rFonts w:hint="default" w:ascii="Times New Roman" w:hAnsi="Times New Roman" w:eastAsia="仿宋_GB2312" w:cs="Times New Roman"/>
          <w:color w:val="auto"/>
          <w:highlight w:val="none"/>
        </w:rPr>
        <w:t>，对工程建设施工期间及后期能够形成了一定的防护系统。现对主体工程设计并实施的具有水土保持功能的措施进行分析评价。</w:t>
      </w:r>
    </w:p>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3.2.7.1 建筑物区</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w:t>
      </w:r>
      <w:r>
        <w:rPr>
          <w:rStyle w:val="123"/>
          <w:rFonts w:hint="default" w:ascii="Times New Roman" w:hAnsi="Times New Roman" w:eastAsia="仿宋_GB2312" w:cs="Times New Roman"/>
          <w:color w:val="auto"/>
          <w:highlight w:val="none"/>
        </w:rPr>
        <w:t>主体资料分析，建筑物区</w:t>
      </w:r>
      <w:r>
        <w:rPr>
          <w:rStyle w:val="123"/>
          <w:rFonts w:hint="eastAsia" w:eastAsia="仿宋_GB2312" w:cs="Times New Roman"/>
          <w:color w:val="auto"/>
          <w:highlight w:val="none"/>
          <w:lang w:eastAsia="zh-CN"/>
        </w:rPr>
        <w:t>在施工结束后进行土地平整措施，并对绿化区进行了全面整地和撒播草籽的措施。</w:t>
      </w:r>
    </w:p>
    <w:p>
      <w:pPr>
        <w:pStyle w:val="55"/>
        <w:ind w:firstLine="482"/>
        <w:rPr>
          <w:rFonts w:hint="default" w:ascii="Times New Roman" w:hAnsi="Times New Roman" w:eastAsia="仿宋_GB2312" w:cs="Times New Roman"/>
          <w:b/>
          <w:color w:val="auto"/>
          <w:highlight w:val="none"/>
        </w:rPr>
      </w:pPr>
      <w:r>
        <w:rPr>
          <w:rFonts w:hint="default" w:ascii="Times New Roman" w:hAnsi="Times New Roman" w:eastAsia="仿宋_GB2312" w:cs="Times New Roman"/>
          <w:b/>
          <w:color w:val="auto"/>
          <w:highlight w:val="none"/>
        </w:rPr>
        <w:t>一、主体工程已实施水土保持措施</w:t>
      </w:r>
    </w:p>
    <w:p>
      <w:pPr>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w:t>
      </w:r>
      <w:r>
        <w:rPr>
          <w:rStyle w:val="123"/>
          <w:rFonts w:hint="default" w:ascii="Times New Roman" w:hAnsi="Times New Roman" w:cs="Times New Roman"/>
          <w:color w:val="auto"/>
          <w:highlight w:val="none"/>
        </w:rPr>
        <w:t>主体资料分析，主体</w:t>
      </w:r>
      <w:r>
        <w:rPr>
          <w:rStyle w:val="123"/>
          <w:rFonts w:hint="eastAsia" w:eastAsia="仿宋_GB2312" w:cs="Times New Roman"/>
          <w:color w:val="auto"/>
          <w:highlight w:val="none"/>
          <w:lang w:eastAsia="zh-CN"/>
        </w:rPr>
        <w:t>对建筑物区内进行了土地平整，并对绿化区进行了全面整地和撒播草籽的水土保持措施</w:t>
      </w:r>
      <w:r>
        <w:rPr>
          <w:rStyle w:val="123"/>
          <w:rFonts w:hint="default" w:ascii="Times New Roman" w:hAnsi="Times New Roman" w:cs="Times New Roman"/>
          <w:color w:val="auto"/>
          <w:highlight w:val="none"/>
        </w:rPr>
        <w:t>。</w:t>
      </w:r>
    </w:p>
    <w:p>
      <w:pPr>
        <w:pStyle w:val="55"/>
        <w:ind w:firstLine="482"/>
        <w:rPr>
          <w:rFonts w:hint="default" w:ascii="Times New Roman" w:hAnsi="Times New Roman" w:eastAsia="仿宋_GB2312" w:cs="Times New Roman"/>
          <w:b/>
          <w:color w:val="auto"/>
          <w:highlight w:val="none"/>
        </w:rPr>
      </w:pPr>
      <w:r>
        <w:rPr>
          <w:rFonts w:hint="default" w:ascii="Times New Roman" w:hAnsi="Times New Roman" w:eastAsia="仿宋_GB2312" w:cs="Times New Roman"/>
          <w:b/>
          <w:color w:val="auto"/>
          <w:highlight w:val="none"/>
        </w:rPr>
        <w:t>二、需要补充完善的水土保持措施</w:t>
      </w:r>
    </w:p>
    <w:p>
      <w:pPr>
        <w:pStyle w:val="55"/>
        <w:ind w:firstLine="480"/>
        <w:rPr>
          <w:rStyle w:val="123"/>
          <w:rFonts w:hint="default" w:ascii="Times New Roman" w:hAnsi="Times New Roman" w:cs="Times New Roman"/>
          <w:color w:val="auto"/>
          <w:highlight w:val="none"/>
        </w:rPr>
      </w:pPr>
      <w:r>
        <w:rPr>
          <w:rStyle w:val="123"/>
          <w:rFonts w:hint="default" w:ascii="Times New Roman" w:hAnsi="Times New Roman" w:cs="Times New Roman"/>
          <w:color w:val="auto"/>
          <w:highlight w:val="none"/>
        </w:rPr>
        <w:t>通过分析主体设计资料，建构筑物区施工过程中对基础开挖产生的临时堆土未考虑防尘网苫盖，对施工过程中产生的扬尘未考虑洒水，对项目区周边未考虑采取彩钢板拦挡限制扰动区域。因此本方案新增上述措施。</w:t>
      </w:r>
    </w:p>
    <w:p>
      <w:pPr>
        <w:pStyle w:val="73"/>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3.2.7.2</w:t>
      </w:r>
      <w:r>
        <w:rPr>
          <w:rFonts w:hint="eastAsia" w:cs="Times New Roman"/>
          <w:color w:val="auto"/>
          <w:highlight w:val="none"/>
          <w:lang w:eastAsia="zh-CN"/>
        </w:rPr>
        <w:t>管线工程区（重复占地）</w:t>
      </w:r>
    </w:p>
    <w:p>
      <w:pPr>
        <w:pStyle w:val="5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管线工程区主体设计后期对其采取</w:t>
      </w:r>
      <w:r>
        <w:rPr>
          <w:rFonts w:hint="eastAsia" w:ascii="Times New Roman" w:hAnsi="Times New Roman" w:cs="Times New Roman"/>
          <w:color w:val="auto"/>
          <w:highlight w:val="none"/>
          <w:lang w:eastAsia="zh-CN"/>
        </w:rPr>
        <w:t>土地平整</w:t>
      </w:r>
      <w:r>
        <w:rPr>
          <w:rFonts w:hint="default" w:ascii="Times New Roman" w:hAnsi="Times New Roman" w:cs="Times New Roman"/>
          <w:color w:val="auto"/>
          <w:highlight w:val="none"/>
        </w:rPr>
        <w:t>措施。</w:t>
      </w:r>
    </w:p>
    <w:p>
      <w:pPr>
        <w:pStyle w:val="5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一、主体工程已列水土保持措施</w:t>
      </w:r>
    </w:p>
    <w:p>
      <w:pPr>
        <w:pStyle w:val="5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1、工程措施</w:t>
      </w:r>
    </w:p>
    <w:p>
      <w:pPr>
        <w:pStyle w:val="5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w:t>
      </w:r>
      <w:r>
        <w:rPr>
          <w:rFonts w:hint="eastAsia" w:ascii="Times New Roman" w:hAnsi="Times New Roman" w:cs="Times New Roman"/>
          <w:color w:val="auto"/>
          <w:highlight w:val="none"/>
          <w:lang w:eastAsia="zh-CN"/>
        </w:rPr>
        <w:t>土地</w:t>
      </w:r>
      <w:r>
        <w:rPr>
          <w:rFonts w:hint="default" w:ascii="Times New Roman" w:hAnsi="Times New Roman" w:cs="Times New Roman"/>
          <w:color w:val="auto"/>
          <w:highlight w:val="none"/>
        </w:rPr>
        <w:t>平整</w:t>
      </w:r>
    </w:p>
    <w:p>
      <w:pPr>
        <w:pStyle w:val="5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根据主体资料分析，管沟开挖结束后对施工迹地进行</w:t>
      </w:r>
      <w:r>
        <w:rPr>
          <w:rFonts w:hint="eastAsia" w:ascii="Times New Roman" w:hAnsi="Times New Roman" w:cs="Times New Roman"/>
          <w:color w:val="auto"/>
          <w:highlight w:val="none"/>
          <w:lang w:eastAsia="zh-CN"/>
        </w:rPr>
        <w:t>土地平整</w:t>
      </w:r>
      <w:r>
        <w:rPr>
          <w:rFonts w:hint="default" w:ascii="Times New Roman" w:hAnsi="Times New Roman" w:cs="Times New Roman"/>
          <w:color w:val="auto"/>
          <w:highlight w:val="none"/>
        </w:rPr>
        <w:t>措施，</w:t>
      </w:r>
      <w:r>
        <w:rPr>
          <w:rFonts w:hint="eastAsia" w:ascii="Times New Roman" w:hAnsi="Times New Roman" w:cs="Times New Roman"/>
          <w:color w:val="auto"/>
          <w:highlight w:val="none"/>
          <w:lang w:eastAsia="zh-CN"/>
        </w:rPr>
        <w:t>土地平整</w:t>
      </w:r>
      <w:r>
        <w:rPr>
          <w:rFonts w:hint="default" w:ascii="Times New Roman" w:hAnsi="Times New Roman" w:cs="Times New Roman"/>
          <w:color w:val="auto"/>
          <w:highlight w:val="none"/>
        </w:rPr>
        <w:t>能够一定程度上减轻裸露地表的水土流失程度，提高土层抗风蚀、水蚀能力，具有一定的水土保持效果，</w:t>
      </w:r>
      <w:r>
        <w:rPr>
          <w:rFonts w:hint="eastAsia" w:ascii="Times New Roman" w:hAnsi="Times New Roman" w:cs="Times New Roman"/>
          <w:color w:val="auto"/>
          <w:highlight w:val="none"/>
          <w:lang w:eastAsia="zh-CN"/>
        </w:rPr>
        <w:t>土地平整</w:t>
      </w:r>
      <w:r>
        <w:rPr>
          <w:rFonts w:hint="default" w:ascii="Times New Roman" w:hAnsi="Times New Roman" w:cs="Times New Roman"/>
          <w:color w:val="auto"/>
          <w:highlight w:val="none"/>
        </w:rPr>
        <w:t>措施共计</w:t>
      </w:r>
      <w:r>
        <w:rPr>
          <w:rFonts w:hint="eastAsia" w:ascii="Times New Roman" w:hAnsi="Times New Roman" w:cs="Times New Roman"/>
          <w:color w:val="auto"/>
          <w:highlight w:val="none"/>
          <w:lang w:val="en-US" w:eastAsia="zh-CN"/>
        </w:rPr>
        <w:t>159</w:t>
      </w:r>
      <w:r>
        <w:rPr>
          <w:rFonts w:hint="eastAsia" w:ascii="Times New Roman" w:hAnsi="Times New Roman" w:cs="Times New Roman"/>
          <w:color w:val="auto"/>
          <w:highlight w:val="none"/>
          <w:lang w:eastAsia="zh-CN"/>
        </w:rPr>
        <w:t>m²</w:t>
      </w:r>
      <w:r>
        <w:rPr>
          <w:rFonts w:hint="default" w:ascii="Times New Roman" w:hAnsi="Times New Roman" w:cs="Times New Roman"/>
          <w:color w:val="auto"/>
          <w:highlight w:val="none"/>
        </w:rPr>
        <w:t>。</w:t>
      </w:r>
    </w:p>
    <w:p>
      <w:pPr>
        <w:pStyle w:val="5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二、需要补充完善的水土保持措施</w:t>
      </w:r>
    </w:p>
    <w:p>
      <w:pPr>
        <w:pStyle w:val="5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通过分析主体设计资料，主体对管线区施工结束后对扰动迹地实施</w:t>
      </w:r>
      <w:r>
        <w:rPr>
          <w:rFonts w:hint="eastAsia" w:ascii="Times New Roman" w:hAnsi="Times New Roman" w:cs="Times New Roman"/>
          <w:color w:val="auto"/>
          <w:highlight w:val="none"/>
          <w:lang w:eastAsia="zh-CN"/>
        </w:rPr>
        <w:t>土地平整</w:t>
      </w:r>
      <w:r>
        <w:rPr>
          <w:rFonts w:hint="default" w:ascii="Times New Roman" w:hAnsi="Times New Roman" w:cs="Times New Roman"/>
          <w:color w:val="auto"/>
          <w:highlight w:val="none"/>
        </w:rPr>
        <w:t>措施，该区域布设措施，有效防治管沟开挖临时堆土产生的水土流失，但未考虑管沟开挖临时堆土的苫盖，因此本方案此次新增防尘网</w:t>
      </w:r>
      <w:r>
        <w:rPr>
          <w:rFonts w:hint="eastAsia" w:ascii="Times New Roman" w:hAnsi="Times New Roman" w:cs="Times New Roman"/>
          <w:color w:val="auto"/>
          <w:highlight w:val="none"/>
          <w:lang w:eastAsia="zh-CN"/>
        </w:rPr>
        <w:t>苫盖</w:t>
      </w:r>
      <w:r>
        <w:rPr>
          <w:rFonts w:hint="default" w:ascii="Times New Roman" w:hAnsi="Times New Roman" w:cs="Times New Roman"/>
          <w:color w:val="auto"/>
          <w:highlight w:val="none"/>
        </w:rPr>
        <w:t>措施。</w:t>
      </w:r>
    </w:p>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3.2.7.3</w:t>
      </w:r>
      <w:r>
        <w:rPr>
          <w:rFonts w:hint="eastAsia" w:cs="Times New Roman"/>
          <w:color w:val="auto"/>
          <w:highlight w:val="none"/>
          <w:lang w:eastAsia="zh-CN"/>
        </w:rPr>
        <w:t>道路及</w:t>
      </w:r>
      <w:r>
        <w:rPr>
          <w:rFonts w:hint="default" w:ascii="Times New Roman" w:hAnsi="Times New Roman" w:eastAsia="仿宋_GB2312" w:cs="Times New Roman"/>
          <w:color w:val="auto"/>
          <w:highlight w:val="none"/>
        </w:rPr>
        <w:t>硬化区</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一、主体工程已实施的水土保持措施</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1、工程措施</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cs="Times New Roman"/>
          <w:color w:val="auto"/>
          <w:highlight w:val="none"/>
        </w:rPr>
        <w:t>通过分析主体设计资料</w:t>
      </w:r>
      <w:r>
        <w:rPr>
          <w:rFonts w:hint="default" w:ascii="Times New Roman" w:hAnsi="Times New Roman" w:eastAsia="仿宋_GB2312" w:cs="Times New Roman"/>
          <w:color w:val="auto"/>
          <w:highlight w:val="none"/>
        </w:rPr>
        <w:t>，主体在施工结束后对扰动区域进行</w:t>
      </w:r>
      <w:r>
        <w:rPr>
          <w:rFonts w:hint="eastAsia" w:cs="Times New Roman"/>
          <w:color w:val="auto"/>
          <w:highlight w:val="none"/>
          <w:lang w:eastAsia="zh-CN"/>
        </w:rPr>
        <w:t>地面硬化</w:t>
      </w:r>
      <w:r>
        <w:rPr>
          <w:rFonts w:hint="default" w:ascii="Times New Roman" w:hAnsi="Times New Roman" w:eastAsia="仿宋_GB2312" w:cs="Times New Roman"/>
          <w:color w:val="auto"/>
          <w:highlight w:val="none"/>
        </w:rPr>
        <w:t>措施</w:t>
      </w:r>
      <w:r>
        <w:rPr>
          <w:rFonts w:hint="eastAsia" w:cs="Times New Roman"/>
          <w:color w:val="auto"/>
          <w:highlight w:val="none"/>
          <w:lang w:eastAsia="zh-CN"/>
        </w:rPr>
        <w:t>及土地平整措施</w:t>
      </w:r>
      <w:r>
        <w:rPr>
          <w:rFonts w:hint="default" w:ascii="Times New Roman" w:hAnsi="Times New Roman" w:eastAsia="仿宋_GB2312" w:cs="Times New Roman"/>
          <w:color w:val="auto"/>
          <w:highlight w:val="none"/>
        </w:rPr>
        <w:t>，</w:t>
      </w:r>
      <w:r>
        <w:rPr>
          <w:rFonts w:hint="eastAsia" w:cs="Times New Roman"/>
          <w:color w:val="auto"/>
          <w:highlight w:val="none"/>
          <w:lang w:eastAsia="zh-CN"/>
        </w:rPr>
        <w:t>地面硬化及土地平整</w:t>
      </w:r>
      <w:r>
        <w:rPr>
          <w:rFonts w:hint="default" w:ascii="Times New Roman" w:hAnsi="Times New Roman" w:eastAsia="仿宋_GB2312" w:cs="Times New Roman"/>
          <w:color w:val="auto"/>
          <w:highlight w:val="none"/>
        </w:rPr>
        <w:t>能够一定程度上减轻裸露地表的水土流失程度，提高土层抗风蚀、水蚀能力，具有一定的水土保持效果，</w:t>
      </w:r>
      <w:r>
        <w:rPr>
          <w:rFonts w:hint="eastAsia" w:cs="Times New Roman"/>
          <w:color w:val="auto"/>
          <w:highlight w:val="none"/>
          <w:lang w:eastAsia="zh-CN"/>
        </w:rPr>
        <w:t>但地面硬化与土地平整</w:t>
      </w:r>
      <w:r>
        <w:rPr>
          <w:rFonts w:hint="default" w:ascii="Times New Roman" w:hAnsi="Times New Roman" w:eastAsia="仿宋_GB2312" w:cs="Times New Roman"/>
          <w:color w:val="auto"/>
          <w:highlight w:val="none"/>
        </w:rPr>
        <w:t>措施属于主体工程设计工序，此次未计入水土保持措施。</w:t>
      </w:r>
    </w:p>
    <w:p>
      <w:pPr>
        <w:pStyle w:val="55"/>
        <w:ind w:firstLine="480"/>
        <w:rPr>
          <w:rFonts w:hint="default" w:ascii="Times New Roman" w:hAnsi="Times New Roman" w:eastAsia="仿宋_GB2312" w:cs="Times New Roman"/>
          <w:color w:val="auto"/>
          <w:highlight w:val="none"/>
        </w:rPr>
      </w:pPr>
      <w:r>
        <w:rPr>
          <w:rFonts w:hint="eastAsia" w:cs="Times New Roman"/>
          <w:color w:val="auto"/>
          <w:highlight w:val="none"/>
          <w:lang w:eastAsia="zh-CN"/>
        </w:rPr>
        <w:t>①</w:t>
      </w:r>
      <w:r>
        <w:rPr>
          <w:rFonts w:hint="default" w:ascii="Times New Roman" w:hAnsi="Times New Roman" w:eastAsia="仿宋_GB2312" w:cs="Times New Roman"/>
          <w:color w:val="auto"/>
          <w:highlight w:val="none"/>
        </w:rPr>
        <w:t>地面硬化：主体设计在施工结束后对建筑物以外的裸露区域采用混凝土硬化，地面硬化可有效防止水土流失，具有水土保持功能。</w:t>
      </w:r>
    </w:p>
    <w:p>
      <w:pPr>
        <w:pStyle w:val="55"/>
        <w:ind w:firstLine="480"/>
        <w:rPr>
          <w:rFonts w:hint="default" w:ascii="Times New Roman" w:hAnsi="Times New Roman" w:eastAsia="仿宋_GB2312" w:cs="Times New Roman"/>
          <w:color w:val="auto"/>
          <w:highlight w:val="none"/>
        </w:rPr>
      </w:pPr>
      <w:r>
        <w:rPr>
          <w:rFonts w:hint="eastAsia" w:ascii="Times New Roman" w:hAnsi="Times New Roman" w:cs="Times New Roman"/>
          <w:color w:val="auto"/>
          <w:highlight w:val="none"/>
          <w:lang w:eastAsia="zh-CN"/>
        </w:rPr>
        <w:t>②</w:t>
      </w:r>
      <w:r>
        <w:rPr>
          <w:rFonts w:hint="eastAsia" w:cs="Times New Roman"/>
          <w:color w:val="auto"/>
          <w:highlight w:val="none"/>
          <w:lang w:eastAsia="zh-CN"/>
        </w:rPr>
        <w:t>土地平整：</w:t>
      </w:r>
      <w:r>
        <w:rPr>
          <w:rFonts w:hint="default" w:ascii="Times New Roman" w:hAnsi="Times New Roman" w:cs="Times New Roman"/>
          <w:color w:val="auto"/>
          <w:highlight w:val="none"/>
        </w:rPr>
        <w:t>通过分析主体设计资料</w:t>
      </w:r>
      <w:r>
        <w:rPr>
          <w:rFonts w:hint="default" w:ascii="Times New Roman" w:hAnsi="Times New Roman" w:eastAsia="仿宋_GB2312" w:cs="Times New Roman"/>
          <w:color w:val="auto"/>
          <w:highlight w:val="none"/>
        </w:rPr>
        <w:t>，</w:t>
      </w:r>
      <w:r>
        <w:rPr>
          <w:rFonts w:hint="eastAsia" w:ascii="Times New Roman" w:hAnsi="Times New Roman" w:cs="Times New Roman"/>
          <w:color w:val="auto"/>
          <w:highlight w:val="none"/>
          <w:lang w:eastAsia="zh-CN"/>
        </w:rPr>
        <w:t>道路及硬化区在施工</w:t>
      </w:r>
      <w:r>
        <w:rPr>
          <w:rFonts w:hint="default" w:ascii="Times New Roman" w:hAnsi="Times New Roman" w:eastAsia="仿宋_GB2312" w:cs="Times New Roman"/>
          <w:color w:val="auto"/>
          <w:highlight w:val="none"/>
        </w:rPr>
        <w:t>结束后</w:t>
      </w:r>
      <w:r>
        <w:rPr>
          <w:rFonts w:hint="eastAsia" w:ascii="Times New Roman" w:hAnsi="Times New Roman" w:cs="Times New Roman"/>
          <w:color w:val="auto"/>
          <w:highlight w:val="none"/>
          <w:lang w:eastAsia="zh-CN"/>
        </w:rPr>
        <w:t>应</w:t>
      </w:r>
      <w:r>
        <w:rPr>
          <w:rFonts w:hint="default" w:ascii="Times New Roman" w:hAnsi="Times New Roman" w:eastAsia="仿宋_GB2312" w:cs="Times New Roman"/>
          <w:color w:val="auto"/>
          <w:highlight w:val="none"/>
        </w:rPr>
        <w:t>对施工迹地进行</w:t>
      </w:r>
      <w:r>
        <w:rPr>
          <w:rFonts w:hint="eastAsia" w:cs="Times New Roman"/>
          <w:color w:val="auto"/>
          <w:highlight w:val="none"/>
          <w:lang w:eastAsia="zh-CN"/>
        </w:rPr>
        <w:t>土地平整</w:t>
      </w:r>
      <w:r>
        <w:rPr>
          <w:rFonts w:hint="default" w:ascii="Times New Roman" w:hAnsi="Times New Roman" w:eastAsia="仿宋_GB2312" w:cs="Times New Roman"/>
          <w:color w:val="auto"/>
          <w:highlight w:val="none"/>
        </w:rPr>
        <w:t>措施，</w:t>
      </w:r>
      <w:r>
        <w:rPr>
          <w:rFonts w:hint="eastAsia" w:cs="Times New Roman"/>
          <w:color w:val="auto"/>
          <w:highlight w:val="none"/>
          <w:lang w:eastAsia="zh-CN"/>
        </w:rPr>
        <w:t>土地平整</w:t>
      </w:r>
      <w:r>
        <w:rPr>
          <w:rFonts w:hint="default" w:ascii="Times New Roman" w:hAnsi="Times New Roman" w:eastAsia="仿宋_GB2312" w:cs="Times New Roman"/>
          <w:color w:val="auto"/>
          <w:highlight w:val="none"/>
        </w:rPr>
        <w:t>能够一定程度上减轻裸露地表的水土流失程度，提高土层抗风蚀、水蚀能力，具有一定的水土保持效果</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二、需要补充完善的水土保持措施</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通过分析主体设计资料，主体对硬化区施工后扰动区域</w:t>
      </w:r>
      <w:r>
        <w:rPr>
          <w:rFonts w:hint="eastAsia" w:cs="Times New Roman"/>
          <w:color w:val="auto"/>
          <w:highlight w:val="none"/>
          <w:lang w:eastAsia="zh-CN"/>
        </w:rPr>
        <w:t>未采取洒水的措施</w:t>
      </w:r>
      <w:r>
        <w:rPr>
          <w:rFonts w:hint="default" w:ascii="Times New Roman" w:hAnsi="Times New Roman" w:eastAsia="仿宋_GB2312" w:cs="Times New Roman"/>
          <w:color w:val="auto"/>
          <w:highlight w:val="none"/>
        </w:rPr>
        <w:t>，</w:t>
      </w:r>
      <w:r>
        <w:rPr>
          <w:rFonts w:hint="default" w:ascii="Times New Roman" w:hAnsi="Times New Roman" w:cs="Times New Roman"/>
          <w:color w:val="auto"/>
          <w:highlight w:val="none"/>
        </w:rPr>
        <w:t>因此</w:t>
      </w:r>
      <w:r>
        <w:rPr>
          <w:rFonts w:hint="eastAsia" w:ascii="Times New Roman" w:hAnsi="Times New Roman" w:cs="Times New Roman"/>
          <w:color w:val="auto"/>
          <w:highlight w:val="none"/>
          <w:lang w:eastAsia="zh-CN"/>
        </w:rPr>
        <w:t>本方案</w:t>
      </w:r>
      <w:r>
        <w:rPr>
          <w:rFonts w:hint="default" w:ascii="Times New Roman" w:hAnsi="Times New Roman" w:cs="Times New Roman"/>
          <w:color w:val="auto"/>
          <w:highlight w:val="none"/>
        </w:rPr>
        <w:t>新增洒水措施</w:t>
      </w:r>
      <w:r>
        <w:rPr>
          <w:rFonts w:hint="default" w:ascii="Times New Roman" w:hAnsi="Times New Roman" w:eastAsia="仿宋_GB2312" w:cs="Times New Roman"/>
          <w:color w:val="auto"/>
          <w:highlight w:val="none"/>
        </w:rPr>
        <w:t>。</w:t>
      </w:r>
    </w:p>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3.2.7.</w:t>
      </w:r>
      <w:r>
        <w:rPr>
          <w:rFonts w:hint="eastAsia" w:cs="Times New Roman"/>
          <w:color w:val="auto"/>
          <w:highlight w:val="none"/>
          <w:lang w:val="en-US" w:eastAsia="zh-CN"/>
        </w:rPr>
        <w:t>4</w:t>
      </w:r>
      <w:r>
        <w:rPr>
          <w:rFonts w:hint="eastAsia" w:cs="Times New Roman"/>
          <w:color w:val="auto"/>
          <w:highlight w:val="none"/>
          <w:lang w:eastAsia="zh-CN"/>
        </w:rPr>
        <w:t>施工生产生活区</w:t>
      </w:r>
      <w:r>
        <w:rPr>
          <w:rFonts w:hint="default" w:ascii="Times New Roman" w:hAnsi="Times New Roman" w:eastAsia="仿宋_GB2312" w:cs="Times New Roman"/>
          <w:color w:val="auto"/>
          <w:highlight w:val="none"/>
        </w:rPr>
        <w:t>（重复占地）</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一、主体工程已实施水土保持措施</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1、工程措施</w:t>
      </w:r>
    </w:p>
    <w:p>
      <w:pPr>
        <w:pStyle w:val="55"/>
        <w:ind w:firstLine="480"/>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①</w:t>
      </w:r>
      <w:r>
        <w:rPr>
          <w:rFonts w:hint="eastAsia" w:cs="Times New Roman"/>
          <w:color w:val="auto"/>
          <w:highlight w:val="none"/>
          <w:lang w:eastAsia="zh-CN"/>
        </w:rPr>
        <w:t>土地平整</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cs="Times New Roman"/>
          <w:color w:val="auto"/>
          <w:highlight w:val="none"/>
        </w:rPr>
        <w:t>根据主体资料分析，主体设计对施工迹地进行</w:t>
      </w:r>
      <w:r>
        <w:rPr>
          <w:rFonts w:hint="eastAsia" w:ascii="Times New Roman" w:hAnsi="Times New Roman" w:cs="Times New Roman"/>
          <w:color w:val="auto"/>
          <w:highlight w:val="none"/>
          <w:lang w:eastAsia="zh-CN"/>
        </w:rPr>
        <w:t>土地平整</w:t>
      </w:r>
      <w:r>
        <w:rPr>
          <w:rFonts w:hint="default" w:ascii="Times New Roman" w:hAnsi="Times New Roman" w:cs="Times New Roman"/>
          <w:color w:val="auto"/>
          <w:highlight w:val="none"/>
        </w:rPr>
        <w:t>措施，</w:t>
      </w:r>
      <w:r>
        <w:rPr>
          <w:rFonts w:hint="eastAsia" w:cs="Times New Roman"/>
          <w:color w:val="auto"/>
          <w:highlight w:val="none"/>
          <w:lang w:eastAsia="zh-CN"/>
        </w:rPr>
        <w:t>面积为</w:t>
      </w:r>
      <w:r>
        <w:rPr>
          <w:rFonts w:hint="eastAsia" w:cs="Times New Roman"/>
          <w:color w:val="auto"/>
          <w:highlight w:val="none"/>
          <w:lang w:val="en-US" w:eastAsia="zh-CN"/>
        </w:rPr>
        <w:t>150m²，</w:t>
      </w:r>
      <w:r>
        <w:rPr>
          <w:rFonts w:hint="eastAsia" w:ascii="Times New Roman" w:hAnsi="Times New Roman" w:cs="Times New Roman"/>
          <w:color w:val="auto"/>
          <w:highlight w:val="none"/>
          <w:lang w:eastAsia="zh-CN"/>
        </w:rPr>
        <w:t>土地平整</w:t>
      </w:r>
      <w:r>
        <w:rPr>
          <w:rFonts w:hint="default" w:ascii="Times New Roman" w:hAnsi="Times New Roman" w:cs="Times New Roman"/>
          <w:color w:val="auto"/>
          <w:highlight w:val="none"/>
        </w:rPr>
        <w:t>能够一定程度上减轻裸露地表的水土流失程度，提高土层抗风蚀、水蚀能力，具有一定的水土保持效果，</w:t>
      </w:r>
      <w:r>
        <w:rPr>
          <w:rFonts w:hint="eastAsia" w:cs="Times New Roman"/>
          <w:color w:val="auto"/>
          <w:highlight w:val="none"/>
          <w:lang w:eastAsia="zh-CN"/>
        </w:rPr>
        <w:t>计入水保措施</w:t>
      </w:r>
      <w:r>
        <w:rPr>
          <w:rFonts w:hint="default" w:ascii="Times New Roman" w:hAnsi="Times New Roman" w:cs="Times New Roman"/>
          <w:color w:val="auto"/>
          <w:highlight w:val="none"/>
        </w:rPr>
        <w:t>。</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二、需要补充完善的水土保持措施</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通过分析主体资料，</w:t>
      </w:r>
      <w:r>
        <w:rPr>
          <w:rFonts w:hint="eastAsia" w:cs="Times New Roman"/>
          <w:color w:val="auto"/>
          <w:highlight w:val="none"/>
          <w:lang w:eastAsia="zh-CN"/>
        </w:rPr>
        <w:t>本方案</w:t>
      </w:r>
      <w:r>
        <w:rPr>
          <w:rFonts w:hint="default" w:ascii="Times New Roman" w:hAnsi="Times New Roman" w:eastAsia="仿宋_GB2312" w:cs="Times New Roman"/>
          <w:color w:val="auto"/>
          <w:highlight w:val="none"/>
        </w:rPr>
        <w:t>新增洒水措施，减少扬尘造成的水土流失。</w:t>
      </w:r>
    </w:p>
    <w:p>
      <w:pPr>
        <w:pStyle w:val="66"/>
        <w:ind w:firstLine="148"/>
        <w:rPr>
          <w:rFonts w:hint="default" w:ascii="Times New Roman" w:hAnsi="Times New Roman" w:eastAsia="仿宋_GB2312" w:cs="Times New Roman"/>
          <w:color w:val="auto"/>
          <w:highlight w:val="none"/>
        </w:rPr>
      </w:pPr>
      <w:bookmarkStart w:id="94" w:name="_Toc8240"/>
      <w:r>
        <w:rPr>
          <w:rFonts w:hint="default" w:ascii="Times New Roman" w:hAnsi="Times New Roman" w:eastAsia="仿宋_GB2312" w:cs="Times New Roman"/>
          <w:color w:val="auto"/>
          <w:highlight w:val="none"/>
        </w:rPr>
        <w:t>3.3 主体工程设计中水土保持措施界定</w:t>
      </w:r>
      <w:bookmarkEnd w:id="94"/>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3.3.1 界定原则</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主体工程设计中，界定水土保持工程措施的原则主要有以下几点：</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以防治水土流失为主要目标的防护工程，应界定为水土保持工程。以主体工程设计功能为主、同时兼有水土保持功能的工程，不纳入水土流失防治措施体系，仅对其进行水土保持分析与评价；当不能满足水土保持要求时，可要求主体设计修改完善、也可提出补充措施（纳入水土流失防始措施体系）。</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对建设过程中的临时征地、临时占地，因施工结束后需归还当地群众或政府，水土流失防治责任将发生转移，须通过水土保持验收予以确认，各项防护措施均应界定为水土保持工程，纳入水土流失防治措施体系。</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对永久占地区内主体设计功能和水土保持功能难以直观区分的防护措施，可按破坏性试验的原则进行排除：假定没有这项防护措施，主体设计功能仍旧可以发挥作用，但会产生较大的水土流失，该项防护措施应界定为水土保持工程，纳入水土流失防治措施体系。</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3.3.2 具有水土保持功能但不纳入水土保持投资的措施评价</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（1）地面硬化</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建设完工后，对项目区建筑物周边空地进行了硬化处理，在项目运行期间不再产生水土流失，对治理水土流失有积极的效果。但硬化主要为主体工程建设的一部分，主要为主体工程服务，因此，地面硬化不纳入水土保持措施。</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3.3.3具有水土保持功能并纳入水土保持投资的措施评价</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主体工程设计、现场踏勘及查阅工程施工资料，通过以上分析，工程在建设过程中，主体工程采取了相关水土保持措施，并在工程建设过程中实施了一些具有水土保持功能的水土保持措施。从水土保持角度及预防和保护项目区生态环境，全面治理因项目建设引起的水土流失的角度看，主体工程实施的具有水土保持功能的措施有效的减轻了工程施工过程中的水土流失，能够有效防护项目区试运行期的水土流失。本方案在此基础上，补充完善后续工程建设过程中的水土流失防治措施，将形成较完善的水土流失防治措施体系。</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主体工程已列及已实施的水土保持措施及投资，见表3.3-1；方案补充新增措施见表3.3-2。</w:t>
      </w: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表3.3-1主体工程已列具有水土保持功能的水土保持措施投资汇总表</w:t>
      </w:r>
    </w:p>
    <w:tbl>
      <w:tblPr>
        <w:tblStyle w:val="25"/>
        <w:tblW w:w="4880" w:type="pct"/>
        <w:tblInd w:w="112" w:type="dxa"/>
        <w:tblLayout w:type="autofit"/>
        <w:tblCellMar>
          <w:top w:w="0" w:type="dxa"/>
          <w:left w:w="108" w:type="dxa"/>
          <w:bottom w:w="0" w:type="dxa"/>
          <w:right w:w="108" w:type="dxa"/>
        </w:tblCellMar>
      </w:tblPr>
      <w:tblGrid>
        <w:gridCol w:w="1761"/>
        <w:gridCol w:w="1118"/>
        <w:gridCol w:w="1412"/>
        <w:gridCol w:w="1200"/>
        <w:gridCol w:w="1138"/>
        <w:gridCol w:w="1138"/>
        <w:gridCol w:w="1076"/>
      </w:tblGrid>
      <w:tr>
        <w:tblPrEx>
          <w:tblCellMar>
            <w:top w:w="0" w:type="dxa"/>
            <w:left w:w="108" w:type="dxa"/>
            <w:bottom w:w="0" w:type="dxa"/>
            <w:right w:w="108" w:type="dxa"/>
          </w:tblCellMar>
        </w:tblPrEx>
        <w:trPr>
          <w:trHeight w:val="589" w:hRule="exact"/>
        </w:trPr>
        <w:tc>
          <w:tcPr>
            <w:tcW w:w="99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r>
              <w:rPr>
                <w:rFonts w:hint="default" w:ascii="Times New Roman" w:hAnsi="Times New Roman" w:eastAsia="仿宋_GB2312" w:cs="Times New Roman"/>
                <w:b w:val="0"/>
                <w:bCs w:val="0"/>
                <w:color w:val="auto"/>
                <w:kern w:val="0"/>
                <w:sz w:val="22"/>
                <w:highlight w:val="none"/>
              </w:rPr>
              <w:t>项目分区</w:t>
            </w:r>
          </w:p>
        </w:tc>
        <w:tc>
          <w:tcPr>
            <w:tcW w:w="63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r>
              <w:rPr>
                <w:rFonts w:hint="default" w:ascii="Times New Roman" w:hAnsi="Times New Roman" w:eastAsia="仿宋_GB2312" w:cs="Times New Roman"/>
                <w:b w:val="0"/>
                <w:bCs w:val="0"/>
                <w:color w:val="auto"/>
                <w:kern w:val="0"/>
                <w:sz w:val="22"/>
                <w:highlight w:val="none"/>
              </w:rPr>
              <w:t>措施类型</w:t>
            </w:r>
          </w:p>
        </w:tc>
        <w:tc>
          <w:tcPr>
            <w:tcW w:w="79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r>
              <w:rPr>
                <w:rFonts w:hint="default" w:ascii="Times New Roman" w:hAnsi="Times New Roman" w:eastAsia="仿宋_GB2312" w:cs="Times New Roman"/>
                <w:b w:val="0"/>
                <w:bCs w:val="0"/>
                <w:color w:val="auto"/>
                <w:kern w:val="0"/>
                <w:sz w:val="22"/>
                <w:highlight w:val="none"/>
              </w:rPr>
              <w:t>措施名称</w:t>
            </w:r>
          </w:p>
        </w:tc>
        <w:tc>
          <w:tcPr>
            <w:tcW w:w="67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r>
              <w:rPr>
                <w:rFonts w:hint="default" w:ascii="Times New Roman" w:hAnsi="Times New Roman" w:eastAsia="仿宋_GB2312" w:cs="Times New Roman"/>
                <w:b w:val="0"/>
                <w:bCs w:val="0"/>
                <w:color w:val="auto"/>
                <w:kern w:val="0"/>
                <w:sz w:val="22"/>
                <w:highlight w:val="none"/>
              </w:rPr>
              <w:t>单位</w:t>
            </w:r>
          </w:p>
        </w:tc>
        <w:tc>
          <w:tcPr>
            <w:tcW w:w="643"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r>
              <w:rPr>
                <w:rFonts w:hint="default" w:ascii="Times New Roman" w:hAnsi="Times New Roman" w:eastAsia="仿宋_GB2312" w:cs="Times New Roman"/>
                <w:b w:val="0"/>
                <w:bCs w:val="0"/>
                <w:color w:val="auto"/>
                <w:kern w:val="0"/>
                <w:sz w:val="22"/>
                <w:highlight w:val="none"/>
              </w:rPr>
              <w:t>数量</w:t>
            </w:r>
          </w:p>
        </w:tc>
        <w:tc>
          <w:tcPr>
            <w:tcW w:w="643"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r>
              <w:rPr>
                <w:rFonts w:hint="default" w:ascii="Times New Roman" w:hAnsi="Times New Roman" w:eastAsia="仿宋_GB2312" w:cs="Times New Roman"/>
                <w:b w:val="0"/>
                <w:bCs w:val="0"/>
                <w:color w:val="auto"/>
                <w:kern w:val="0"/>
                <w:sz w:val="22"/>
                <w:highlight w:val="none"/>
              </w:rPr>
              <w:t>单价（元）</w:t>
            </w:r>
          </w:p>
        </w:tc>
        <w:tc>
          <w:tcPr>
            <w:tcW w:w="608"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r>
              <w:rPr>
                <w:rFonts w:hint="default" w:ascii="Times New Roman" w:hAnsi="Times New Roman" w:eastAsia="仿宋_GB2312" w:cs="Times New Roman"/>
                <w:b w:val="0"/>
                <w:bCs w:val="0"/>
                <w:color w:val="auto"/>
                <w:kern w:val="0"/>
                <w:sz w:val="22"/>
                <w:highlight w:val="none"/>
              </w:rPr>
              <w:t>合计</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r>
              <w:rPr>
                <w:rFonts w:hint="default" w:ascii="Times New Roman" w:hAnsi="Times New Roman" w:eastAsia="仿宋_GB2312" w:cs="Times New Roman"/>
                <w:b w:val="0"/>
                <w:bCs w:val="0"/>
                <w:color w:val="auto"/>
                <w:kern w:val="0"/>
                <w:sz w:val="22"/>
                <w:highlight w:val="none"/>
              </w:rPr>
              <w:t>（万元）</w:t>
            </w:r>
          </w:p>
        </w:tc>
      </w:tr>
      <w:tr>
        <w:tblPrEx>
          <w:tblCellMar>
            <w:top w:w="0" w:type="dxa"/>
            <w:left w:w="108" w:type="dxa"/>
            <w:bottom w:w="0" w:type="dxa"/>
            <w:right w:w="108" w:type="dxa"/>
          </w:tblCellMar>
        </w:tblPrEx>
        <w:trPr>
          <w:trHeight w:val="369" w:hRule="exact"/>
        </w:trPr>
        <w:tc>
          <w:tcPr>
            <w:tcW w:w="995" w:type="pct"/>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Times New Roman"/>
                <w:b w:val="0"/>
                <w:bCs w:val="0"/>
                <w:color w:val="auto"/>
                <w:kern w:val="0"/>
                <w:sz w:val="22"/>
                <w:highlight w:val="none"/>
                <w:lang w:eastAsia="zh-CN"/>
              </w:rPr>
            </w:pPr>
            <w:r>
              <w:rPr>
                <w:rFonts w:hint="eastAsia" w:eastAsia="仿宋_GB2312" w:cs="Times New Roman"/>
                <w:b w:val="0"/>
                <w:bCs w:val="0"/>
                <w:color w:val="auto"/>
                <w:kern w:val="0"/>
                <w:sz w:val="22"/>
                <w:highlight w:val="none"/>
                <w:lang w:eastAsia="zh-CN"/>
              </w:rPr>
              <w:t>建筑物区</w:t>
            </w:r>
          </w:p>
        </w:tc>
        <w:tc>
          <w:tcPr>
            <w:tcW w:w="632"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r>
              <w:rPr>
                <w:rFonts w:hint="default" w:ascii="Times New Roman" w:hAnsi="Times New Roman" w:eastAsia="仿宋_GB2312" w:cs="Times New Roman"/>
                <w:b w:val="0"/>
                <w:bCs w:val="0"/>
                <w:color w:val="auto"/>
                <w:kern w:val="0"/>
                <w:sz w:val="22"/>
                <w:highlight w:val="none"/>
              </w:rPr>
              <w:t>植物措施</w:t>
            </w:r>
          </w:p>
        </w:tc>
        <w:tc>
          <w:tcPr>
            <w:tcW w:w="798"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r>
              <w:rPr>
                <w:rFonts w:hint="default" w:ascii="Times New Roman" w:hAnsi="Times New Roman" w:eastAsia="仿宋_GB2312" w:cs="Times New Roman"/>
                <w:b w:val="0"/>
                <w:bCs w:val="0"/>
                <w:color w:val="auto"/>
                <w:kern w:val="0"/>
                <w:sz w:val="22"/>
                <w:highlight w:val="none"/>
              </w:rPr>
              <w:t>撒播草籽</w:t>
            </w:r>
          </w:p>
        </w:tc>
        <w:tc>
          <w:tcPr>
            <w:tcW w:w="678"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Times New Roman"/>
                <w:b w:val="0"/>
                <w:bCs w:val="0"/>
                <w:color w:val="auto"/>
                <w:kern w:val="0"/>
                <w:sz w:val="22"/>
                <w:highlight w:val="none"/>
                <w:lang w:eastAsia="zh-CN"/>
              </w:rPr>
            </w:pPr>
            <w:r>
              <w:rPr>
                <w:rFonts w:hint="eastAsia" w:eastAsia="仿宋_GB2312" w:cs="Times New Roman"/>
                <w:b w:val="0"/>
                <w:bCs w:val="0"/>
                <w:color w:val="auto"/>
                <w:kern w:val="0"/>
                <w:sz w:val="22"/>
                <w:highlight w:val="none"/>
                <w:lang w:val="en-US" w:eastAsia="zh-CN"/>
              </w:rPr>
              <w:t>h</w:t>
            </w:r>
            <w:r>
              <w:rPr>
                <w:rFonts w:hint="eastAsia" w:eastAsia="仿宋_GB2312" w:cs="Times New Roman"/>
                <w:b w:val="0"/>
                <w:bCs w:val="0"/>
                <w:color w:val="auto"/>
                <w:kern w:val="0"/>
                <w:sz w:val="22"/>
                <w:highlight w:val="none"/>
                <w:lang w:eastAsia="zh-CN"/>
              </w:rPr>
              <w:t>m²</w:t>
            </w:r>
          </w:p>
        </w:tc>
        <w:tc>
          <w:tcPr>
            <w:tcW w:w="643"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_GB2312" w:cs="Times New Roman"/>
                <w:b w:val="0"/>
                <w:bCs w:val="0"/>
                <w:color w:val="auto"/>
                <w:sz w:val="22"/>
                <w:highlight w:val="none"/>
                <w:lang w:val="en-US" w:eastAsia="zh-CN"/>
              </w:rPr>
            </w:pPr>
            <w:r>
              <w:rPr>
                <w:rFonts w:hint="eastAsia" w:eastAsia="仿宋_GB2312" w:cs="Times New Roman"/>
                <w:b w:val="0"/>
                <w:bCs w:val="0"/>
                <w:color w:val="auto"/>
                <w:sz w:val="22"/>
                <w:highlight w:val="none"/>
                <w:lang w:val="en-US" w:eastAsia="zh-CN"/>
              </w:rPr>
              <w:t>0.17</w:t>
            </w:r>
          </w:p>
        </w:tc>
        <w:tc>
          <w:tcPr>
            <w:tcW w:w="643"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_GB2312" w:cs="Times New Roman"/>
                <w:b w:val="0"/>
                <w:bCs w:val="0"/>
                <w:color w:val="auto"/>
                <w:sz w:val="22"/>
                <w:highlight w:val="none"/>
              </w:rPr>
            </w:pPr>
            <w:r>
              <w:rPr>
                <w:rFonts w:hint="default" w:ascii="Times New Roman" w:hAnsi="Times New Roman" w:eastAsia="仿宋_GB2312" w:cs="Times New Roman"/>
                <w:b w:val="0"/>
                <w:bCs w:val="0"/>
                <w:color w:val="auto"/>
                <w:kern w:val="0"/>
                <w:sz w:val="22"/>
                <w:highlight w:val="none"/>
              </w:rPr>
              <w:t>0.11</w:t>
            </w:r>
          </w:p>
        </w:tc>
        <w:tc>
          <w:tcPr>
            <w:tcW w:w="608"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_GB2312" w:cs="Times New Roman"/>
                <w:b w:val="0"/>
                <w:bCs w:val="0"/>
                <w:color w:val="auto"/>
                <w:sz w:val="22"/>
                <w:highlight w:val="none"/>
                <w:lang w:val="en-US" w:eastAsia="zh-CN"/>
              </w:rPr>
            </w:pPr>
            <w:r>
              <w:rPr>
                <w:rFonts w:hint="eastAsia" w:eastAsia="仿宋_GB2312" w:cs="Times New Roman"/>
                <w:b w:val="0"/>
                <w:bCs w:val="0"/>
                <w:color w:val="auto"/>
                <w:sz w:val="22"/>
                <w:highlight w:val="none"/>
                <w:lang w:val="en-US" w:eastAsia="zh-CN"/>
              </w:rPr>
              <w:t>0.02</w:t>
            </w:r>
          </w:p>
        </w:tc>
      </w:tr>
      <w:tr>
        <w:trPr>
          <w:trHeight w:val="369" w:hRule="exact"/>
        </w:trPr>
        <w:tc>
          <w:tcPr>
            <w:tcW w:w="995" w:type="pct"/>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rPr>
                <w:rFonts w:hint="default" w:ascii="Times New Roman" w:hAnsi="Times New Roman" w:eastAsia="仿宋_GB2312" w:cs="Times New Roman"/>
                <w:b w:val="0"/>
                <w:bCs w:val="0"/>
                <w:color w:val="auto"/>
                <w:kern w:val="0"/>
                <w:sz w:val="22"/>
                <w:highlight w:val="none"/>
              </w:rPr>
            </w:pPr>
          </w:p>
        </w:tc>
        <w:tc>
          <w:tcPr>
            <w:tcW w:w="632"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Times New Roman"/>
                <w:b w:val="0"/>
                <w:bCs w:val="0"/>
                <w:color w:val="auto"/>
                <w:kern w:val="0"/>
                <w:sz w:val="22"/>
                <w:highlight w:val="none"/>
                <w:lang w:eastAsia="zh-CN"/>
              </w:rPr>
            </w:pPr>
            <w:r>
              <w:rPr>
                <w:rFonts w:hint="eastAsia" w:eastAsia="仿宋_GB2312" w:cs="Times New Roman"/>
                <w:b w:val="0"/>
                <w:bCs w:val="0"/>
                <w:color w:val="auto"/>
                <w:kern w:val="0"/>
                <w:sz w:val="22"/>
                <w:highlight w:val="none"/>
                <w:lang w:eastAsia="zh-CN"/>
              </w:rPr>
              <w:t>工程措施</w:t>
            </w:r>
          </w:p>
        </w:tc>
        <w:tc>
          <w:tcPr>
            <w:tcW w:w="798"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Times New Roman"/>
                <w:b w:val="0"/>
                <w:bCs w:val="0"/>
                <w:color w:val="auto"/>
                <w:kern w:val="0"/>
                <w:sz w:val="22"/>
                <w:highlight w:val="none"/>
                <w:lang w:eastAsia="zh-CN"/>
              </w:rPr>
            </w:pPr>
            <w:r>
              <w:rPr>
                <w:rFonts w:hint="eastAsia" w:eastAsia="仿宋_GB2312" w:cs="Times New Roman"/>
                <w:b w:val="0"/>
                <w:bCs w:val="0"/>
                <w:color w:val="auto"/>
                <w:kern w:val="0"/>
                <w:sz w:val="22"/>
                <w:highlight w:val="none"/>
                <w:lang w:eastAsia="zh-CN"/>
              </w:rPr>
              <w:t>全面整地</w:t>
            </w:r>
          </w:p>
        </w:tc>
        <w:tc>
          <w:tcPr>
            <w:tcW w:w="678"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Times New Roman"/>
                <w:b w:val="0"/>
                <w:bCs w:val="0"/>
                <w:color w:val="auto"/>
                <w:kern w:val="0"/>
                <w:sz w:val="22"/>
                <w:highlight w:val="none"/>
                <w:lang w:eastAsia="zh-CN"/>
              </w:rPr>
            </w:pPr>
            <w:r>
              <w:rPr>
                <w:rFonts w:hint="eastAsia" w:eastAsia="仿宋_GB2312" w:cs="Times New Roman"/>
                <w:b w:val="0"/>
                <w:bCs w:val="0"/>
                <w:color w:val="auto"/>
                <w:kern w:val="0"/>
                <w:sz w:val="22"/>
                <w:highlight w:val="none"/>
                <w:lang w:val="en-US" w:eastAsia="zh-CN"/>
              </w:rPr>
              <w:t>h</w:t>
            </w:r>
            <w:r>
              <w:rPr>
                <w:rFonts w:hint="eastAsia" w:eastAsia="仿宋_GB2312" w:cs="Times New Roman"/>
                <w:b w:val="0"/>
                <w:bCs w:val="0"/>
                <w:color w:val="auto"/>
                <w:kern w:val="0"/>
                <w:sz w:val="22"/>
                <w:highlight w:val="none"/>
                <w:lang w:eastAsia="zh-CN"/>
              </w:rPr>
              <w:t>m²</w:t>
            </w:r>
          </w:p>
        </w:tc>
        <w:tc>
          <w:tcPr>
            <w:tcW w:w="643"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_GB2312" w:cs="Times New Roman"/>
                <w:b w:val="0"/>
                <w:bCs w:val="0"/>
                <w:color w:val="auto"/>
                <w:sz w:val="22"/>
                <w:highlight w:val="none"/>
                <w:lang w:val="en-US" w:eastAsia="zh-CN"/>
              </w:rPr>
            </w:pPr>
            <w:r>
              <w:rPr>
                <w:rFonts w:hint="eastAsia" w:eastAsia="仿宋_GB2312" w:cs="Times New Roman"/>
                <w:b w:val="0"/>
                <w:bCs w:val="0"/>
                <w:color w:val="auto"/>
                <w:sz w:val="22"/>
                <w:highlight w:val="none"/>
                <w:lang w:val="en-US" w:eastAsia="zh-CN"/>
              </w:rPr>
              <w:t>0.17</w:t>
            </w:r>
          </w:p>
        </w:tc>
        <w:tc>
          <w:tcPr>
            <w:tcW w:w="643"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_GB2312" w:cs="Times New Roman"/>
                <w:b w:val="0"/>
                <w:bCs w:val="0"/>
                <w:color w:val="auto"/>
                <w:sz w:val="22"/>
                <w:highlight w:val="none"/>
                <w:lang w:val="en-US" w:eastAsia="zh-CN"/>
              </w:rPr>
            </w:pPr>
            <w:r>
              <w:rPr>
                <w:rFonts w:hint="eastAsia" w:eastAsia="仿宋_GB2312" w:cs="Times New Roman"/>
                <w:b w:val="0"/>
                <w:bCs w:val="0"/>
                <w:color w:val="auto"/>
                <w:kern w:val="0"/>
                <w:sz w:val="22"/>
                <w:highlight w:val="none"/>
                <w:lang w:val="en-US" w:eastAsia="zh-CN"/>
              </w:rPr>
              <w:t>10.46</w:t>
            </w:r>
          </w:p>
        </w:tc>
        <w:tc>
          <w:tcPr>
            <w:tcW w:w="608"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_GB2312" w:cs="Times New Roman"/>
                <w:b w:val="0"/>
                <w:bCs w:val="0"/>
                <w:color w:val="auto"/>
                <w:sz w:val="22"/>
                <w:highlight w:val="none"/>
                <w:lang w:val="en-US" w:eastAsia="zh-CN"/>
              </w:rPr>
            </w:pPr>
            <w:r>
              <w:rPr>
                <w:rFonts w:hint="eastAsia" w:eastAsia="仿宋_GB2312" w:cs="Times New Roman"/>
                <w:b w:val="0"/>
                <w:bCs w:val="0"/>
                <w:color w:val="auto"/>
                <w:sz w:val="22"/>
                <w:highlight w:val="none"/>
                <w:lang w:val="en-US" w:eastAsia="zh-CN"/>
              </w:rPr>
              <w:t>1.78</w:t>
            </w:r>
          </w:p>
        </w:tc>
      </w:tr>
      <w:tr>
        <w:trPr>
          <w:trHeight w:val="369" w:hRule="exact"/>
        </w:trPr>
        <w:tc>
          <w:tcPr>
            <w:tcW w:w="995"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Times New Roman"/>
                <w:b w:val="0"/>
                <w:bCs w:val="0"/>
                <w:color w:val="auto"/>
                <w:kern w:val="0"/>
                <w:sz w:val="22"/>
                <w:highlight w:val="none"/>
                <w:lang w:eastAsia="zh-CN"/>
              </w:rPr>
            </w:pPr>
            <w:r>
              <w:rPr>
                <w:rFonts w:hint="eastAsia" w:eastAsia="仿宋_GB2312" w:cs="Times New Roman"/>
                <w:b w:val="0"/>
                <w:bCs w:val="0"/>
                <w:color w:val="auto"/>
                <w:kern w:val="0"/>
                <w:sz w:val="22"/>
                <w:highlight w:val="none"/>
                <w:lang w:eastAsia="zh-CN"/>
              </w:rPr>
              <w:t>管线工程区</w:t>
            </w:r>
          </w:p>
        </w:tc>
        <w:tc>
          <w:tcPr>
            <w:tcW w:w="632"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r>
              <w:rPr>
                <w:rFonts w:hint="default" w:ascii="Times New Roman" w:hAnsi="Times New Roman" w:eastAsia="仿宋_GB2312" w:cs="Times New Roman"/>
                <w:b w:val="0"/>
                <w:bCs w:val="0"/>
                <w:color w:val="auto"/>
                <w:kern w:val="0"/>
                <w:sz w:val="22"/>
                <w:highlight w:val="none"/>
              </w:rPr>
              <w:t>工程措施</w:t>
            </w:r>
          </w:p>
        </w:tc>
        <w:tc>
          <w:tcPr>
            <w:tcW w:w="798"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Times New Roman"/>
                <w:b w:val="0"/>
                <w:bCs w:val="0"/>
                <w:color w:val="auto"/>
                <w:kern w:val="0"/>
                <w:sz w:val="22"/>
                <w:highlight w:val="none"/>
                <w:lang w:eastAsia="zh-CN"/>
              </w:rPr>
            </w:pPr>
            <w:r>
              <w:rPr>
                <w:rFonts w:hint="eastAsia" w:eastAsia="仿宋_GB2312" w:cs="Times New Roman"/>
                <w:b w:val="0"/>
                <w:bCs w:val="0"/>
                <w:color w:val="auto"/>
                <w:kern w:val="0"/>
                <w:sz w:val="22"/>
                <w:highlight w:val="none"/>
                <w:lang w:eastAsia="zh-CN"/>
              </w:rPr>
              <w:t>土地平整</w:t>
            </w:r>
          </w:p>
        </w:tc>
        <w:tc>
          <w:tcPr>
            <w:tcW w:w="678"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Times New Roman"/>
                <w:b w:val="0"/>
                <w:bCs w:val="0"/>
                <w:color w:val="auto"/>
                <w:kern w:val="0"/>
                <w:sz w:val="22"/>
                <w:highlight w:val="none"/>
                <w:lang w:eastAsia="zh-CN"/>
              </w:rPr>
            </w:pPr>
            <w:r>
              <w:rPr>
                <w:rFonts w:hint="eastAsia" w:eastAsia="仿宋_GB2312" w:cs="Times New Roman"/>
                <w:b w:val="0"/>
                <w:bCs w:val="0"/>
                <w:color w:val="auto"/>
                <w:kern w:val="0"/>
                <w:sz w:val="22"/>
                <w:highlight w:val="none"/>
                <w:lang w:val="en-US" w:eastAsia="zh-CN"/>
              </w:rPr>
              <w:t>h</w:t>
            </w:r>
            <w:r>
              <w:rPr>
                <w:rFonts w:hint="eastAsia" w:eastAsia="仿宋_GB2312" w:cs="Times New Roman"/>
                <w:b w:val="0"/>
                <w:bCs w:val="0"/>
                <w:color w:val="auto"/>
                <w:kern w:val="0"/>
                <w:sz w:val="22"/>
                <w:highlight w:val="none"/>
                <w:lang w:eastAsia="zh-CN"/>
              </w:rPr>
              <w:t>m²</w:t>
            </w:r>
          </w:p>
        </w:tc>
        <w:tc>
          <w:tcPr>
            <w:tcW w:w="643"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_GB2312" w:cs="Times New Roman"/>
                <w:b w:val="0"/>
                <w:bCs w:val="0"/>
                <w:color w:val="auto"/>
                <w:sz w:val="22"/>
                <w:highlight w:val="none"/>
                <w:lang w:val="en-US" w:eastAsia="zh-CN"/>
              </w:rPr>
            </w:pPr>
            <w:r>
              <w:rPr>
                <w:rFonts w:hint="eastAsia" w:eastAsia="仿宋_GB2312" w:cs="Times New Roman"/>
                <w:b w:val="0"/>
                <w:bCs w:val="0"/>
                <w:color w:val="auto"/>
                <w:sz w:val="22"/>
                <w:highlight w:val="none"/>
                <w:lang w:val="en-US" w:eastAsia="zh-CN"/>
              </w:rPr>
              <w:t>0.02</w:t>
            </w:r>
          </w:p>
        </w:tc>
        <w:tc>
          <w:tcPr>
            <w:tcW w:w="643"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_GB2312" w:cs="Times New Roman"/>
                <w:b w:val="0"/>
                <w:bCs w:val="0"/>
                <w:color w:val="auto"/>
                <w:sz w:val="22"/>
                <w:highlight w:val="none"/>
                <w:lang w:val="en-US" w:eastAsia="zh-CN"/>
              </w:rPr>
            </w:pPr>
            <w:r>
              <w:rPr>
                <w:rFonts w:hint="eastAsia" w:eastAsia="仿宋_GB2312" w:cs="Times New Roman"/>
                <w:b w:val="0"/>
                <w:bCs w:val="0"/>
                <w:color w:val="auto"/>
                <w:kern w:val="0"/>
                <w:sz w:val="22"/>
                <w:highlight w:val="none"/>
                <w:lang w:val="en-US" w:eastAsia="zh-CN"/>
              </w:rPr>
              <w:t>1.44</w:t>
            </w:r>
          </w:p>
        </w:tc>
        <w:tc>
          <w:tcPr>
            <w:tcW w:w="608"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_GB2312" w:cs="Times New Roman"/>
                <w:b w:val="0"/>
                <w:bCs w:val="0"/>
                <w:color w:val="auto"/>
                <w:sz w:val="22"/>
                <w:highlight w:val="none"/>
                <w:lang w:val="en-US" w:eastAsia="zh-CN"/>
              </w:rPr>
            </w:pPr>
            <w:r>
              <w:rPr>
                <w:rFonts w:hint="eastAsia" w:eastAsia="仿宋_GB2312" w:cs="Times New Roman"/>
                <w:b w:val="0"/>
                <w:bCs w:val="0"/>
                <w:color w:val="auto"/>
                <w:sz w:val="22"/>
                <w:highlight w:val="none"/>
                <w:lang w:val="en-US" w:eastAsia="zh-CN"/>
              </w:rPr>
              <w:t>0.03</w:t>
            </w:r>
          </w:p>
        </w:tc>
      </w:tr>
      <w:tr>
        <w:trPr>
          <w:trHeight w:val="369" w:hRule="exact"/>
        </w:trPr>
        <w:tc>
          <w:tcPr>
            <w:tcW w:w="995"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eastAsia="仿宋_GB2312" w:cs="Times New Roman"/>
                <w:b w:val="0"/>
                <w:bCs w:val="0"/>
                <w:color w:val="auto"/>
                <w:kern w:val="0"/>
                <w:sz w:val="22"/>
                <w:highlight w:val="none"/>
                <w:lang w:eastAsia="zh-CN"/>
              </w:rPr>
            </w:pPr>
            <w:r>
              <w:rPr>
                <w:rFonts w:hint="eastAsia" w:eastAsia="仿宋_GB2312" w:cs="Times New Roman"/>
                <w:b w:val="0"/>
                <w:bCs w:val="0"/>
                <w:color w:val="auto"/>
                <w:kern w:val="0"/>
                <w:sz w:val="22"/>
                <w:highlight w:val="none"/>
                <w:lang w:eastAsia="zh-CN"/>
              </w:rPr>
              <w:t>施工生产生活区</w:t>
            </w:r>
          </w:p>
        </w:tc>
        <w:tc>
          <w:tcPr>
            <w:tcW w:w="632"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szCs w:val="22"/>
                <w:highlight w:val="none"/>
                <w:lang w:val="en-US" w:eastAsia="zh-CN" w:bidi="ar-SA"/>
              </w:rPr>
            </w:pPr>
            <w:r>
              <w:rPr>
                <w:rFonts w:hint="default" w:ascii="Times New Roman" w:hAnsi="Times New Roman" w:eastAsia="仿宋_GB2312" w:cs="Times New Roman"/>
                <w:b w:val="0"/>
                <w:bCs w:val="0"/>
                <w:color w:val="auto"/>
                <w:kern w:val="0"/>
                <w:sz w:val="22"/>
                <w:highlight w:val="none"/>
              </w:rPr>
              <w:t>工程措施</w:t>
            </w:r>
          </w:p>
        </w:tc>
        <w:tc>
          <w:tcPr>
            <w:tcW w:w="798"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Times New Roman"/>
                <w:b w:val="0"/>
                <w:bCs w:val="0"/>
                <w:color w:val="auto"/>
                <w:kern w:val="0"/>
                <w:sz w:val="22"/>
                <w:szCs w:val="22"/>
                <w:highlight w:val="none"/>
                <w:lang w:val="en-US" w:eastAsia="zh-CN" w:bidi="ar-SA"/>
              </w:rPr>
            </w:pPr>
            <w:r>
              <w:rPr>
                <w:rFonts w:hint="eastAsia" w:eastAsia="仿宋_GB2312" w:cs="Times New Roman"/>
                <w:b w:val="0"/>
                <w:bCs w:val="0"/>
                <w:color w:val="auto"/>
                <w:kern w:val="0"/>
                <w:sz w:val="22"/>
                <w:highlight w:val="none"/>
                <w:lang w:eastAsia="zh-CN"/>
              </w:rPr>
              <w:t>土地平整</w:t>
            </w:r>
          </w:p>
        </w:tc>
        <w:tc>
          <w:tcPr>
            <w:tcW w:w="678"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仿宋_GB2312" w:cs="Times New Roman"/>
                <w:b w:val="0"/>
                <w:bCs w:val="0"/>
                <w:color w:val="auto"/>
                <w:kern w:val="0"/>
                <w:sz w:val="22"/>
                <w:szCs w:val="22"/>
                <w:highlight w:val="none"/>
                <w:lang w:val="en-US" w:eastAsia="zh-CN" w:bidi="ar-SA"/>
              </w:rPr>
            </w:pPr>
            <w:r>
              <w:rPr>
                <w:rFonts w:hint="eastAsia" w:eastAsia="仿宋_GB2312" w:cs="Times New Roman"/>
                <w:b w:val="0"/>
                <w:bCs w:val="0"/>
                <w:color w:val="auto"/>
                <w:kern w:val="0"/>
                <w:sz w:val="22"/>
                <w:highlight w:val="none"/>
                <w:lang w:val="en-US" w:eastAsia="zh-CN"/>
              </w:rPr>
              <w:t>h</w:t>
            </w:r>
            <w:r>
              <w:rPr>
                <w:rFonts w:hint="eastAsia" w:eastAsia="仿宋_GB2312" w:cs="Times New Roman"/>
                <w:b w:val="0"/>
                <w:bCs w:val="0"/>
                <w:color w:val="auto"/>
                <w:kern w:val="0"/>
                <w:sz w:val="22"/>
                <w:highlight w:val="none"/>
                <w:lang w:eastAsia="zh-CN"/>
              </w:rPr>
              <w:t>m²</w:t>
            </w:r>
          </w:p>
        </w:tc>
        <w:tc>
          <w:tcPr>
            <w:tcW w:w="643"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_GB2312" w:cs="Times New Roman"/>
                <w:b w:val="0"/>
                <w:bCs w:val="0"/>
                <w:color w:val="auto"/>
                <w:sz w:val="22"/>
                <w:highlight w:val="none"/>
                <w:lang w:val="en-US" w:eastAsia="zh-CN"/>
              </w:rPr>
            </w:pPr>
            <w:r>
              <w:rPr>
                <w:rFonts w:hint="eastAsia" w:eastAsia="仿宋_GB2312" w:cs="Times New Roman"/>
                <w:b w:val="0"/>
                <w:bCs w:val="0"/>
                <w:color w:val="auto"/>
                <w:sz w:val="22"/>
                <w:highlight w:val="none"/>
                <w:lang w:val="en-US" w:eastAsia="zh-CN"/>
              </w:rPr>
              <w:t>0.02</w:t>
            </w:r>
          </w:p>
        </w:tc>
        <w:tc>
          <w:tcPr>
            <w:tcW w:w="643"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eastAsia="仿宋_GB2312" w:cs="Times New Roman"/>
                <w:b w:val="0"/>
                <w:bCs w:val="0"/>
                <w:color w:val="auto"/>
                <w:kern w:val="0"/>
                <w:sz w:val="22"/>
                <w:highlight w:val="none"/>
                <w:lang w:val="en-US" w:eastAsia="zh-CN"/>
              </w:rPr>
            </w:pPr>
            <w:r>
              <w:rPr>
                <w:rFonts w:hint="eastAsia" w:eastAsia="仿宋_GB2312" w:cs="Times New Roman"/>
                <w:b w:val="0"/>
                <w:bCs w:val="0"/>
                <w:color w:val="auto"/>
                <w:kern w:val="0"/>
                <w:sz w:val="22"/>
                <w:highlight w:val="none"/>
                <w:lang w:val="en-US" w:eastAsia="zh-CN"/>
              </w:rPr>
              <w:t>1.44</w:t>
            </w:r>
          </w:p>
        </w:tc>
        <w:tc>
          <w:tcPr>
            <w:tcW w:w="608"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_GB2312" w:cs="Times New Roman"/>
                <w:b w:val="0"/>
                <w:bCs w:val="0"/>
                <w:color w:val="auto"/>
                <w:sz w:val="22"/>
                <w:highlight w:val="none"/>
                <w:lang w:val="en-US" w:eastAsia="zh-CN"/>
              </w:rPr>
            </w:pPr>
            <w:r>
              <w:rPr>
                <w:rFonts w:hint="eastAsia" w:eastAsia="仿宋_GB2312" w:cs="Times New Roman"/>
                <w:b w:val="0"/>
                <w:bCs w:val="0"/>
                <w:color w:val="auto"/>
                <w:sz w:val="22"/>
                <w:highlight w:val="none"/>
                <w:lang w:val="en-US" w:eastAsia="zh-CN"/>
              </w:rPr>
              <w:t>0.03</w:t>
            </w:r>
          </w:p>
        </w:tc>
      </w:tr>
      <w:tr>
        <w:trPr>
          <w:trHeight w:val="369" w:hRule="exact"/>
        </w:trPr>
        <w:tc>
          <w:tcPr>
            <w:tcW w:w="995"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r>
              <w:rPr>
                <w:rFonts w:hint="default" w:ascii="Times New Roman" w:hAnsi="Times New Roman" w:eastAsia="仿宋_GB2312" w:cs="Times New Roman"/>
                <w:b w:val="0"/>
                <w:bCs w:val="0"/>
                <w:color w:val="auto"/>
                <w:kern w:val="0"/>
                <w:sz w:val="22"/>
                <w:highlight w:val="none"/>
              </w:rPr>
              <w:t>合计</w:t>
            </w:r>
          </w:p>
        </w:tc>
        <w:tc>
          <w:tcPr>
            <w:tcW w:w="632"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r>
              <w:rPr>
                <w:rFonts w:hint="default" w:ascii="Times New Roman" w:hAnsi="Times New Roman" w:eastAsia="仿宋_GB2312" w:cs="Times New Roman"/>
                <w:b w:val="0"/>
                <w:bCs w:val="0"/>
                <w:color w:val="auto"/>
                <w:kern w:val="0"/>
                <w:sz w:val="22"/>
                <w:highlight w:val="none"/>
              </w:rPr>
              <w:t>　</w:t>
            </w:r>
          </w:p>
        </w:tc>
        <w:tc>
          <w:tcPr>
            <w:tcW w:w="798"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r>
              <w:rPr>
                <w:rFonts w:hint="default" w:ascii="Times New Roman" w:hAnsi="Times New Roman" w:eastAsia="仿宋_GB2312" w:cs="Times New Roman"/>
                <w:b w:val="0"/>
                <w:bCs w:val="0"/>
                <w:color w:val="auto"/>
                <w:kern w:val="0"/>
                <w:sz w:val="22"/>
                <w:highlight w:val="none"/>
              </w:rPr>
              <w:t>　</w:t>
            </w:r>
          </w:p>
        </w:tc>
        <w:tc>
          <w:tcPr>
            <w:tcW w:w="678"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r>
              <w:rPr>
                <w:rFonts w:hint="default" w:ascii="Times New Roman" w:hAnsi="Times New Roman" w:eastAsia="仿宋_GB2312" w:cs="Times New Roman"/>
                <w:b w:val="0"/>
                <w:bCs w:val="0"/>
                <w:color w:val="auto"/>
                <w:kern w:val="0"/>
                <w:sz w:val="22"/>
                <w:highlight w:val="none"/>
              </w:rPr>
              <w:t>　</w:t>
            </w:r>
          </w:p>
        </w:tc>
        <w:tc>
          <w:tcPr>
            <w:tcW w:w="643"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p>
        </w:tc>
        <w:tc>
          <w:tcPr>
            <w:tcW w:w="643"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rPr>
            </w:pPr>
          </w:p>
        </w:tc>
        <w:tc>
          <w:tcPr>
            <w:tcW w:w="608"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color w:val="auto"/>
                <w:kern w:val="0"/>
                <w:sz w:val="22"/>
                <w:highlight w:val="none"/>
                <w:lang w:val="en-US" w:eastAsia="zh-CN"/>
              </w:rPr>
            </w:pPr>
            <w:r>
              <w:rPr>
                <w:rFonts w:hint="eastAsia" w:eastAsia="仿宋_GB2312" w:cs="Times New Roman"/>
                <w:b w:val="0"/>
                <w:bCs w:val="0"/>
                <w:color w:val="auto"/>
                <w:kern w:val="0"/>
                <w:sz w:val="22"/>
                <w:highlight w:val="none"/>
                <w:lang w:val="en-US" w:eastAsia="zh-CN"/>
              </w:rPr>
              <w:t>1.86</w:t>
            </w:r>
          </w:p>
        </w:tc>
      </w:tr>
    </w:tbl>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表3.3-2主体已列的水土保持措施与方案补充新增措施汇总表</w:t>
      </w:r>
    </w:p>
    <w:tbl>
      <w:tblPr>
        <w:tblStyle w:val="25"/>
        <w:tblW w:w="4974"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15" w:type="dxa"/>
          <w:left w:w="15" w:type="dxa"/>
          <w:bottom w:w="15" w:type="dxa"/>
          <w:right w:w="15" w:type="dxa"/>
        </w:tblCellMar>
      </w:tblPr>
      <w:tblGrid>
        <w:gridCol w:w="2223"/>
        <w:gridCol w:w="3260"/>
        <w:gridCol w:w="334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55" w:hRule="atLeast"/>
          <w:jc w:val="center"/>
        </w:trPr>
        <w:tc>
          <w:tcPr>
            <w:tcW w:w="1259" w:type="pct"/>
            <w:tcBorders>
              <w:tl2br w:val="nil"/>
              <w:tr2bl w:val="nil"/>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项目组成</w:t>
            </w:r>
          </w:p>
        </w:tc>
        <w:tc>
          <w:tcPr>
            <w:tcW w:w="1846" w:type="pct"/>
            <w:tcBorders>
              <w:tl2br w:val="nil"/>
              <w:tr2bl w:val="nil"/>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主体已列措施</w:t>
            </w:r>
          </w:p>
        </w:tc>
        <w:tc>
          <w:tcPr>
            <w:tcW w:w="1894" w:type="pct"/>
            <w:tcBorders>
              <w:tl2br w:val="nil"/>
              <w:tr2bl w:val="nil"/>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方案补充新增措施</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55" w:hRule="atLeast"/>
          <w:jc w:val="center"/>
        </w:trPr>
        <w:tc>
          <w:tcPr>
            <w:tcW w:w="1259" w:type="pct"/>
            <w:tcBorders>
              <w:tl2br w:val="nil"/>
              <w:tr2bl w:val="nil"/>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建筑物区</w:t>
            </w:r>
          </w:p>
        </w:tc>
        <w:tc>
          <w:tcPr>
            <w:tcW w:w="1846" w:type="pct"/>
            <w:tcBorders>
              <w:tl2br w:val="nil"/>
              <w:tr2bl w:val="nil"/>
            </w:tcBorders>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土地平整、</w:t>
            </w:r>
            <w:r>
              <w:rPr>
                <w:rFonts w:hint="default" w:ascii="Times New Roman" w:hAnsi="Times New Roman" w:cs="Times New Roman"/>
                <w:color w:val="auto"/>
                <w:highlight w:val="none"/>
              </w:rPr>
              <w:t>全面整地、撒播草籽</w:t>
            </w:r>
          </w:p>
        </w:tc>
        <w:tc>
          <w:tcPr>
            <w:tcW w:w="1894" w:type="pct"/>
            <w:tcBorders>
              <w:tl2br w:val="nil"/>
              <w:tr2bl w:val="nil"/>
            </w:tcBorders>
            <w:vAlign w:val="center"/>
          </w:tcPr>
          <w:p>
            <w:pPr>
              <w:pStyle w:val="84"/>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彩钢板围栏、防尘网苫盖、洒水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55" w:hRule="atLeast"/>
          <w:jc w:val="center"/>
        </w:trPr>
        <w:tc>
          <w:tcPr>
            <w:tcW w:w="1259" w:type="pct"/>
            <w:tcBorders>
              <w:tl2br w:val="nil"/>
              <w:tr2bl w:val="nil"/>
            </w:tcBorders>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bidi="ar"/>
              </w:rPr>
              <w:t>道路及</w:t>
            </w:r>
            <w:r>
              <w:rPr>
                <w:rFonts w:hint="default" w:ascii="Times New Roman" w:hAnsi="Times New Roman" w:cs="Times New Roman"/>
                <w:color w:val="auto"/>
                <w:highlight w:val="none"/>
                <w:lang w:bidi="ar"/>
              </w:rPr>
              <w:t>硬化区</w:t>
            </w:r>
          </w:p>
        </w:tc>
        <w:tc>
          <w:tcPr>
            <w:tcW w:w="1846" w:type="pct"/>
            <w:tcBorders>
              <w:tl2br w:val="nil"/>
              <w:tr2bl w:val="nil"/>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894" w:type="pct"/>
            <w:tcBorders>
              <w:tl2br w:val="nil"/>
              <w:tr2bl w:val="nil"/>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洒水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55" w:hRule="atLeast"/>
          <w:jc w:val="center"/>
        </w:trPr>
        <w:tc>
          <w:tcPr>
            <w:tcW w:w="1259" w:type="pct"/>
            <w:tcBorders>
              <w:tl2br w:val="nil"/>
              <w:tr2bl w:val="nil"/>
            </w:tcBorders>
            <w:vAlign w:val="center"/>
          </w:tcPr>
          <w:p>
            <w:pPr>
              <w:pStyle w:val="84"/>
              <w:rPr>
                <w:rFonts w:hint="eastAsia" w:cs="Times New Roman"/>
                <w:color w:val="auto"/>
                <w:highlight w:val="none"/>
                <w:lang w:eastAsia="zh-CN" w:bidi="ar"/>
              </w:rPr>
            </w:pPr>
            <w:r>
              <w:rPr>
                <w:rFonts w:hint="eastAsia" w:cs="Times New Roman"/>
                <w:color w:val="auto"/>
                <w:highlight w:val="none"/>
                <w:lang w:eastAsia="zh-CN" w:bidi="ar"/>
              </w:rPr>
              <w:t>管线工程区</w:t>
            </w:r>
          </w:p>
        </w:tc>
        <w:tc>
          <w:tcPr>
            <w:tcW w:w="1846" w:type="pct"/>
            <w:tcBorders>
              <w:tl2br w:val="nil"/>
              <w:tr2bl w:val="nil"/>
            </w:tcBorders>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土地平整</w:t>
            </w:r>
          </w:p>
        </w:tc>
        <w:tc>
          <w:tcPr>
            <w:tcW w:w="1894" w:type="pct"/>
            <w:tcBorders>
              <w:tl2br w:val="nil"/>
              <w:tr2bl w:val="nil"/>
            </w:tcBorders>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防尘网苫盖</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355" w:hRule="atLeast"/>
          <w:jc w:val="center"/>
        </w:trPr>
        <w:tc>
          <w:tcPr>
            <w:tcW w:w="1259" w:type="pct"/>
            <w:tcBorders>
              <w:tl2br w:val="nil"/>
              <w:tr2bl w:val="nil"/>
            </w:tcBorders>
            <w:vAlign w:val="center"/>
          </w:tcPr>
          <w:p>
            <w:pPr>
              <w:pStyle w:val="84"/>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*施工生产</w:t>
            </w:r>
            <w:r>
              <w:rPr>
                <w:rFonts w:hint="eastAsia" w:cs="Times New Roman"/>
                <w:color w:val="auto"/>
                <w:highlight w:val="none"/>
                <w:lang w:eastAsia="zh-CN" w:bidi="ar"/>
              </w:rPr>
              <w:t>生活</w:t>
            </w:r>
            <w:r>
              <w:rPr>
                <w:rFonts w:hint="default" w:ascii="Times New Roman" w:hAnsi="Times New Roman" w:cs="Times New Roman"/>
                <w:color w:val="auto"/>
                <w:highlight w:val="none"/>
                <w:lang w:bidi="ar"/>
              </w:rPr>
              <w:t>区</w:t>
            </w:r>
          </w:p>
        </w:tc>
        <w:tc>
          <w:tcPr>
            <w:tcW w:w="1846" w:type="pct"/>
            <w:tcBorders>
              <w:tl2br w:val="nil"/>
              <w:tr2bl w:val="nil"/>
            </w:tcBorders>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土地平整</w:t>
            </w:r>
          </w:p>
        </w:tc>
        <w:tc>
          <w:tcPr>
            <w:tcW w:w="1894" w:type="pct"/>
            <w:tcBorders>
              <w:tl2br w:val="nil"/>
              <w:tr2bl w:val="nil"/>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洒水</w:t>
            </w:r>
          </w:p>
        </w:tc>
      </w:tr>
    </w:tbl>
    <w:p>
      <w:pPr>
        <w:pStyle w:val="6"/>
        <w:rPr>
          <w:rFonts w:hint="default" w:ascii="Times New Roman" w:hAnsi="Times New Roman" w:eastAsia="仿宋_GB2312" w:cs="Times New Roman"/>
          <w:color w:val="auto"/>
          <w:highlight w:val="none"/>
        </w:rPr>
      </w:pPr>
    </w:p>
    <w:p>
      <w:pPr>
        <w:ind w:firstLine="480"/>
        <w:rPr>
          <w:rFonts w:hint="default" w:ascii="Times New Roman" w:hAnsi="Times New Roman" w:eastAsia="仿宋_GB2312" w:cs="Times New Roman"/>
          <w:color w:val="auto"/>
          <w:highlight w:val="none"/>
        </w:rPr>
        <w:sectPr>
          <w:headerReference r:id="rId24"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p>
      <w:pPr>
        <w:pStyle w:val="65"/>
        <w:rPr>
          <w:rFonts w:hint="default" w:ascii="Times New Roman" w:hAnsi="Times New Roman" w:eastAsia="仿宋_GB2312" w:cs="Times New Roman"/>
          <w:color w:val="auto"/>
          <w:highlight w:val="none"/>
        </w:rPr>
      </w:pPr>
      <w:bookmarkStart w:id="95" w:name="_Toc4538"/>
      <w:bookmarkStart w:id="96" w:name="_Toc24259"/>
      <w:r>
        <w:rPr>
          <w:rFonts w:hint="default" w:ascii="Times New Roman" w:hAnsi="Times New Roman" w:eastAsia="仿宋_GB2312" w:cs="Times New Roman"/>
          <w:color w:val="auto"/>
          <w:highlight w:val="none"/>
        </w:rPr>
        <w:t>4 水土流失</w:t>
      </w:r>
      <w:bookmarkEnd w:id="95"/>
      <w:r>
        <w:rPr>
          <w:rFonts w:hint="default" w:ascii="Times New Roman" w:hAnsi="Times New Roman" w:eastAsia="仿宋_GB2312" w:cs="Times New Roman"/>
          <w:color w:val="auto"/>
          <w:highlight w:val="none"/>
        </w:rPr>
        <w:t>分析与预测</w:t>
      </w:r>
      <w:bookmarkEnd w:id="96"/>
    </w:p>
    <w:p>
      <w:pPr>
        <w:pStyle w:val="66"/>
        <w:ind w:firstLine="148"/>
        <w:rPr>
          <w:rFonts w:hint="default" w:ascii="Times New Roman" w:hAnsi="Times New Roman" w:eastAsia="仿宋_GB2312" w:cs="Times New Roman"/>
          <w:color w:val="auto"/>
          <w:highlight w:val="none"/>
        </w:rPr>
      </w:pPr>
      <w:bookmarkStart w:id="97" w:name="_Toc31302"/>
      <w:bookmarkStart w:id="98" w:name="_Toc32499"/>
      <w:bookmarkStart w:id="99" w:name="_Toc3848"/>
      <w:bookmarkStart w:id="100" w:name="_Toc27056"/>
      <w:r>
        <w:rPr>
          <w:rFonts w:hint="default" w:ascii="Times New Roman" w:hAnsi="Times New Roman" w:eastAsia="仿宋_GB2312" w:cs="Times New Roman"/>
          <w:color w:val="auto"/>
          <w:highlight w:val="none"/>
        </w:rPr>
        <w:t>4.1</w:t>
      </w:r>
      <w:bookmarkStart w:id="101" w:name="_Toc489192814"/>
      <w:bookmarkStart w:id="102" w:name="_Toc488658801"/>
      <w:r>
        <w:rPr>
          <w:rFonts w:hint="default" w:ascii="Times New Roman" w:hAnsi="Times New Roman" w:eastAsia="仿宋_GB2312" w:cs="Times New Roman"/>
          <w:color w:val="auto"/>
          <w:highlight w:val="none"/>
        </w:rPr>
        <w:t xml:space="preserve"> </w:t>
      </w:r>
      <w:bookmarkEnd w:id="101"/>
      <w:bookmarkEnd w:id="102"/>
      <w:r>
        <w:rPr>
          <w:rFonts w:hint="default" w:ascii="Times New Roman" w:hAnsi="Times New Roman" w:eastAsia="仿宋_GB2312" w:cs="Times New Roman"/>
          <w:color w:val="auto"/>
          <w:highlight w:val="none"/>
        </w:rPr>
        <w:t>水土流失现状</w:t>
      </w:r>
      <w:bookmarkEnd w:id="97"/>
      <w:bookmarkEnd w:id="98"/>
      <w:bookmarkEnd w:id="99"/>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水土流失</w:t>
      </w:r>
      <w:r>
        <w:rPr>
          <w:rFonts w:hint="eastAsia" w:cs="Times New Roman"/>
          <w:color w:val="auto"/>
          <w:highlight w:val="none"/>
          <w:lang w:eastAsia="zh-CN"/>
        </w:rPr>
        <w:t>预测</w:t>
      </w:r>
      <w:r>
        <w:rPr>
          <w:rFonts w:hint="default" w:ascii="Times New Roman" w:hAnsi="Times New Roman" w:eastAsia="仿宋_GB2312" w:cs="Times New Roman"/>
          <w:color w:val="auto"/>
          <w:highlight w:val="none"/>
        </w:rPr>
        <w:t>的目的是为了分析工程施工造成的水土流失量及其潜在的水土流失危害，掌握工程施工过程中新增水土流失发生的重点时段及重点部位，为合理布设各项防治措施提供科学依据。</w:t>
      </w:r>
    </w:p>
    <w:p>
      <w:pPr>
        <w:pStyle w:val="55"/>
        <w:ind w:firstLine="480"/>
        <w:rPr>
          <w:rFonts w:hint="eastAsia" w:cs="Times New Roman"/>
          <w:color w:val="auto"/>
          <w:highlight w:val="none"/>
          <w:lang w:val="en-US" w:eastAsia="zh-CN"/>
        </w:rPr>
      </w:pPr>
      <w:r>
        <w:rPr>
          <w:rFonts w:hint="default" w:ascii="Times New Roman" w:hAnsi="Times New Roman" w:eastAsia="仿宋_GB2312" w:cs="Times New Roman"/>
          <w:color w:val="auto"/>
          <w:highlight w:val="none"/>
        </w:rPr>
        <w:t>根据《</w:t>
      </w:r>
      <w:r>
        <w:rPr>
          <w:rFonts w:hint="eastAsia" w:cs="Times New Roman"/>
          <w:color w:val="auto"/>
          <w:highlight w:val="none"/>
          <w:lang w:eastAsia="zh-CN"/>
        </w:rPr>
        <w:t>新疆土壤侵蚀图集</w:t>
      </w:r>
      <w:r>
        <w:rPr>
          <w:rFonts w:hint="default" w:ascii="Times New Roman" w:hAnsi="Times New Roman" w:eastAsia="仿宋_GB2312" w:cs="Times New Roman"/>
          <w:color w:val="auto"/>
          <w:highlight w:val="none"/>
        </w:rPr>
        <w:t>》，</w:t>
      </w:r>
      <w:r>
        <w:rPr>
          <w:rFonts w:hint="eastAsia" w:cs="Times New Roman"/>
          <w:color w:val="auto"/>
          <w:highlight w:val="none"/>
          <w:lang w:val="en-US" w:eastAsia="zh-CN"/>
        </w:rPr>
        <w:t>策勒县土壤侵蚀面积为22007.76km²，占全县土地面积的70.22%，中度以上侵蚀面积达18114.11km²，占全县土壤侵蚀总面积的82.31%。侵蚀类型主要有水力侵蚀、风力侵蚀和冻融侵蚀。其中风力侵蚀面积为17669.87km²，占土壤侵蚀面积的80.14%；水力侵蚀面积面积为3881.92km²，占土壤侵蚀面积的17.64%；冻融侵蚀面积为455.97km²，占土壤侵蚀面积的2.07%，</w:t>
      </w:r>
      <w:r>
        <w:rPr>
          <w:rFonts w:hint="default" w:ascii="Times New Roman" w:hAnsi="Times New Roman" w:eastAsia="仿宋_GB2312" w:cs="Times New Roman"/>
          <w:color w:val="auto"/>
          <w:highlight w:val="none"/>
        </w:rPr>
        <w:t>详见下表4.1-</w:t>
      </w:r>
      <w:r>
        <w:rPr>
          <w:rFonts w:hint="eastAsia" w:cs="Times New Roman"/>
          <w:color w:val="auto"/>
          <w:highlight w:val="none"/>
          <w:lang w:val="en-US" w:eastAsia="zh-CN"/>
        </w:rPr>
        <w:t>1</w:t>
      </w:r>
      <w:r>
        <w:rPr>
          <w:rFonts w:hint="default" w:ascii="Times New Roman" w:hAnsi="Times New Roman" w:eastAsia="仿宋_GB2312" w:cs="Times New Roman"/>
          <w:color w:val="auto"/>
          <w:highlight w:val="none"/>
        </w:rPr>
        <w:t>。项目区土壤侵蚀强度分布图详见附图</w:t>
      </w:r>
      <w:r>
        <w:rPr>
          <w:rFonts w:hint="eastAsia" w:cs="Times New Roman"/>
          <w:color w:val="auto"/>
          <w:highlight w:val="none"/>
          <w:lang w:val="en-US" w:eastAsia="zh-CN"/>
        </w:rPr>
        <w:t>。</w:t>
      </w:r>
    </w:p>
    <w:p>
      <w:pPr>
        <w:pStyle w:val="55"/>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仿宋_GB2312" w:cs="Times New Roman"/>
          <w:b/>
          <w:bCs/>
          <w:snapToGrid/>
          <w:color w:val="auto"/>
          <w:kern w:val="0"/>
          <w:sz w:val="24"/>
          <w:szCs w:val="21"/>
          <w:highlight w:val="none"/>
          <w:lang w:val="en-US" w:eastAsia="zh-CN" w:bidi="ar-SA"/>
        </w:rPr>
      </w:pPr>
      <w:r>
        <w:rPr>
          <w:rFonts w:hint="eastAsia" w:ascii="Times New Roman" w:hAnsi="Times New Roman" w:eastAsia="仿宋_GB2312" w:cs="Times New Roman"/>
          <w:b/>
          <w:bCs/>
          <w:snapToGrid/>
          <w:color w:val="auto"/>
          <w:kern w:val="0"/>
          <w:sz w:val="24"/>
          <w:szCs w:val="21"/>
          <w:highlight w:val="none"/>
          <w:lang w:val="en-US" w:eastAsia="zh-CN" w:bidi="ar-SA"/>
        </w:rPr>
        <w:t>表4.1-1土壤侵蚀类型及分布统计表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812"/>
        <w:gridCol w:w="1812"/>
        <w:gridCol w:w="181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exact"/>
          <w:jc w:val="center"/>
        </w:trPr>
        <w:tc>
          <w:tcPr>
            <w:tcW w:w="1000" w:type="pct"/>
            <w:vAlign w:val="top"/>
          </w:tcPr>
          <w:p>
            <w:pPr>
              <w:pStyle w:val="55"/>
              <w:ind w:left="0" w:leftChars="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侵蚀类型</w:t>
            </w:r>
          </w:p>
        </w:tc>
        <w:tc>
          <w:tcPr>
            <w:tcW w:w="1000" w:type="pct"/>
            <w:vAlign w:val="top"/>
          </w:tcPr>
          <w:p>
            <w:pPr>
              <w:pStyle w:val="55"/>
              <w:ind w:left="0" w:leftChars="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风力侵蚀</w:t>
            </w:r>
          </w:p>
        </w:tc>
        <w:tc>
          <w:tcPr>
            <w:tcW w:w="1000" w:type="pct"/>
            <w:vAlign w:val="top"/>
          </w:tcPr>
          <w:p>
            <w:pPr>
              <w:pStyle w:val="55"/>
              <w:ind w:left="0" w:leftChars="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水力侵蚀</w:t>
            </w:r>
          </w:p>
        </w:tc>
        <w:tc>
          <w:tcPr>
            <w:tcW w:w="1000" w:type="pct"/>
            <w:vAlign w:val="top"/>
          </w:tcPr>
          <w:p>
            <w:pPr>
              <w:pStyle w:val="55"/>
              <w:ind w:left="0" w:leftChars="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冻融侵蚀</w:t>
            </w:r>
          </w:p>
        </w:tc>
        <w:tc>
          <w:tcPr>
            <w:tcW w:w="1000" w:type="pct"/>
            <w:vAlign w:val="top"/>
          </w:tcPr>
          <w:p>
            <w:pPr>
              <w:pStyle w:val="55"/>
              <w:ind w:left="0" w:leftChars="0" w:firstLine="0" w:firstLineChars="0"/>
              <w:jc w:val="center"/>
              <w:rPr>
                <w:rFonts w:hint="eastAsia" w:cs="Times New Roman"/>
                <w:color w:val="auto"/>
                <w:highlight w:val="none"/>
                <w:vertAlign w:val="baseline"/>
                <w:lang w:val="en-US" w:eastAsia="zh-CN"/>
              </w:rPr>
            </w:pPr>
            <w:r>
              <w:rPr>
                <w:rFonts w:hint="eastAsia" w:cs="Times New Roman"/>
                <w:color w:val="auto"/>
                <w:highlight w:val="none"/>
                <w:vertAlign w:val="baseline"/>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00" w:type="pct"/>
            <w:vAlign w:val="top"/>
          </w:tcPr>
          <w:p>
            <w:pPr>
              <w:pStyle w:val="55"/>
              <w:ind w:left="0" w:leftChars="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面积</w:t>
            </w:r>
          </w:p>
        </w:tc>
        <w:tc>
          <w:tcPr>
            <w:tcW w:w="1000" w:type="pct"/>
            <w:vAlign w:val="top"/>
          </w:tcPr>
          <w:p>
            <w:pPr>
              <w:pStyle w:val="55"/>
              <w:ind w:left="0" w:leftChars="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17669.87</w:t>
            </w:r>
            <w:r>
              <w:rPr>
                <w:rFonts w:hint="eastAsia" w:cs="Times New Roman"/>
                <w:color w:val="auto"/>
                <w:highlight w:val="none"/>
                <w:lang w:val="en-US" w:eastAsia="zh-CN"/>
              </w:rPr>
              <w:t>km²</w:t>
            </w:r>
          </w:p>
        </w:tc>
        <w:tc>
          <w:tcPr>
            <w:tcW w:w="1000" w:type="pct"/>
            <w:vAlign w:val="top"/>
          </w:tcPr>
          <w:p>
            <w:pPr>
              <w:pStyle w:val="55"/>
              <w:ind w:left="0" w:leftChars="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3881.92</w:t>
            </w:r>
            <w:r>
              <w:rPr>
                <w:rFonts w:hint="eastAsia" w:cs="Times New Roman"/>
                <w:color w:val="auto"/>
                <w:highlight w:val="none"/>
                <w:lang w:val="en-US" w:eastAsia="zh-CN"/>
              </w:rPr>
              <w:t>km²</w:t>
            </w:r>
          </w:p>
        </w:tc>
        <w:tc>
          <w:tcPr>
            <w:tcW w:w="1000" w:type="pct"/>
            <w:vAlign w:val="top"/>
          </w:tcPr>
          <w:p>
            <w:pPr>
              <w:pStyle w:val="55"/>
              <w:ind w:left="0" w:leftChars="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455.97</w:t>
            </w:r>
            <w:r>
              <w:rPr>
                <w:rFonts w:hint="eastAsia" w:cs="Times New Roman"/>
                <w:color w:val="auto"/>
                <w:highlight w:val="none"/>
                <w:lang w:val="en-US" w:eastAsia="zh-CN"/>
              </w:rPr>
              <w:t>km²</w:t>
            </w:r>
          </w:p>
        </w:tc>
        <w:tc>
          <w:tcPr>
            <w:tcW w:w="1000" w:type="pct"/>
            <w:vAlign w:val="top"/>
          </w:tcPr>
          <w:p>
            <w:pPr>
              <w:pStyle w:val="55"/>
              <w:ind w:left="0" w:leftChars="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22007.76</w:t>
            </w:r>
            <w:r>
              <w:rPr>
                <w:rFonts w:hint="eastAsia" w:cs="Times New Roman"/>
                <w:color w:val="auto"/>
                <w:highlight w:val="none"/>
                <w:lang w:val="en-US" w:eastAsia="zh-CN"/>
              </w:rPr>
              <w:t>km²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00" w:type="pct"/>
            <w:vAlign w:val="top"/>
          </w:tcPr>
          <w:p>
            <w:pPr>
              <w:pStyle w:val="55"/>
              <w:ind w:left="0" w:leftChars="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占比</w:t>
            </w:r>
          </w:p>
        </w:tc>
        <w:tc>
          <w:tcPr>
            <w:tcW w:w="1000" w:type="pct"/>
            <w:vAlign w:val="top"/>
          </w:tcPr>
          <w:p>
            <w:pPr>
              <w:pStyle w:val="55"/>
              <w:ind w:left="0" w:leftChars="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80.14%</w:t>
            </w:r>
          </w:p>
        </w:tc>
        <w:tc>
          <w:tcPr>
            <w:tcW w:w="1000" w:type="pct"/>
            <w:vAlign w:val="top"/>
          </w:tcPr>
          <w:p>
            <w:pPr>
              <w:pStyle w:val="55"/>
              <w:ind w:left="0" w:leftChars="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17.64%</w:t>
            </w:r>
          </w:p>
        </w:tc>
        <w:tc>
          <w:tcPr>
            <w:tcW w:w="1000" w:type="pct"/>
            <w:vAlign w:val="top"/>
          </w:tcPr>
          <w:p>
            <w:pPr>
              <w:pStyle w:val="55"/>
              <w:ind w:left="0" w:leftChars="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2.07%</w:t>
            </w:r>
          </w:p>
        </w:tc>
        <w:tc>
          <w:tcPr>
            <w:tcW w:w="1000" w:type="pct"/>
            <w:vAlign w:val="top"/>
          </w:tcPr>
          <w:p>
            <w:pPr>
              <w:pStyle w:val="55"/>
              <w:ind w:left="0" w:leftChars="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100%</w:t>
            </w:r>
          </w:p>
        </w:tc>
      </w:tr>
    </w:tbl>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4.1.1 水土流失类型及强度</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r>
        <w:rPr>
          <w:rFonts w:hint="eastAsia" w:cs="Times New Roman"/>
          <w:color w:val="auto"/>
          <w:highlight w:val="none"/>
          <w:lang w:val="en-US" w:eastAsia="zh-CN"/>
        </w:rPr>
        <w:t>1</w:t>
      </w:r>
      <w:r>
        <w:rPr>
          <w:rFonts w:hint="default" w:ascii="Times New Roman" w:hAnsi="Times New Roman" w:eastAsia="仿宋_GB2312" w:cs="Times New Roman"/>
          <w:color w:val="auto"/>
          <w:highlight w:val="none"/>
        </w:rPr>
        <w:t>）风力侵蚀</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工程区的实际情况，发生风蚀具备两个条件，一是具备大于起沙风速的风力。二是地表裸露、干燥或地表植被覆盖度低，并提供沙源。项目区位于东北喇嘛湖梁工业园区县城北部，地表植被稀疏，该区年平均风速</w:t>
      </w:r>
      <w:r>
        <w:rPr>
          <w:rFonts w:hint="eastAsia" w:cs="Times New Roman"/>
          <w:color w:val="auto"/>
          <w:highlight w:val="none"/>
          <w:lang w:val="en-US" w:eastAsia="zh-CN"/>
        </w:rPr>
        <w:t>1.6</w:t>
      </w:r>
      <w:r>
        <w:rPr>
          <w:rFonts w:hint="default" w:ascii="Times New Roman" w:hAnsi="Times New Roman" w:eastAsia="仿宋_GB2312" w:cs="Times New Roman"/>
          <w:color w:val="auto"/>
          <w:highlight w:val="none"/>
        </w:rPr>
        <w:t>m/s，具备风蚀发生的风力条件。项目区为冲积平原区，属典型的冲积平原区地貌，土壤为</w:t>
      </w:r>
      <w:r>
        <w:rPr>
          <w:rFonts w:hint="eastAsia" w:cs="Times New Roman"/>
          <w:color w:val="auto"/>
          <w:highlight w:val="none"/>
          <w:lang w:eastAsia="zh-CN"/>
        </w:rPr>
        <w:t>棕漠土</w:t>
      </w:r>
      <w:r>
        <w:rPr>
          <w:rFonts w:hint="default" w:ascii="Times New Roman" w:hAnsi="Times New Roman" w:eastAsia="仿宋_GB2312" w:cs="Times New Roman"/>
          <w:color w:val="auto"/>
          <w:highlight w:val="none"/>
        </w:rPr>
        <w:t>，易受风蚀，植被为荒漠植被，植被覆盖率为</w:t>
      </w:r>
      <w:r>
        <w:rPr>
          <w:rFonts w:hint="eastAsia" w:cs="Times New Roman"/>
          <w:color w:val="auto"/>
          <w:highlight w:val="none"/>
          <w:lang w:eastAsia="zh-CN"/>
        </w:rPr>
        <w:t>10%</w:t>
      </w:r>
      <w:r>
        <w:rPr>
          <w:rFonts w:hint="default" w:ascii="Times New Roman" w:hAnsi="Times New Roman" w:eastAsia="仿宋_GB2312" w:cs="Times New Roman"/>
          <w:color w:val="auto"/>
          <w:highlight w:val="none"/>
        </w:rPr>
        <w:t>以内，地表结皮明显，如不存在人为扰动，其抗侵蚀的能力较强。根据现场调查情况，同时结合全疆第一次水土流失普查结果，综合确定项目区在地表未扰动情况下风力侵蚀强度为微度。</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项目区土壤侵蚀强度分类分级见表4.1-2。</w:t>
      </w:r>
    </w:p>
    <w:p>
      <w:pPr>
        <w:pStyle w:val="76"/>
        <w:rPr>
          <w:rFonts w:hint="default" w:ascii="Times New Roman" w:hAnsi="Times New Roman" w:eastAsia="仿宋_GB2312" w:cs="Times New Roman"/>
          <w:color w:val="auto"/>
          <w:highlight w:val="none"/>
        </w:rPr>
      </w:pPr>
      <w:r>
        <w:rPr>
          <w:rFonts w:hint="eastAsia" w:cs="Times New Roman"/>
          <w:color w:val="auto"/>
          <w:highlight w:val="none"/>
          <w:lang w:eastAsia="zh-CN"/>
        </w:rPr>
        <w:t>表</w:t>
      </w:r>
      <w:r>
        <w:rPr>
          <w:rFonts w:hint="default" w:ascii="Times New Roman" w:hAnsi="Times New Roman" w:eastAsia="仿宋_GB2312" w:cs="Times New Roman"/>
          <w:color w:val="auto"/>
          <w:highlight w:val="none"/>
        </w:rPr>
        <w:t>4.1-2项目区土壤侵蚀强度分类分级表</w:t>
      </w:r>
    </w:p>
    <w:tbl>
      <w:tblPr>
        <w:tblStyle w:val="25"/>
        <w:tblW w:w="883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5" w:type="dxa"/>
          <w:bottom w:w="15" w:type="dxa"/>
          <w:right w:w="15" w:type="dxa"/>
        </w:tblCellMar>
      </w:tblPr>
      <w:tblGrid>
        <w:gridCol w:w="1690"/>
        <w:gridCol w:w="2273"/>
        <w:gridCol w:w="2984"/>
        <w:gridCol w:w="188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1690"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项目组成</w:t>
            </w:r>
          </w:p>
        </w:tc>
        <w:tc>
          <w:tcPr>
            <w:tcW w:w="2273"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地貌类型</w:t>
            </w:r>
          </w:p>
        </w:tc>
        <w:tc>
          <w:tcPr>
            <w:tcW w:w="2984"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侵蚀类型及强度</w:t>
            </w:r>
          </w:p>
        </w:tc>
        <w:tc>
          <w:tcPr>
            <w:tcW w:w="1887"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1690"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项目区</w:t>
            </w:r>
          </w:p>
        </w:tc>
        <w:tc>
          <w:tcPr>
            <w:tcW w:w="2273"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冲积平原区</w:t>
            </w:r>
          </w:p>
        </w:tc>
        <w:tc>
          <w:tcPr>
            <w:tcW w:w="2984"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轻度风力侵蚀</w:t>
            </w:r>
          </w:p>
        </w:tc>
        <w:tc>
          <w:tcPr>
            <w:tcW w:w="1887" w:type="dxa"/>
            <w:tcBorders>
              <w:tl2br w:val="nil"/>
              <w:tr2bl w:val="nil"/>
            </w:tcBorders>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风力侵蚀</w:t>
            </w:r>
          </w:p>
        </w:tc>
      </w:tr>
    </w:tbl>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4.1.2 项目区土壤侵蚀模数及容许土壤流失量</w:t>
      </w:r>
    </w:p>
    <w:p>
      <w:pPr>
        <w:pStyle w:val="55"/>
        <w:ind w:firstLine="480"/>
        <w:rPr>
          <w:rFonts w:hint="default" w:ascii="Times New Roman" w:hAnsi="Times New Roman" w:eastAsia="仿宋_GB2312" w:cs="Times New Roman"/>
          <w:color w:val="auto"/>
          <w:highlight w:val="none"/>
        </w:rPr>
      </w:pPr>
      <w:bookmarkStart w:id="103" w:name="_Toc3621"/>
      <w:r>
        <w:rPr>
          <w:rFonts w:hint="default" w:ascii="Times New Roman" w:hAnsi="Times New Roman" w:eastAsia="仿宋_GB2312" w:cs="Times New Roman"/>
          <w:color w:val="auto"/>
          <w:highlight w:val="none"/>
        </w:rPr>
        <w:t>根据工程区踏勘、测量及综合分析，确定本工程区的气象、地表组成、植被覆盖度等自然环境状况，结合全疆水土流失普查结果，确定项目区在原地表稳定层未破坏的条件下，原生地表土壤侵蚀强度属于轻度风</w:t>
      </w:r>
      <w:r>
        <w:rPr>
          <w:rFonts w:hint="eastAsia" w:cs="Times New Roman"/>
          <w:color w:val="auto"/>
          <w:highlight w:val="none"/>
          <w:lang w:eastAsia="zh-CN"/>
        </w:rPr>
        <w:t>力侵</w:t>
      </w:r>
      <w:r>
        <w:rPr>
          <w:rFonts w:hint="default" w:ascii="Times New Roman" w:hAnsi="Times New Roman" w:eastAsia="仿宋_GB2312" w:cs="Times New Roman"/>
          <w:color w:val="auto"/>
          <w:highlight w:val="none"/>
        </w:rPr>
        <w:t>蚀；根据《土壤侵蚀分类分级标准》（SL190-2007），最终确定项目区的原生地貌土壤侵蚀模数为1</w:t>
      </w:r>
      <w:r>
        <w:rPr>
          <w:rFonts w:hint="eastAsia" w:cs="Times New Roman"/>
          <w:color w:val="auto"/>
          <w:highlight w:val="none"/>
          <w:lang w:val="en-US" w:eastAsia="zh-CN"/>
        </w:rPr>
        <w:t>0</w:t>
      </w:r>
      <w:r>
        <w:rPr>
          <w:rFonts w:hint="default" w:ascii="Times New Roman" w:hAnsi="Times New Roman" w:eastAsia="仿宋_GB2312" w:cs="Times New Roman"/>
          <w:color w:val="auto"/>
          <w:highlight w:val="none"/>
        </w:rPr>
        <w:t>00t/km²・a。同时根据项目区所属的水土流失类型、项目区的实际情况，确定工程区土壤容许流失量为1</w:t>
      </w:r>
      <w:r>
        <w:rPr>
          <w:rFonts w:hint="eastAsia" w:cs="Times New Roman"/>
          <w:color w:val="auto"/>
          <w:highlight w:val="none"/>
          <w:lang w:val="en-US" w:eastAsia="zh-CN"/>
        </w:rPr>
        <w:t>0</w:t>
      </w:r>
      <w:r>
        <w:rPr>
          <w:rFonts w:hint="default" w:ascii="Times New Roman" w:hAnsi="Times New Roman" w:eastAsia="仿宋_GB2312" w:cs="Times New Roman"/>
          <w:color w:val="auto"/>
          <w:highlight w:val="none"/>
        </w:rPr>
        <w:t>00t/（km²·a）。</w:t>
      </w:r>
    </w:p>
    <w:p>
      <w:pPr>
        <w:pStyle w:val="66"/>
        <w:ind w:firstLine="148"/>
        <w:rPr>
          <w:rFonts w:hint="default" w:ascii="Times New Roman" w:hAnsi="Times New Roman" w:eastAsia="仿宋_GB2312" w:cs="Times New Roman"/>
          <w:color w:val="auto"/>
          <w:highlight w:val="none"/>
        </w:rPr>
      </w:pPr>
      <w:bookmarkStart w:id="104" w:name="_Toc31596"/>
      <w:bookmarkStart w:id="105" w:name="_Toc18583"/>
      <w:r>
        <w:rPr>
          <w:rFonts w:hint="default" w:ascii="Times New Roman" w:hAnsi="Times New Roman" w:eastAsia="仿宋_GB2312" w:cs="Times New Roman"/>
          <w:color w:val="auto"/>
          <w:highlight w:val="none"/>
        </w:rPr>
        <w:t>4.2 水土流失影响因素分析</w:t>
      </w:r>
      <w:bookmarkEnd w:id="103"/>
      <w:bookmarkEnd w:id="104"/>
      <w:bookmarkEnd w:id="105"/>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4.2.1 侵蚀因素与特点</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工程建设中，造成土壤侵蚀加速发展的因素包括自然因素和人为因素，人为因素是主导因素。影响该区域水土流失的自然因素主要有气候、地质、地形、地貌、土壤和植被等；人为因素有</w:t>
      </w:r>
      <w:r>
        <w:rPr>
          <w:rFonts w:hint="eastAsia" w:cs="Times New Roman"/>
          <w:color w:val="auto"/>
          <w:highlight w:val="none"/>
          <w:lang w:eastAsia="zh-CN"/>
        </w:rPr>
        <w:t>土地平整</w:t>
      </w:r>
      <w:r>
        <w:rPr>
          <w:rFonts w:hint="default" w:ascii="Times New Roman" w:hAnsi="Times New Roman" w:eastAsia="仿宋_GB2312" w:cs="Times New Roman"/>
          <w:color w:val="auto"/>
          <w:highlight w:val="none"/>
        </w:rPr>
        <w:t>、建筑物基础开挖。取土开挖等施工活动，以上施工活动改变了外营力与土体抵抗力之间形成的自然相对平衡，潜在的自然因素在人为因素的诱发下加速土壤侵蚀，形成新的水土流失。</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（1）自然因素</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项目区年平均风速</w:t>
      </w:r>
      <w:r>
        <w:rPr>
          <w:rFonts w:hint="eastAsia" w:cs="Times New Roman"/>
          <w:color w:val="auto"/>
          <w:highlight w:val="none"/>
          <w:lang w:val="en-US" w:eastAsia="zh-CN"/>
        </w:rPr>
        <w:t>1.6</w:t>
      </w:r>
      <w:r>
        <w:rPr>
          <w:rFonts w:hint="default" w:ascii="Times New Roman" w:hAnsi="Times New Roman" w:eastAsia="仿宋_GB2312" w:cs="Times New Roman"/>
          <w:color w:val="auto"/>
          <w:highlight w:val="none"/>
        </w:rPr>
        <w:t>m/s，风季为每年的4月-9月，风向多为西北风，最大风速</w:t>
      </w:r>
      <w:r>
        <w:rPr>
          <w:rFonts w:hint="eastAsia" w:cs="Times New Roman"/>
          <w:color w:val="auto"/>
          <w:highlight w:val="none"/>
          <w:lang w:val="en-US" w:eastAsia="zh-CN"/>
        </w:rPr>
        <w:t>28</w:t>
      </w:r>
      <w:r>
        <w:rPr>
          <w:rFonts w:hint="default" w:ascii="Times New Roman" w:hAnsi="Times New Roman" w:eastAsia="仿宋_GB2312" w:cs="Times New Roman"/>
          <w:color w:val="auto"/>
          <w:highlight w:val="none"/>
        </w:rPr>
        <w:t>m/s。项目区为冲积平原区，土壤主要为</w:t>
      </w:r>
      <w:r>
        <w:rPr>
          <w:rFonts w:hint="eastAsia" w:cs="Times New Roman"/>
          <w:color w:val="auto"/>
          <w:highlight w:val="none"/>
          <w:lang w:eastAsia="zh-CN"/>
        </w:rPr>
        <w:t>棕漠土</w:t>
      </w:r>
      <w:r>
        <w:rPr>
          <w:rFonts w:hint="default" w:ascii="Times New Roman" w:hAnsi="Times New Roman" w:eastAsia="仿宋_GB2312" w:cs="Times New Roman"/>
          <w:color w:val="auto"/>
          <w:highlight w:val="none"/>
        </w:rPr>
        <w:t>，项目区土壤抗侵蚀力弱，极易分散，在降雨时极易被水流冲蚀，在大风时极易形成扬尘，由于项目区特殊的土壤情况，土壤侵蚀极易发生。项目区植被盖度为</w:t>
      </w:r>
      <w:r>
        <w:rPr>
          <w:rFonts w:hint="eastAsia" w:cs="Times New Roman"/>
          <w:color w:val="auto"/>
          <w:highlight w:val="none"/>
          <w:lang w:eastAsia="zh-CN"/>
        </w:rPr>
        <w:t>10%</w:t>
      </w:r>
      <w:r>
        <w:rPr>
          <w:rFonts w:hint="default" w:ascii="Times New Roman" w:hAnsi="Times New Roman" w:eastAsia="仿宋_GB2312" w:cs="Times New Roman"/>
          <w:color w:val="auto"/>
          <w:highlight w:val="none"/>
        </w:rPr>
        <w:t>以下，植被覆盖度较低，区域地表结皮明显，在人为不扰动去情况下不易发生大面积、较严重的侵蚀。</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（2）人为因素</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在没有人为干扰的情况下，一个地区的抗侵蚀力基本不变。在项目建设过程中，由于地形地貌、地表植被等遭受人为破坏和干扰，土壤结构变得松散，植被覆盖度降低，区域抗侵蚀力减弱，因而加剧了土壤侵蚀。根据工程的建设特点，施工建设活动主要从以下几方面形成新增水土流失：</w:t>
      </w:r>
    </w:p>
    <w:p>
      <w:pPr>
        <w:pStyle w:val="55"/>
        <w:keepNext/>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1）使原生植被受到扰动和破坏</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由于项目的建设，扩大了人类活动范围，增大了对地表土壤和植被的扰动强度。原生植被在以下几方面遭到破坏：项目区平整、开挖、填筑等形成较大范围的裸露面；建筑物回填开挖等占压地面、损坏植被；施工机械的碾压和人员践踏等生产与生活活动破坏植被，并可能使周边区域的植被也受到影响。</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2）使土壤表层松散性加大</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土壤是侵蚀过程中被侵蚀的对象。比如建筑物区基础开挖回填期间占地范围内临时堆置的松散土方，开挖土方堆置易产生风蚀。由于项目的建设，大量的松散土方发生运移和重新堆积，植被破坏，使土壤水分大量散失，土体的机械组成混杂不一，丧失了原地表土壤的抗蚀力。在当地大风及强降雨的作用下，裸露带极易形成较强的水土流失。</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3）人为改变了原地貌形态</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建设中，土方开挖、填筑处形成了有较大坡度的人工地貌，改变了相对平坦的原地貌，使表土变得疏松、裸露，如果无适当的保护措施，当发生短历时、强降雨时，易在人工开挖、回填扰动的裸露地表形成水力侵蚀。</w:t>
      </w: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表4.2-1水土流失影响因素分析表</w:t>
      </w:r>
    </w:p>
    <w:tbl>
      <w:tblPr>
        <w:tblStyle w:val="25"/>
        <w:tblW w:w="8874" w:type="dxa"/>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15" w:type="dxa"/>
          <w:left w:w="15" w:type="dxa"/>
          <w:bottom w:w="15" w:type="dxa"/>
          <w:right w:w="15" w:type="dxa"/>
        </w:tblCellMar>
      </w:tblPr>
      <w:tblGrid>
        <w:gridCol w:w="1326"/>
        <w:gridCol w:w="1798"/>
        <w:gridCol w:w="5750"/>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预测时段</w:t>
            </w:r>
          </w:p>
        </w:tc>
        <w:tc>
          <w:tcPr>
            <w:tcW w:w="1798" w:type="dxa"/>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基本情况</w:t>
            </w:r>
          </w:p>
        </w:tc>
        <w:tc>
          <w:tcPr>
            <w:tcW w:w="5750" w:type="dxa"/>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可能产生的水土流失</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vMerge w:val="restart"/>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施工期</w:t>
            </w:r>
          </w:p>
        </w:tc>
        <w:tc>
          <w:tcPr>
            <w:tcW w:w="1798" w:type="dxa"/>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建筑物区</w:t>
            </w:r>
          </w:p>
        </w:tc>
        <w:tc>
          <w:tcPr>
            <w:tcW w:w="5750" w:type="dxa"/>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人为的扰动原地貌，基础开挖回填期间占地范围内临时堆置的松散土方，机械碾压产生扬尘</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vMerge w:val="continue"/>
            <w:vAlign w:val="center"/>
          </w:tcPr>
          <w:p>
            <w:pPr>
              <w:pStyle w:val="84"/>
              <w:rPr>
                <w:rFonts w:hint="default" w:ascii="Times New Roman" w:hAnsi="Times New Roman" w:eastAsia="仿宋_GB2312" w:cs="Times New Roman"/>
                <w:color w:val="auto"/>
                <w:highlight w:val="none"/>
              </w:rPr>
            </w:pPr>
          </w:p>
        </w:tc>
        <w:tc>
          <w:tcPr>
            <w:tcW w:w="1798" w:type="dxa"/>
            <w:vAlign w:val="center"/>
          </w:tcPr>
          <w:p>
            <w:pPr>
              <w:pStyle w:val="84"/>
              <w:rPr>
                <w:rFonts w:hint="default" w:ascii="Times New Roman" w:hAnsi="Times New Roman" w:eastAsia="仿宋_GB2312" w:cs="Times New Roman"/>
                <w:color w:val="auto"/>
                <w:highlight w:val="none"/>
              </w:rPr>
            </w:pPr>
            <w:r>
              <w:rPr>
                <w:rFonts w:hint="eastAsia" w:cs="Times New Roman"/>
                <w:color w:val="auto"/>
                <w:highlight w:val="none"/>
                <w:lang w:eastAsia="zh-CN"/>
              </w:rPr>
              <w:t>管线工程</w:t>
            </w:r>
            <w:r>
              <w:rPr>
                <w:rFonts w:hint="default" w:ascii="Times New Roman" w:hAnsi="Times New Roman" w:eastAsia="仿宋_GB2312" w:cs="Times New Roman"/>
                <w:color w:val="auto"/>
                <w:highlight w:val="none"/>
              </w:rPr>
              <w:t>区</w:t>
            </w:r>
          </w:p>
        </w:tc>
        <w:tc>
          <w:tcPr>
            <w:tcW w:w="5750" w:type="dxa"/>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人为的扰动原地貌，</w:t>
            </w:r>
            <w:r>
              <w:rPr>
                <w:rFonts w:hint="eastAsia" w:ascii="Times New Roman" w:hAnsi="Times New Roman" w:cs="Times New Roman"/>
                <w:color w:val="auto"/>
                <w:highlight w:val="none"/>
                <w:lang w:eastAsia="zh-CN"/>
              </w:rPr>
              <w:t>管沟</w:t>
            </w:r>
            <w:r>
              <w:rPr>
                <w:rFonts w:hint="default" w:ascii="Times New Roman" w:hAnsi="Times New Roman" w:eastAsia="仿宋_GB2312" w:cs="Times New Roman"/>
                <w:color w:val="auto"/>
                <w:highlight w:val="none"/>
              </w:rPr>
              <w:t>开挖回填期间占地范围内临时堆置的松散土方，机械碾压产生扬尘</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vMerge w:val="continue"/>
            <w:vAlign w:val="center"/>
          </w:tcPr>
          <w:p>
            <w:pPr>
              <w:pStyle w:val="84"/>
              <w:rPr>
                <w:rFonts w:hint="default" w:ascii="Times New Roman" w:hAnsi="Times New Roman" w:eastAsia="仿宋_GB2312" w:cs="Times New Roman"/>
                <w:color w:val="auto"/>
                <w:highlight w:val="none"/>
              </w:rPr>
            </w:pPr>
          </w:p>
        </w:tc>
        <w:tc>
          <w:tcPr>
            <w:tcW w:w="1798" w:type="dxa"/>
            <w:vAlign w:val="center"/>
          </w:tcPr>
          <w:p>
            <w:pPr>
              <w:pStyle w:val="84"/>
              <w:rPr>
                <w:rFonts w:hint="default" w:ascii="Times New Roman" w:hAnsi="Times New Roman" w:eastAsia="仿宋_GB2312" w:cs="Times New Roman"/>
                <w:color w:val="auto"/>
                <w:highlight w:val="none"/>
              </w:rPr>
            </w:pPr>
            <w:r>
              <w:rPr>
                <w:rFonts w:hint="eastAsia" w:cs="Times New Roman"/>
                <w:color w:val="auto"/>
                <w:highlight w:val="none"/>
                <w:lang w:eastAsia="zh-CN"/>
              </w:rPr>
              <w:t>道路及</w:t>
            </w:r>
            <w:r>
              <w:rPr>
                <w:rFonts w:hint="default" w:ascii="Times New Roman" w:hAnsi="Times New Roman" w:eastAsia="仿宋_GB2312" w:cs="Times New Roman"/>
                <w:color w:val="auto"/>
                <w:highlight w:val="none"/>
              </w:rPr>
              <w:t>硬化区</w:t>
            </w:r>
          </w:p>
        </w:tc>
        <w:tc>
          <w:tcPr>
            <w:tcW w:w="5750" w:type="dxa"/>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人为的扰动原地貌，机械碾压产生扬尘</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rPr>
          <w:trHeight w:val="23" w:hRule="atLeast"/>
        </w:trPr>
        <w:tc>
          <w:tcPr>
            <w:tcW w:w="1326" w:type="dxa"/>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自然恢复期</w:t>
            </w:r>
          </w:p>
        </w:tc>
        <w:tc>
          <w:tcPr>
            <w:tcW w:w="1798" w:type="dxa"/>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整个项目建设区</w:t>
            </w:r>
          </w:p>
        </w:tc>
        <w:tc>
          <w:tcPr>
            <w:tcW w:w="5750" w:type="dxa"/>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不再新增扰动破还原地貌，施工期造成的扰动面积基本稳定，产生的水土流失逐年减小。</w:t>
            </w:r>
          </w:p>
        </w:tc>
      </w:tr>
    </w:tbl>
    <w:p>
      <w:pPr>
        <w:pStyle w:val="55"/>
        <w:ind w:firstLine="440"/>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备注：</w:t>
      </w:r>
      <w:r>
        <w:rPr>
          <w:rFonts w:hint="eastAsia" w:cs="Times New Roman"/>
          <w:color w:val="auto"/>
          <w:sz w:val="22"/>
          <w:szCs w:val="22"/>
          <w:highlight w:val="none"/>
          <w:lang w:eastAsia="zh-CN"/>
        </w:rPr>
        <w:t>施工生产生活区</w:t>
      </w:r>
      <w:r>
        <w:rPr>
          <w:rFonts w:hint="default" w:ascii="Times New Roman" w:hAnsi="Times New Roman" w:eastAsia="仿宋_GB2312" w:cs="Times New Roman"/>
          <w:color w:val="auto"/>
          <w:sz w:val="22"/>
          <w:szCs w:val="22"/>
          <w:highlight w:val="none"/>
        </w:rPr>
        <w:t>属重复占道路及硬化区，面积不重复计列。</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4.2.2 扰动原地貌、损坏土地及植被情况调查</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工程扰动、占压地表面积包括项目建设区内工程开挖、回填、占压等活动地表的实际面积，不包括工程征地范围内未扰动地表面积。</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根据主体工程设计资料，结合实地调查，本工程建设扰动地表区域主要包括建筑物区、</w:t>
      </w:r>
      <w:r>
        <w:rPr>
          <w:rFonts w:hint="eastAsia" w:cs="Times New Roman"/>
          <w:color w:val="auto"/>
          <w:highlight w:val="none"/>
          <w:lang w:eastAsia="zh-CN"/>
        </w:rPr>
        <w:t>道路及</w:t>
      </w:r>
      <w:r>
        <w:rPr>
          <w:rFonts w:hint="default" w:ascii="Times New Roman" w:hAnsi="Times New Roman" w:eastAsia="仿宋_GB2312" w:cs="Times New Roman"/>
          <w:color w:val="auto"/>
          <w:highlight w:val="none"/>
        </w:rPr>
        <w:t>硬化区、管线工程区（重复占地）、</w:t>
      </w:r>
      <w:r>
        <w:rPr>
          <w:rFonts w:hint="eastAsia" w:cs="Times New Roman"/>
          <w:color w:val="auto"/>
          <w:highlight w:val="none"/>
          <w:lang w:eastAsia="zh-CN"/>
        </w:rPr>
        <w:t>施工生产生活区</w:t>
      </w:r>
      <w:r>
        <w:rPr>
          <w:rFonts w:hint="default" w:ascii="Times New Roman" w:hAnsi="Times New Roman" w:eastAsia="仿宋_GB2312" w:cs="Times New Roman"/>
          <w:color w:val="auto"/>
          <w:highlight w:val="none"/>
        </w:rPr>
        <w:t>（重复占地），工程建设占地总面积</w:t>
      </w:r>
      <w:r>
        <w:rPr>
          <w:rFonts w:hint="eastAsia" w:cs="Times New Roman"/>
          <w:color w:val="auto"/>
          <w:highlight w:val="none"/>
          <w:lang w:val="en-US" w:eastAsia="zh-CN"/>
        </w:rPr>
        <w:t>0.45h</w:t>
      </w:r>
      <w:r>
        <w:rPr>
          <w:rFonts w:hint="default" w:ascii="Times New Roman" w:hAnsi="Times New Roman" w:eastAsia="仿宋_GB2312" w:cs="Times New Roman"/>
          <w:color w:val="auto"/>
          <w:highlight w:val="none"/>
        </w:rPr>
        <w:t>m²，因此本项目扰动原地貌、损坏土地面积为</w:t>
      </w:r>
      <w:r>
        <w:rPr>
          <w:rFonts w:hint="eastAsia" w:cs="Times New Roman"/>
          <w:color w:val="auto"/>
          <w:highlight w:val="none"/>
          <w:lang w:val="en-US" w:eastAsia="zh-CN"/>
        </w:rPr>
        <w:t>0.45h</w:t>
      </w:r>
      <w:r>
        <w:rPr>
          <w:rFonts w:hint="default" w:ascii="Times New Roman" w:hAnsi="Times New Roman" w:eastAsia="仿宋_GB2312" w:cs="Times New Roman"/>
          <w:color w:val="auto"/>
          <w:highlight w:val="none"/>
        </w:rPr>
        <w:t>m²。项目建设扰动原地表调查情况统计见表4.2-2。</w:t>
      </w: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表4.2-2扰动地表面积情况调查表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519"/>
        <w:gridCol w:w="2291"/>
        <w:gridCol w:w="2125"/>
        <w:gridCol w:w="212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1390" w:type="pct"/>
            <w:shd w:val="clear" w:color="auto" w:fill="auto"/>
            <w:noWrap/>
            <w:vAlign w:val="center"/>
          </w:tcPr>
          <w:p>
            <w:pPr>
              <w:pStyle w:val="84"/>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t>预测单元</w:t>
            </w:r>
          </w:p>
        </w:tc>
        <w:tc>
          <w:tcPr>
            <w:tcW w:w="1264" w:type="pct"/>
            <w:shd w:val="clear" w:color="auto" w:fill="auto"/>
            <w:noWrap/>
            <w:vAlign w:val="center"/>
          </w:tcPr>
          <w:p>
            <w:pPr>
              <w:pStyle w:val="84"/>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占地面积</w:t>
            </w:r>
            <w:r>
              <w:rPr>
                <w:rFonts w:hint="eastAsia"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val="en-US" w:eastAsia="zh-CN"/>
              </w:rPr>
              <w:t>m²</w:t>
            </w:r>
            <w:r>
              <w:rPr>
                <w:rFonts w:hint="eastAsia" w:ascii="Times New Roman" w:hAnsi="Times New Roman" w:eastAsia="仿宋_GB2312" w:cs="Times New Roman"/>
                <w:color w:val="auto"/>
                <w:highlight w:val="none"/>
                <w:lang w:eastAsia="zh-CN"/>
              </w:rPr>
              <w:t>）</w:t>
            </w:r>
          </w:p>
        </w:tc>
        <w:tc>
          <w:tcPr>
            <w:tcW w:w="1172" w:type="pct"/>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扰动地表面积</w:t>
            </w:r>
            <w:r>
              <w:rPr>
                <w:rFonts w:hint="eastAsia" w:ascii="Times New Roman" w:hAnsi="Times New Roman" w:eastAsia="仿宋_GB2312" w:cs="Times New Roman"/>
                <w:color w:val="auto"/>
                <w:highlight w:val="none"/>
                <w:lang w:eastAsia="zh-CN"/>
              </w:rPr>
              <w:t>（</w:t>
            </w:r>
            <w:r>
              <w:rPr>
                <w:rFonts w:hint="eastAsia" w:ascii="Times New Roman" w:hAnsi="Times New Roman" w:eastAsia="仿宋_GB2312" w:cs="Times New Roman"/>
                <w:color w:val="auto"/>
                <w:highlight w:val="none"/>
                <w:lang w:val="en-US" w:eastAsia="zh-CN"/>
              </w:rPr>
              <w:t>m²</w:t>
            </w:r>
            <w:r>
              <w:rPr>
                <w:rFonts w:hint="eastAsia" w:ascii="Times New Roman" w:hAnsi="Times New Roman" w:eastAsia="仿宋_GB2312" w:cs="Times New Roman"/>
                <w:color w:val="auto"/>
                <w:highlight w:val="none"/>
                <w:lang w:eastAsia="zh-CN"/>
              </w:rPr>
              <w:t>）</w:t>
            </w:r>
          </w:p>
        </w:tc>
        <w:tc>
          <w:tcPr>
            <w:tcW w:w="1172" w:type="pct"/>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1390" w:type="pct"/>
            <w:shd w:val="clear" w:color="auto" w:fill="auto"/>
            <w:noWrap/>
            <w:vAlign w:val="center"/>
          </w:tcPr>
          <w:p>
            <w:pPr>
              <w:pStyle w:val="84"/>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val="en-US" w:eastAsia="zh-CN"/>
              </w:rPr>
              <w:t>建筑物区</w:t>
            </w:r>
          </w:p>
        </w:tc>
        <w:tc>
          <w:tcPr>
            <w:tcW w:w="1264" w:type="pct"/>
            <w:shd w:val="clear" w:color="auto" w:fill="auto"/>
            <w:noWrap/>
            <w:vAlign w:val="center"/>
          </w:tcPr>
          <w:p>
            <w:pPr>
              <w:pStyle w:val="84"/>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 xml:space="preserve">2509.27 </w:t>
            </w:r>
          </w:p>
        </w:tc>
        <w:tc>
          <w:tcPr>
            <w:tcW w:w="1172" w:type="pct"/>
            <w:vAlign w:val="center"/>
          </w:tcPr>
          <w:p>
            <w:pPr>
              <w:pStyle w:val="84"/>
              <w:ind w:firstLine="0" w:firstLineChars="0"/>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 xml:space="preserve">2509.27 </w:t>
            </w:r>
          </w:p>
        </w:tc>
        <w:tc>
          <w:tcPr>
            <w:tcW w:w="1172" w:type="pct"/>
            <w:vAlign w:val="center"/>
          </w:tcPr>
          <w:p>
            <w:pPr>
              <w:pStyle w:val="84"/>
              <w:rPr>
                <w:rFonts w:hint="default" w:ascii="Times New Roman" w:hAnsi="Times New Roman" w:eastAsia="仿宋_GB2312"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1390" w:type="pct"/>
            <w:shd w:val="clear" w:color="auto" w:fill="auto"/>
            <w:noWrap/>
            <w:vAlign w:val="center"/>
          </w:tcPr>
          <w:p>
            <w:pPr>
              <w:pStyle w:val="84"/>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val="en-US" w:eastAsia="zh-CN"/>
              </w:rPr>
              <w:t>管线工程区</w:t>
            </w:r>
          </w:p>
        </w:tc>
        <w:tc>
          <w:tcPr>
            <w:tcW w:w="1264" w:type="pct"/>
            <w:shd w:val="clear" w:color="auto" w:fill="auto"/>
            <w:noWrap/>
            <w:vAlign w:val="center"/>
          </w:tcPr>
          <w:p>
            <w:pPr>
              <w:pStyle w:val="84"/>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(159.00)</w:t>
            </w:r>
          </w:p>
        </w:tc>
        <w:tc>
          <w:tcPr>
            <w:tcW w:w="1172" w:type="pct"/>
            <w:vAlign w:val="center"/>
          </w:tcPr>
          <w:p>
            <w:pPr>
              <w:pStyle w:val="84"/>
              <w:ind w:firstLine="0" w:firstLineChars="0"/>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(159.00)</w:t>
            </w:r>
          </w:p>
        </w:tc>
        <w:tc>
          <w:tcPr>
            <w:tcW w:w="1172" w:type="pct"/>
            <w:vAlign w:val="center"/>
          </w:tcPr>
          <w:p>
            <w:pPr>
              <w:pStyle w:val="84"/>
              <w:rPr>
                <w:rFonts w:hint="default" w:ascii="Times New Roman" w:hAnsi="Times New Roman" w:eastAsia="仿宋_GB2312"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5" w:hRule="exact"/>
          <w:jc w:val="center"/>
        </w:trPr>
        <w:tc>
          <w:tcPr>
            <w:tcW w:w="1390" w:type="pct"/>
            <w:shd w:val="clear" w:color="auto" w:fill="auto"/>
            <w:noWrap/>
            <w:vAlign w:val="center"/>
          </w:tcPr>
          <w:p>
            <w:pPr>
              <w:pStyle w:val="84"/>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道路及硬化区</w:t>
            </w:r>
          </w:p>
        </w:tc>
        <w:tc>
          <w:tcPr>
            <w:tcW w:w="1264" w:type="pct"/>
            <w:shd w:val="clear" w:color="auto" w:fill="auto"/>
            <w:noWrap/>
            <w:vAlign w:val="center"/>
          </w:tcPr>
          <w:p>
            <w:pPr>
              <w:pStyle w:val="84"/>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1970</w:t>
            </w:r>
          </w:p>
        </w:tc>
        <w:tc>
          <w:tcPr>
            <w:tcW w:w="1172" w:type="pct"/>
            <w:vAlign w:val="center"/>
          </w:tcPr>
          <w:p>
            <w:pPr>
              <w:pStyle w:val="84"/>
              <w:ind w:firstLine="0" w:firstLineChars="0"/>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1970</w:t>
            </w:r>
          </w:p>
        </w:tc>
        <w:tc>
          <w:tcPr>
            <w:tcW w:w="1172" w:type="pct"/>
            <w:vAlign w:val="center"/>
          </w:tcPr>
          <w:p>
            <w:pPr>
              <w:pStyle w:val="84"/>
              <w:rPr>
                <w:rFonts w:hint="eastAsia" w:ascii="Times New Roman" w:hAnsi="Times New Roman" w:eastAsia="仿宋_GB2312" w:cs="Times New Roman"/>
                <w:color w:val="auto"/>
                <w:highlight w:val="none"/>
                <w:lang w:eastAsia="zh-CN"/>
              </w:rPr>
            </w:pPr>
            <w:r>
              <w:rPr>
                <w:rFonts w:hint="eastAsia" w:ascii="Times New Roman" w:hAnsi="Times New Roman" w:cs="Times New Roman"/>
                <w:color w:val="auto"/>
                <w:highlight w:val="none"/>
                <w:lang w:eastAsia="zh-CN"/>
              </w:rPr>
              <w:t>（红线外永久占地面积为</w:t>
            </w:r>
            <w:r>
              <w:rPr>
                <w:rFonts w:hint="eastAsia" w:ascii="Times New Roman" w:hAnsi="Times New Roman" w:cs="Times New Roman"/>
                <w:color w:val="auto"/>
                <w:highlight w:val="none"/>
                <w:lang w:val="en-US" w:eastAsia="zh-CN"/>
              </w:rPr>
              <w:t>480m²</w:t>
            </w:r>
            <w:r>
              <w:rPr>
                <w:rFonts w:hint="eastAsia" w:ascii="Times New Roman" w:hAnsi="Times New Roman" w:cs="Times New Roman"/>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1390" w:type="pct"/>
            <w:shd w:val="clear" w:color="auto" w:fill="auto"/>
            <w:noWrap/>
            <w:vAlign w:val="center"/>
          </w:tcPr>
          <w:p>
            <w:pPr>
              <w:pStyle w:val="84"/>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val="en-US" w:eastAsia="zh-CN"/>
              </w:rPr>
              <w:t>施工生产</w:t>
            </w:r>
            <w:r>
              <w:rPr>
                <w:rFonts w:hint="eastAsia" w:ascii="Times New Roman" w:hAnsi="Times New Roman" w:cs="Times New Roman"/>
                <w:color w:val="auto"/>
                <w:highlight w:val="none"/>
                <w:lang w:val="en-US" w:eastAsia="zh-CN"/>
              </w:rPr>
              <w:t>生活</w:t>
            </w:r>
            <w:r>
              <w:rPr>
                <w:rFonts w:hint="eastAsia" w:ascii="Times New Roman" w:hAnsi="Times New Roman" w:eastAsia="仿宋_GB2312" w:cs="Times New Roman"/>
                <w:color w:val="auto"/>
                <w:highlight w:val="none"/>
                <w:lang w:val="en-US" w:eastAsia="zh-CN"/>
              </w:rPr>
              <w:t>区</w:t>
            </w:r>
          </w:p>
        </w:tc>
        <w:tc>
          <w:tcPr>
            <w:tcW w:w="1264" w:type="pct"/>
            <w:shd w:val="clear" w:color="auto" w:fill="auto"/>
            <w:noWrap/>
            <w:vAlign w:val="center"/>
          </w:tcPr>
          <w:p>
            <w:pPr>
              <w:pStyle w:val="84"/>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(150.00)</w:t>
            </w:r>
          </w:p>
        </w:tc>
        <w:tc>
          <w:tcPr>
            <w:tcW w:w="1172" w:type="pct"/>
            <w:vAlign w:val="center"/>
          </w:tcPr>
          <w:p>
            <w:pPr>
              <w:pStyle w:val="84"/>
              <w:ind w:firstLine="0" w:firstLineChars="0"/>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(150.00)</w:t>
            </w:r>
          </w:p>
        </w:tc>
        <w:tc>
          <w:tcPr>
            <w:tcW w:w="1172" w:type="pct"/>
            <w:vAlign w:val="center"/>
          </w:tcPr>
          <w:p>
            <w:pPr>
              <w:pStyle w:val="84"/>
              <w:rPr>
                <w:rFonts w:hint="eastAsia" w:ascii="Times New Roman" w:hAnsi="Times New Roman" w:eastAsia="仿宋_GB2312" w:cs="Times New Roman"/>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1390" w:type="pct"/>
            <w:shd w:val="clear" w:color="auto" w:fill="auto"/>
            <w:noWrap/>
            <w:vAlign w:val="center"/>
          </w:tcPr>
          <w:p>
            <w:pPr>
              <w:pStyle w:val="84"/>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val="en-US" w:eastAsia="zh-CN"/>
              </w:rPr>
              <w:t>合计</w:t>
            </w:r>
          </w:p>
        </w:tc>
        <w:tc>
          <w:tcPr>
            <w:tcW w:w="1264" w:type="pct"/>
            <w:shd w:val="clear" w:color="auto" w:fill="auto"/>
            <w:noWrap/>
            <w:vAlign w:val="center"/>
          </w:tcPr>
          <w:p>
            <w:pPr>
              <w:pStyle w:val="84"/>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 xml:space="preserve">4479.27 </w:t>
            </w:r>
          </w:p>
        </w:tc>
        <w:tc>
          <w:tcPr>
            <w:tcW w:w="1172" w:type="pct"/>
            <w:vAlign w:val="center"/>
          </w:tcPr>
          <w:p>
            <w:pPr>
              <w:pStyle w:val="84"/>
              <w:ind w:firstLine="0" w:firstLineChars="0"/>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 xml:space="preserve">4479.27 </w:t>
            </w:r>
          </w:p>
        </w:tc>
        <w:tc>
          <w:tcPr>
            <w:tcW w:w="1172" w:type="pct"/>
            <w:vAlign w:val="center"/>
          </w:tcPr>
          <w:p>
            <w:pPr>
              <w:pStyle w:val="84"/>
              <w:rPr>
                <w:rFonts w:hint="default" w:ascii="Times New Roman" w:hAnsi="Times New Roman" w:eastAsia="仿宋_GB2312" w:cs="Times New Roman"/>
                <w:color w:val="auto"/>
                <w:highlight w:val="none"/>
              </w:rPr>
            </w:pPr>
          </w:p>
        </w:tc>
      </w:tr>
    </w:tbl>
    <w:p>
      <w:pPr>
        <w:pStyle w:val="55"/>
        <w:ind w:firstLine="440"/>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备注：</w:t>
      </w:r>
      <w:r>
        <w:rPr>
          <w:rFonts w:hint="eastAsia" w:cs="Times New Roman"/>
          <w:color w:val="auto"/>
          <w:sz w:val="22"/>
          <w:szCs w:val="22"/>
          <w:highlight w:val="none"/>
          <w:lang w:eastAsia="zh-CN"/>
        </w:rPr>
        <w:t>施工生产生活区</w:t>
      </w:r>
      <w:r>
        <w:rPr>
          <w:rFonts w:hint="default" w:ascii="Times New Roman" w:hAnsi="Times New Roman" w:eastAsia="仿宋_GB2312" w:cs="Times New Roman"/>
          <w:color w:val="auto"/>
          <w:sz w:val="22"/>
          <w:szCs w:val="22"/>
          <w:highlight w:val="none"/>
        </w:rPr>
        <w:t>属重复占</w:t>
      </w:r>
      <w:r>
        <w:rPr>
          <w:rFonts w:hint="eastAsia" w:cs="Times New Roman"/>
          <w:color w:val="auto"/>
          <w:sz w:val="22"/>
          <w:szCs w:val="22"/>
          <w:highlight w:val="none"/>
          <w:lang w:eastAsia="zh-CN"/>
        </w:rPr>
        <w:t>道路及</w:t>
      </w:r>
      <w:r>
        <w:rPr>
          <w:rFonts w:hint="default" w:ascii="Times New Roman" w:hAnsi="Times New Roman" w:eastAsia="仿宋_GB2312" w:cs="Times New Roman"/>
          <w:color w:val="auto"/>
          <w:sz w:val="22"/>
          <w:szCs w:val="22"/>
          <w:highlight w:val="none"/>
        </w:rPr>
        <w:t>硬化区</w:t>
      </w:r>
      <w:r>
        <w:rPr>
          <w:rFonts w:hint="eastAsia" w:cs="Times New Roman"/>
          <w:color w:val="auto"/>
          <w:sz w:val="22"/>
          <w:szCs w:val="22"/>
          <w:highlight w:val="none"/>
          <w:lang w:eastAsia="zh-CN"/>
        </w:rPr>
        <w:t>面积</w:t>
      </w:r>
      <w:r>
        <w:rPr>
          <w:rFonts w:hint="default" w:ascii="Times New Roman" w:hAnsi="Times New Roman" w:eastAsia="仿宋_GB2312" w:cs="Times New Roman"/>
          <w:color w:val="auto"/>
          <w:sz w:val="22"/>
          <w:szCs w:val="22"/>
          <w:highlight w:val="none"/>
        </w:rPr>
        <w:t>，面积不重复计列。</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4.2.3 废弃土（石、渣、灰、矸石、尾矿）量</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根据主体资料，本工程总挖方</w:t>
      </w:r>
      <w:r>
        <w:rPr>
          <w:rFonts w:hint="eastAsia" w:cs="Times New Roman"/>
          <w:color w:val="auto"/>
          <w:highlight w:val="none"/>
          <w:lang w:val="en-US" w:eastAsia="zh-CN"/>
        </w:rPr>
        <w:t>0.14万</w:t>
      </w:r>
      <w:r>
        <w:rPr>
          <w:rFonts w:hint="default" w:ascii="Times New Roman" w:hAnsi="Times New Roman" w:eastAsia="仿宋_GB2312" w:cs="Times New Roman"/>
          <w:color w:val="auto"/>
          <w:highlight w:val="none"/>
        </w:rPr>
        <w:t>m³，填方</w:t>
      </w:r>
      <w:r>
        <w:rPr>
          <w:rFonts w:hint="eastAsia" w:cs="Times New Roman"/>
          <w:color w:val="auto"/>
          <w:highlight w:val="none"/>
          <w:lang w:val="en-US" w:eastAsia="zh-CN"/>
        </w:rPr>
        <w:t>0.14万</w:t>
      </w:r>
      <w:r>
        <w:rPr>
          <w:rFonts w:hint="default" w:ascii="Times New Roman" w:hAnsi="Times New Roman" w:eastAsia="仿宋_GB2312" w:cs="Times New Roman"/>
          <w:color w:val="auto"/>
          <w:highlight w:val="none"/>
        </w:rPr>
        <w:t>m³，无借方，无弃方。涉及土方主要为建筑物、管沟开挖回填。构筑物基础开挖土方临时堆置在开挖基础周边，后期回填利用。管沟开挖土方临时堆置在开挖管沟一侧，管线铺设完成后回填利用。</w:t>
      </w:r>
    </w:p>
    <w:p>
      <w:pPr>
        <w:pStyle w:val="66"/>
        <w:ind w:firstLine="148"/>
        <w:rPr>
          <w:rFonts w:hint="default" w:ascii="Times New Roman" w:hAnsi="Times New Roman" w:eastAsia="仿宋_GB2312" w:cs="Times New Roman"/>
          <w:color w:val="auto"/>
          <w:highlight w:val="none"/>
        </w:rPr>
      </w:pPr>
      <w:bookmarkStart w:id="106" w:name="_Toc15125"/>
      <w:r>
        <w:rPr>
          <w:rFonts w:hint="default" w:ascii="Times New Roman" w:hAnsi="Times New Roman" w:eastAsia="仿宋_GB2312" w:cs="Times New Roman"/>
          <w:color w:val="auto"/>
          <w:highlight w:val="none"/>
        </w:rPr>
        <w:t xml:space="preserve">4.3 </w:t>
      </w:r>
      <w:bookmarkEnd w:id="100"/>
      <w:r>
        <w:rPr>
          <w:rFonts w:hint="default" w:ascii="Times New Roman" w:hAnsi="Times New Roman" w:eastAsia="仿宋_GB2312" w:cs="Times New Roman"/>
          <w:color w:val="auto"/>
          <w:highlight w:val="none"/>
        </w:rPr>
        <w:t>土壤流失量调查</w:t>
      </w:r>
      <w:bookmarkEnd w:id="106"/>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水土流失调查的基础是按照本项目正常设计功能，在无水土保持措施条件下可能产生的水土流失量和水土流失危害，水土流失量的计算基础应扣除原地表侵蚀量。</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4.3.1 预测单元</w:t>
      </w:r>
    </w:p>
    <w:p>
      <w:pPr>
        <w:pStyle w:val="55"/>
        <w:ind w:firstLine="480"/>
        <w:rPr>
          <w:rFonts w:hint="default" w:ascii="Times New Roman" w:hAnsi="Times New Roman" w:eastAsia="仿宋_GB2312" w:cs="Times New Roman"/>
          <w:color w:val="auto"/>
          <w:highlight w:val="none"/>
        </w:rPr>
      </w:pPr>
      <w:bookmarkStart w:id="107" w:name="_Toc13892"/>
      <w:r>
        <w:rPr>
          <w:rFonts w:hint="default" w:ascii="Times New Roman" w:hAnsi="Times New Roman" w:eastAsia="仿宋_GB2312" w:cs="Times New Roman"/>
          <w:color w:val="auto"/>
          <w:highlight w:val="none"/>
        </w:rPr>
        <w:t>水土流失预测的目的是为了确定行之有效的水土保持措施总体布局，预测项目建设及运营带来的水土流失总量及分布，综合分析建设过程可能造成的水土流失危害，明确重点防治区。</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根据项目区地形地貌、建设单元施工特点，将建设区划分为一个一级防治分区：冲洪积平原区。同时根据各一级分区工程建设特点共划分为</w:t>
      </w:r>
      <w:r>
        <w:rPr>
          <w:rFonts w:hint="eastAsia" w:cs="Times New Roman"/>
          <w:color w:val="auto"/>
          <w:highlight w:val="none"/>
          <w:lang w:val="en-US" w:eastAsia="zh-CN"/>
        </w:rPr>
        <w:t>4</w:t>
      </w:r>
      <w:r>
        <w:rPr>
          <w:rFonts w:hint="default" w:ascii="Times New Roman" w:hAnsi="Times New Roman" w:eastAsia="仿宋_GB2312" w:cs="Times New Roman"/>
          <w:color w:val="auto"/>
          <w:highlight w:val="none"/>
        </w:rPr>
        <w:t>个二级防治分区，其中管线工程区、</w:t>
      </w:r>
      <w:r>
        <w:rPr>
          <w:rFonts w:hint="eastAsia" w:cs="Times New Roman"/>
          <w:color w:val="auto"/>
          <w:highlight w:val="none"/>
          <w:lang w:eastAsia="zh-CN"/>
        </w:rPr>
        <w:t>施工生产生活区</w:t>
      </w:r>
      <w:r>
        <w:rPr>
          <w:rFonts w:hint="default" w:ascii="Times New Roman" w:hAnsi="Times New Roman" w:eastAsia="仿宋_GB2312" w:cs="Times New Roman"/>
          <w:color w:val="auto"/>
          <w:highlight w:val="none"/>
        </w:rPr>
        <w:t>为重复占地，水土流失预测时重复占地面积纳入道路及硬化区内，不再重复计列。按照划分单元进行水土流失预测。根据每个预测单元在工程施工准备期、施工期、自然恢复期土壤侵蚀模数的变化情况，分别预测施工期（包括施工准备期）和自然恢复期的土壤侵蚀总量。水土流失预测单元划分见表4.3-1。</w:t>
      </w:r>
      <w:bookmarkEnd w:id="107"/>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表4.3-1工程水土流失调查单元划分表</w:t>
      </w:r>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2127"/>
        <w:gridCol w:w="3176"/>
        <w:gridCol w:w="194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809" w:type="dxa"/>
            <w:vMerge w:val="restart"/>
            <w:shd w:val="clear" w:color="auto" w:fill="auto"/>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预测单元</w:t>
            </w:r>
          </w:p>
        </w:tc>
        <w:tc>
          <w:tcPr>
            <w:tcW w:w="2127" w:type="dxa"/>
            <w:vMerge w:val="restart"/>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总占地面积（m²）</w:t>
            </w:r>
          </w:p>
        </w:tc>
        <w:tc>
          <w:tcPr>
            <w:tcW w:w="5124" w:type="dxa"/>
            <w:gridSpan w:val="2"/>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水土流失预测面积（m²）</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809" w:type="dxa"/>
            <w:vMerge w:val="continue"/>
            <w:vAlign w:val="center"/>
          </w:tcPr>
          <w:p>
            <w:pPr>
              <w:pStyle w:val="84"/>
              <w:rPr>
                <w:rFonts w:hint="default" w:ascii="Times New Roman" w:hAnsi="Times New Roman" w:eastAsia="仿宋_GB2312" w:cs="Times New Roman"/>
                <w:color w:val="auto"/>
                <w:highlight w:val="none"/>
              </w:rPr>
            </w:pPr>
          </w:p>
        </w:tc>
        <w:tc>
          <w:tcPr>
            <w:tcW w:w="2127" w:type="dxa"/>
            <w:vMerge w:val="continue"/>
            <w:vAlign w:val="center"/>
          </w:tcPr>
          <w:p>
            <w:pPr>
              <w:pStyle w:val="84"/>
              <w:rPr>
                <w:rFonts w:hint="default" w:ascii="Times New Roman" w:hAnsi="Times New Roman" w:eastAsia="仿宋_GB2312" w:cs="Times New Roman"/>
                <w:color w:val="auto"/>
                <w:highlight w:val="none"/>
              </w:rPr>
            </w:pPr>
          </w:p>
        </w:tc>
        <w:tc>
          <w:tcPr>
            <w:tcW w:w="3176"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施工期（包括施工准备期）</w:t>
            </w:r>
          </w:p>
        </w:tc>
        <w:tc>
          <w:tcPr>
            <w:tcW w:w="1948" w:type="dxa"/>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自然恢复期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809" w:type="dxa"/>
            <w:shd w:val="clear" w:color="auto" w:fill="auto"/>
            <w:vAlign w:val="center"/>
          </w:tcPr>
          <w:p>
            <w:pPr>
              <w:pStyle w:val="84"/>
              <w:ind w:firstLine="0" w:firstLineChars="0"/>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val="en-US" w:eastAsia="zh-CN"/>
              </w:rPr>
              <w:t>建筑物区</w:t>
            </w:r>
          </w:p>
        </w:tc>
        <w:tc>
          <w:tcPr>
            <w:tcW w:w="2127" w:type="dxa"/>
            <w:shd w:val="clear" w:color="auto" w:fill="auto"/>
            <w:vAlign w:val="center"/>
          </w:tcPr>
          <w:p>
            <w:pPr>
              <w:pStyle w:val="84"/>
              <w:ind w:firstLine="0" w:firstLineChars="0"/>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val="en-US" w:eastAsia="zh-CN"/>
              </w:rPr>
              <w:t xml:space="preserve">2509.27 </w:t>
            </w:r>
          </w:p>
        </w:tc>
        <w:tc>
          <w:tcPr>
            <w:tcW w:w="3176" w:type="dxa"/>
            <w:shd w:val="clear" w:color="auto" w:fill="auto"/>
            <w:vAlign w:val="center"/>
          </w:tcPr>
          <w:p>
            <w:pPr>
              <w:pStyle w:val="84"/>
              <w:ind w:firstLine="0" w:firstLineChars="0"/>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ascii="Times New Roman" w:hAnsi="Times New Roman" w:eastAsia="仿宋_GB2312" w:cs="Times New Roman"/>
                <w:color w:val="auto"/>
                <w:highlight w:val="none"/>
                <w:lang w:val="en-US" w:eastAsia="zh-CN"/>
              </w:rPr>
              <w:t xml:space="preserve">2509.27 </w:t>
            </w:r>
          </w:p>
        </w:tc>
        <w:tc>
          <w:tcPr>
            <w:tcW w:w="1948" w:type="dxa"/>
            <w:shd w:val="clear" w:color="auto" w:fill="auto"/>
            <w:vAlign w:val="center"/>
          </w:tcPr>
          <w:p>
            <w:pPr>
              <w:pStyle w:val="84"/>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1676.66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809" w:type="dxa"/>
            <w:shd w:val="clear" w:color="auto" w:fill="auto"/>
            <w:vAlign w:val="center"/>
          </w:tcPr>
          <w:p>
            <w:pPr>
              <w:pStyle w:val="84"/>
              <w:ind w:firstLine="0" w:firstLineChars="0"/>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val="en-US" w:eastAsia="zh-CN"/>
              </w:rPr>
              <w:t>道路及硬化区</w:t>
            </w:r>
          </w:p>
        </w:tc>
        <w:tc>
          <w:tcPr>
            <w:tcW w:w="2127" w:type="dxa"/>
            <w:shd w:val="clear" w:color="auto" w:fill="auto"/>
            <w:vAlign w:val="center"/>
          </w:tcPr>
          <w:p>
            <w:pPr>
              <w:pStyle w:val="84"/>
              <w:ind w:firstLine="0" w:firstLineChars="0"/>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val="en-US" w:eastAsia="zh-CN"/>
              </w:rPr>
              <w:t>1970</w:t>
            </w:r>
          </w:p>
        </w:tc>
        <w:tc>
          <w:tcPr>
            <w:tcW w:w="3176" w:type="dxa"/>
            <w:shd w:val="clear" w:color="auto" w:fill="auto"/>
            <w:vAlign w:val="center"/>
          </w:tcPr>
          <w:p>
            <w:pPr>
              <w:pStyle w:val="84"/>
              <w:ind w:firstLine="0" w:firstLineChars="0"/>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ascii="Times New Roman" w:hAnsi="Times New Roman" w:eastAsia="仿宋_GB2312" w:cs="Times New Roman"/>
                <w:color w:val="auto"/>
                <w:highlight w:val="none"/>
                <w:lang w:val="en-US" w:eastAsia="zh-CN"/>
              </w:rPr>
              <w:t>1970</w:t>
            </w:r>
          </w:p>
        </w:tc>
        <w:tc>
          <w:tcPr>
            <w:tcW w:w="1948" w:type="dxa"/>
            <w:shd w:val="clear" w:color="auto" w:fill="auto"/>
            <w:vAlign w:val="center"/>
          </w:tcPr>
          <w:p>
            <w:pPr>
              <w:pStyle w:val="84"/>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809" w:type="dxa"/>
            <w:shd w:val="clear" w:color="auto" w:fill="auto"/>
            <w:vAlign w:val="center"/>
          </w:tcPr>
          <w:p>
            <w:pPr>
              <w:pStyle w:val="84"/>
              <w:ind w:firstLine="0" w:firstLineChars="0"/>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val="en-US" w:eastAsia="zh-CN"/>
              </w:rPr>
              <w:t>合计</w:t>
            </w:r>
          </w:p>
        </w:tc>
        <w:tc>
          <w:tcPr>
            <w:tcW w:w="2127" w:type="dxa"/>
            <w:shd w:val="clear" w:color="auto" w:fill="auto"/>
            <w:vAlign w:val="center"/>
          </w:tcPr>
          <w:p>
            <w:pPr>
              <w:pStyle w:val="84"/>
              <w:ind w:firstLine="0" w:firstLineChars="0"/>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val="en-US" w:eastAsia="zh-CN"/>
              </w:rPr>
              <w:t xml:space="preserve">4479.27 </w:t>
            </w:r>
          </w:p>
        </w:tc>
        <w:tc>
          <w:tcPr>
            <w:tcW w:w="3176" w:type="dxa"/>
            <w:shd w:val="clear" w:color="auto" w:fill="auto"/>
            <w:vAlign w:val="center"/>
          </w:tcPr>
          <w:p>
            <w:pPr>
              <w:pStyle w:val="84"/>
              <w:ind w:firstLine="0" w:firstLineChars="0"/>
              <w:rPr>
                <w:rFonts w:hint="default" w:ascii="Times New Roman" w:hAnsi="Times New Roman" w:eastAsia="仿宋_GB2312" w:cs="Times New Roman"/>
                <w:color w:val="auto"/>
                <w:spacing w:val="-2"/>
                <w:kern w:val="0"/>
                <w:sz w:val="21"/>
                <w:szCs w:val="21"/>
                <w:highlight w:val="none"/>
                <w:lang w:val="en-US" w:eastAsia="zh-CN" w:bidi="ar-SA"/>
              </w:rPr>
            </w:pPr>
            <w:r>
              <w:rPr>
                <w:rFonts w:hint="eastAsia" w:ascii="Times New Roman" w:hAnsi="Times New Roman" w:eastAsia="仿宋_GB2312" w:cs="Times New Roman"/>
                <w:color w:val="auto"/>
                <w:highlight w:val="none"/>
                <w:lang w:val="en-US" w:eastAsia="zh-CN"/>
              </w:rPr>
              <w:t xml:space="preserve">4479.27 </w:t>
            </w:r>
          </w:p>
        </w:tc>
        <w:tc>
          <w:tcPr>
            <w:tcW w:w="1948" w:type="dxa"/>
            <w:shd w:val="clear" w:color="auto" w:fill="auto"/>
            <w:vAlign w:val="center"/>
          </w:tcPr>
          <w:p>
            <w:pPr>
              <w:pStyle w:val="84"/>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1676.66</w:t>
            </w:r>
          </w:p>
        </w:tc>
      </w:tr>
    </w:tbl>
    <w:p>
      <w:pPr>
        <w:pStyle w:val="55"/>
        <w:ind w:firstLine="440"/>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备注：</w:t>
      </w:r>
      <w:r>
        <w:rPr>
          <w:rFonts w:hint="eastAsia" w:cs="Times New Roman"/>
          <w:color w:val="auto"/>
          <w:sz w:val="22"/>
          <w:szCs w:val="22"/>
          <w:highlight w:val="none"/>
          <w:lang w:eastAsia="zh-CN"/>
        </w:rPr>
        <w:t>施工生产生活区</w:t>
      </w:r>
      <w:r>
        <w:rPr>
          <w:rFonts w:hint="default" w:ascii="Times New Roman" w:hAnsi="Times New Roman" w:eastAsia="仿宋_GB2312" w:cs="Times New Roman"/>
          <w:color w:val="auto"/>
          <w:sz w:val="22"/>
          <w:szCs w:val="22"/>
          <w:highlight w:val="none"/>
        </w:rPr>
        <w:t>属重复占</w:t>
      </w:r>
      <w:r>
        <w:rPr>
          <w:rFonts w:hint="eastAsia" w:cs="Times New Roman"/>
          <w:color w:val="auto"/>
          <w:sz w:val="22"/>
          <w:szCs w:val="22"/>
          <w:highlight w:val="none"/>
          <w:lang w:eastAsia="zh-CN"/>
        </w:rPr>
        <w:t>道路及</w:t>
      </w:r>
      <w:r>
        <w:rPr>
          <w:rFonts w:hint="default" w:ascii="Times New Roman" w:hAnsi="Times New Roman" w:eastAsia="仿宋_GB2312" w:cs="Times New Roman"/>
          <w:color w:val="auto"/>
          <w:sz w:val="22"/>
          <w:szCs w:val="22"/>
          <w:highlight w:val="none"/>
        </w:rPr>
        <w:t>硬化区</w:t>
      </w:r>
      <w:r>
        <w:rPr>
          <w:rFonts w:hint="eastAsia" w:cs="Times New Roman"/>
          <w:color w:val="auto"/>
          <w:sz w:val="22"/>
          <w:szCs w:val="22"/>
          <w:highlight w:val="none"/>
          <w:lang w:eastAsia="zh-CN"/>
        </w:rPr>
        <w:t>面积</w:t>
      </w:r>
      <w:r>
        <w:rPr>
          <w:rFonts w:hint="default" w:ascii="Times New Roman" w:hAnsi="Times New Roman" w:eastAsia="仿宋_GB2312" w:cs="Times New Roman"/>
          <w:color w:val="auto"/>
          <w:sz w:val="22"/>
          <w:szCs w:val="22"/>
          <w:highlight w:val="none"/>
        </w:rPr>
        <w:t>，面积不重复计列。</w:t>
      </w:r>
    </w:p>
    <w:p>
      <w:pPr>
        <w:pStyle w:val="69"/>
        <w:spacing w:beforeLines="5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4.3.2 预测时段</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（1）施工期（包括施工准备期）</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由于本项目为建设类项目，结合工程建设过程中水土流失发生和发展具体情况， 将水土流失预测期分为施工期（含施工准备期）、自然恢复期两个时段。项目建设期为施工期，竣工以后建设期扰动区则进入自然恢复期。</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（2）自然恢复期</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自然恢复期是指单元工程施工扰动结束后未采取水土保持措施条件下，松散裸露面逐步趋于稳定、植被自然恢复或在干旱地区形成地表结皮，土壤侵蚀强度减弱并接近原背景值所需的时间。根据本项目区气候、土壤条件，</w:t>
      </w:r>
      <w:r>
        <w:rPr>
          <w:rFonts w:hint="eastAsia" w:cs="Times New Roman"/>
          <w:color w:val="auto"/>
          <w:highlight w:val="none"/>
          <w:lang w:eastAsia="zh-CN"/>
        </w:rPr>
        <w:t>本项目</w:t>
      </w:r>
      <w:r>
        <w:rPr>
          <w:rFonts w:hint="default" w:ascii="Times New Roman" w:hAnsi="Times New Roman" w:eastAsia="仿宋_GB2312" w:cs="Times New Roman"/>
          <w:color w:val="auto"/>
          <w:highlight w:val="none"/>
        </w:rPr>
        <w:t>扰动区域自然恢复</w:t>
      </w:r>
      <w:r>
        <w:rPr>
          <w:rFonts w:hint="eastAsia" w:cs="Times New Roman"/>
          <w:color w:val="auto"/>
          <w:highlight w:val="none"/>
          <w:lang w:eastAsia="zh-CN"/>
        </w:rPr>
        <w:t>期为</w:t>
      </w:r>
      <w:r>
        <w:rPr>
          <w:rFonts w:hint="eastAsia" w:cs="Times New Roman"/>
          <w:color w:val="auto"/>
          <w:highlight w:val="none"/>
          <w:lang w:val="en-US" w:eastAsia="zh-CN"/>
        </w:rPr>
        <w:t>5</w:t>
      </w:r>
      <w:r>
        <w:rPr>
          <w:rFonts w:hint="default" w:ascii="Times New Roman" w:hAnsi="Times New Roman" w:eastAsia="仿宋_GB2312" w:cs="Times New Roman"/>
          <w:color w:val="auto"/>
          <w:highlight w:val="none"/>
        </w:rPr>
        <w:t>年。</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由于本项目各防治区的施工时间不一，其发生水土流失的特点也不尽相同，因此根据各预测单元施工可能产生水土流失的时间，考虑最不利因素确定各预测单元的预测时段，超过雨季风季（项目区每年雨季风季为4月~9月）长度的按一年计算，不超过的按占4月~9月长度的比例加上未在4月~9月施工的时段占一年12个月的比例之和进行计算。</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本工程水土流失预测的时段具体见表4.3-2。</w:t>
      </w:r>
    </w:p>
    <w:p>
      <w:pPr>
        <w:pStyle w:val="76"/>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表4.3-2工程水土流失预测时段表</w:t>
      </w:r>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2127"/>
        <w:gridCol w:w="3176"/>
        <w:gridCol w:w="194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1809" w:type="dxa"/>
            <w:vMerge w:val="restart"/>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预测单元</w:t>
            </w:r>
          </w:p>
        </w:tc>
        <w:tc>
          <w:tcPr>
            <w:tcW w:w="2127" w:type="dxa"/>
            <w:vMerge w:val="restart"/>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总占地面积（m²）</w:t>
            </w:r>
          </w:p>
        </w:tc>
        <w:tc>
          <w:tcPr>
            <w:tcW w:w="5124" w:type="dxa"/>
            <w:gridSpan w:val="2"/>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水土流失预测</w:t>
            </w:r>
            <w:r>
              <w:rPr>
                <w:rFonts w:hint="eastAsia" w:cs="Times New Roman"/>
                <w:color w:val="auto"/>
                <w:highlight w:val="none"/>
                <w:lang w:eastAsia="zh-CN"/>
              </w:rPr>
              <w:t>时段（</w:t>
            </w:r>
            <w:r>
              <w:rPr>
                <w:rFonts w:hint="eastAsia" w:cs="Times New Roman"/>
                <w:color w:val="auto"/>
                <w:highlight w:val="none"/>
                <w:lang w:val="en-US" w:eastAsia="zh-CN"/>
              </w:rPr>
              <w:t>a</w:t>
            </w:r>
            <w:r>
              <w:rPr>
                <w:rFonts w:hint="eastAsia" w:cs="Times New Roman"/>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1809" w:type="dxa"/>
            <w:vMerge w:val="continue"/>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color w:val="auto"/>
                <w:highlight w:val="none"/>
              </w:rPr>
            </w:pPr>
          </w:p>
        </w:tc>
        <w:tc>
          <w:tcPr>
            <w:tcW w:w="2127" w:type="dxa"/>
            <w:vMerge w:val="continue"/>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color w:val="auto"/>
                <w:highlight w:val="none"/>
              </w:rPr>
            </w:pPr>
          </w:p>
        </w:tc>
        <w:tc>
          <w:tcPr>
            <w:tcW w:w="3176" w:type="dxa"/>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施工期（包括施工准备期）</w:t>
            </w:r>
          </w:p>
        </w:tc>
        <w:tc>
          <w:tcPr>
            <w:tcW w:w="1948" w:type="dxa"/>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自然恢复期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1809" w:type="dxa"/>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建筑物区</w:t>
            </w:r>
          </w:p>
        </w:tc>
        <w:tc>
          <w:tcPr>
            <w:tcW w:w="2127" w:type="dxa"/>
            <w:shd w:val="clear" w:color="auto" w:fill="auto"/>
            <w:vAlign w:val="center"/>
          </w:tcPr>
          <w:p>
            <w:pPr>
              <w:pStyle w:val="84"/>
              <w:ind w:firstLine="0" w:firstLineChars="0"/>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val="en-US" w:eastAsia="zh-CN"/>
              </w:rPr>
              <w:t xml:space="preserve">2509.27 </w:t>
            </w:r>
          </w:p>
        </w:tc>
        <w:tc>
          <w:tcPr>
            <w:tcW w:w="3176" w:type="dxa"/>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ind w:firstLine="0" w:firstLineChars="0"/>
              <w:textAlignment w:val="auto"/>
              <w:rPr>
                <w:rFonts w:hint="default" w:cs="Times New Roman"/>
                <w:color w:val="auto"/>
                <w:highlight w:val="none"/>
                <w:lang w:val="en-US" w:eastAsia="zh-CN"/>
              </w:rPr>
            </w:pPr>
            <w:r>
              <w:rPr>
                <w:rFonts w:hint="eastAsia" w:cs="Times New Roman"/>
                <w:color w:val="auto"/>
                <w:highlight w:val="none"/>
                <w:lang w:val="en-US" w:eastAsia="zh-CN"/>
              </w:rPr>
              <w:t>1</w:t>
            </w:r>
          </w:p>
        </w:tc>
        <w:tc>
          <w:tcPr>
            <w:tcW w:w="1948" w:type="dxa"/>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1809" w:type="dxa"/>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color w:val="auto"/>
                <w:highlight w:val="none"/>
              </w:rPr>
            </w:pPr>
            <w:r>
              <w:rPr>
                <w:rFonts w:hint="eastAsia" w:cs="Times New Roman"/>
                <w:color w:val="auto"/>
                <w:highlight w:val="none"/>
                <w:lang w:eastAsia="zh-CN"/>
              </w:rPr>
              <w:t>道路及</w:t>
            </w:r>
            <w:r>
              <w:rPr>
                <w:rFonts w:hint="default" w:ascii="Times New Roman" w:hAnsi="Times New Roman" w:eastAsia="仿宋_GB2312" w:cs="Times New Roman"/>
                <w:color w:val="auto"/>
                <w:highlight w:val="none"/>
              </w:rPr>
              <w:t>硬化区</w:t>
            </w:r>
          </w:p>
        </w:tc>
        <w:tc>
          <w:tcPr>
            <w:tcW w:w="2127" w:type="dxa"/>
            <w:shd w:val="clear" w:color="auto" w:fill="auto"/>
            <w:vAlign w:val="center"/>
          </w:tcPr>
          <w:p>
            <w:pPr>
              <w:pStyle w:val="84"/>
              <w:ind w:firstLine="0" w:firstLineChars="0"/>
              <w:rPr>
                <w:rFonts w:hint="default"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lang w:val="en-US" w:eastAsia="zh-CN"/>
              </w:rPr>
              <w:t>1970</w:t>
            </w:r>
          </w:p>
        </w:tc>
        <w:tc>
          <w:tcPr>
            <w:tcW w:w="3176" w:type="dxa"/>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ind w:firstLine="0" w:firstLineChars="0"/>
              <w:textAlignment w:val="auto"/>
              <w:rPr>
                <w:rFonts w:hint="default" w:cs="Times New Roman"/>
                <w:color w:val="auto"/>
                <w:highlight w:val="none"/>
                <w:lang w:val="en-US" w:eastAsia="zh-CN"/>
              </w:rPr>
            </w:pPr>
            <w:r>
              <w:rPr>
                <w:rFonts w:hint="eastAsia" w:cs="Times New Roman"/>
                <w:color w:val="auto"/>
                <w:highlight w:val="none"/>
                <w:lang w:val="en-US" w:eastAsia="zh-CN"/>
              </w:rPr>
              <w:t>0.83</w:t>
            </w:r>
          </w:p>
        </w:tc>
        <w:tc>
          <w:tcPr>
            <w:tcW w:w="1948" w:type="dxa"/>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1809" w:type="dxa"/>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合计</w:t>
            </w:r>
          </w:p>
        </w:tc>
        <w:tc>
          <w:tcPr>
            <w:tcW w:w="2127" w:type="dxa"/>
            <w:shd w:val="clear" w:color="auto" w:fill="auto"/>
            <w:vAlign w:val="center"/>
          </w:tcPr>
          <w:p>
            <w:pPr>
              <w:pStyle w:val="84"/>
              <w:ind w:firstLine="0" w:firstLineChars="0"/>
              <w:rPr>
                <w:rFonts w:hint="default" w:ascii="Times New Roman" w:hAnsi="Times New Roman" w:eastAsia="仿宋_GB2312" w:cs="Times New Roman"/>
                <w:color w:val="auto"/>
                <w:highlight w:val="none"/>
                <w:lang w:val="en-US"/>
              </w:rPr>
            </w:pPr>
            <w:r>
              <w:rPr>
                <w:rFonts w:hint="eastAsia" w:ascii="Times New Roman" w:hAnsi="Times New Roman" w:eastAsia="仿宋_GB2312" w:cs="Times New Roman"/>
                <w:color w:val="auto"/>
                <w:highlight w:val="none"/>
                <w:lang w:val="en-US" w:eastAsia="zh-CN"/>
              </w:rPr>
              <w:t xml:space="preserve">4479.27 </w:t>
            </w:r>
          </w:p>
        </w:tc>
        <w:tc>
          <w:tcPr>
            <w:tcW w:w="3176" w:type="dxa"/>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ind w:firstLine="0" w:firstLineChars="0"/>
              <w:textAlignment w:val="auto"/>
              <w:rPr>
                <w:rFonts w:hint="default" w:cs="Times New Roman"/>
                <w:color w:val="auto"/>
                <w:highlight w:val="none"/>
                <w:lang w:val="en-US" w:eastAsia="zh-CN"/>
              </w:rPr>
            </w:pPr>
            <w:r>
              <w:rPr>
                <w:rFonts w:hint="eastAsia" w:cs="Times New Roman"/>
                <w:color w:val="auto"/>
                <w:highlight w:val="none"/>
                <w:lang w:val="en-US" w:eastAsia="zh-CN"/>
              </w:rPr>
              <w:t>-</w:t>
            </w:r>
          </w:p>
        </w:tc>
        <w:tc>
          <w:tcPr>
            <w:tcW w:w="1948" w:type="dxa"/>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r>
    </w:tbl>
    <w:p>
      <w:pPr>
        <w:pStyle w:val="55"/>
        <w:spacing w:line="240" w:lineRule="auto"/>
        <w:ind w:firstLine="0" w:firstLineChars="0"/>
        <w:rPr>
          <w:rFonts w:hint="default" w:ascii="Times New Roman" w:hAnsi="Times New Roman" w:eastAsia="仿宋_GB2312" w:cs="Times New Roman"/>
          <w:color w:val="auto"/>
          <w:sz w:val="22"/>
          <w:highlight w:val="none"/>
        </w:rPr>
      </w:pPr>
      <w:r>
        <w:rPr>
          <w:rFonts w:hint="default" w:ascii="Times New Roman" w:hAnsi="Times New Roman" w:eastAsia="仿宋_GB2312" w:cs="Times New Roman"/>
          <w:color w:val="auto"/>
          <w:sz w:val="22"/>
          <w:highlight w:val="none"/>
        </w:rPr>
        <w:t>注：本项目</w:t>
      </w:r>
      <w:r>
        <w:rPr>
          <w:rFonts w:hint="eastAsia" w:cs="Times New Roman"/>
          <w:color w:val="auto"/>
          <w:sz w:val="22"/>
          <w:highlight w:val="none"/>
          <w:lang w:eastAsia="zh-CN"/>
        </w:rPr>
        <w:t>施工生产生活区及管线工程区</w:t>
      </w:r>
      <w:r>
        <w:rPr>
          <w:rFonts w:hint="default" w:ascii="Times New Roman" w:hAnsi="Times New Roman" w:eastAsia="仿宋_GB2312" w:cs="Times New Roman"/>
          <w:color w:val="auto"/>
          <w:sz w:val="22"/>
          <w:highlight w:val="none"/>
        </w:rPr>
        <w:t>为重复占地，水土流失预测时重复占地面积纳入</w:t>
      </w:r>
      <w:r>
        <w:rPr>
          <w:rFonts w:hint="eastAsia" w:cs="Times New Roman"/>
          <w:color w:val="auto"/>
          <w:sz w:val="22"/>
          <w:highlight w:val="none"/>
          <w:lang w:eastAsia="zh-CN"/>
        </w:rPr>
        <w:t>建筑物区和</w:t>
      </w:r>
      <w:r>
        <w:rPr>
          <w:rFonts w:hint="default" w:ascii="Times New Roman" w:hAnsi="Times New Roman" w:eastAsia="仿宋_GB2312" w:cs="Times New Roman"/>
          <w:color w:val="auto"/>
          <w:sz w:val="22"/>
          <w:highlight w:val="none"/>
        </w:rPr>
        <w:t>硬化区占地内，不再重复计列。</w:t>
      </w:r>
    </w:p>
    <w:p>
      <w:pPr>
        <w:pStyle w:val="69"/>
        <w:spacing w:beforeLines="5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4.3.3 土壤侵蚀模数</w:t>
      </w:r>
    </w:p>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4.3.3.1 扰动前（原地貌）土壤侵蚀模数</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根据工程区踏勘、测量及综合分析，确定本工程区的气象、地表组成、植被覆盖度等自然环境状况，确定项目区在原地表稳定层未破坏的条件下，原生地表土壤侵蚀强度属于</w:t>
      </w:r>
      <w:r>
        <w:rPr>
          <w:rFonts w:hint="eastAsia" w:cs="Times New Roman"/>
          <w:color w:val="auto"/>
          <w:highlight w:val="none"/>
          <w:lang w:eastAsia="zh-CN"/>
        </w:rPr>
        <w:t>轻</w:t>
      </w:r>
      <w:r>
        <w:rPr>
          <w:rFonts w:hint="default" w:ascii="Times New Roman" w:hAnsi="Times New Roman" w:eastAsia="仿宋_GB2312" w:cs="Times New Roman"/>
          <w:color w:val="auto"/>
          <w:highlight w:val="none"/>
        </w:rPr>
        <w:t>度</w:t>
      </w:r>
      <w:r>
        <w:rPr>
          <w:rFonts w:hint="eastAsia" w:cs="Times New Roman"/>
          <w:color w:val="auto"/>
          <w:highlight w:val="none"/>
          <w:lang w:eastAsia="zh-CN"/>
        </w:rPr>
        <w:t>风力侵蚀</w:t>
      </w:r>
      <w:r>
        <w:rPr>
          <w:rFonts w:hint="default" w:ascii="Times New Roman" w:hAnsi="Times New Roman" w:eastAsia="仿宋_GB2312" w:cs="Times New Roman"/>
          <w:color w:val="auto"/>
          <w:highlight w:val="none"/>
        </w:rPr>
        <w:t>；根据《土壤侵蚀分类分级标准》（SL190-2007），最终确定项目区的原生地貌土壤侵蚀模数为1</w:t>
      </w:r>
      <w:r>
        <w:rPr>
          <w:rFonts w:hint="eastAsia" w:cs="Times New Roman"/>
          <w:color w:val="auto"/>
          <w:highlight w:val="none"/>
          <w:lang w:val="en-US" w:eastAsia="zh-CN"/>
        </w:rPr>
        <w:t>0</w:t>
      </w:r>
      <w:r>
        <w:rPr>
          <w:rFonts w:hint="default" w:ascii="Times New Roman" w:hAnsi="Times New Roman" w:eastAsia="仿宋_GB2312" w:cs="Times New Roman"/>
          <w:color w:val="auto"/>
          <w:highlight w:val="none"/>
        </w:rPr>
        <w:t>00t/（km²·a）。同时根据项目区所属的水土流失类型、项目区的实际情况，确定工程区土壤容许流失量为1</w:t>
      </w:r>
      <w:r>
        <w:rPr>
          <w:rFonts w:hint="eastAsia" w:cs="Times New Roman"/>
          <w:color w:val="auto"/>
          <w:highlight w:val="none"/>
          <w:lang w:val="en-US" w:eastAsia="zh-CN"/>
        </w:rPr>
        <w:t>0</w:t>
      </w:r>
      <w:r>
        <w:rPr>
          <w:rFonts w:hint="default" w:ascii="Times New Roman" w:hAnsi="Times New Roman" w:eastAsia="仿宋_GB2312" w:cs="Times New Roman"/>
          <w:color w:val="auto"/>
          <w:highlight w:val="none"/>
        </w:rPr>
        <w:t>00t/（km²·a）。</w:t>
      </w:r>
    </w:p>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4.3.3.2 施工扰动后土壤侵蚀模数</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利用类比法来确定扰动后的土壤侵蚀模数值。类比资料来源于与本工程毗邻地区的水土保持监测结果，并参考其他地区同类项目，经过分析比较后进行引用。本项目周边未有可类比的已经完工且具有较完整监测数据的建设类项目。根据《生产建设项目水土保持技术标准》(GB50433-2018)要求，并结合项目区的气候、地形地貌、土壤类型、弃渣类型，确定出施工期间的土壤侵蚀模数如表4.3-3。</w:t>
      </w:r>
    </w:p>
    <w:p>
      <w:pPr>
        <w:pStyle w:val="76"/>
        <w:rPr>
          <w:rFonts w:hint="default" w:ascii="Times New Roman" w:hAnsi="Times New Roman" w:cs="Times New Roman"/>
          <w:color w:val="auto"/>
          <w:highlight w:val="none"/>
        </w:rPr>
      </w:pPr>
      <w:r>
        <w:rPr>
          <w:rFonts w:hint="default" w:ascii="Times New Roman" w:hAnsi="Times New Roman" w:cs="Times New Roman"/>
          <w:color w:val="auto"/>
          <w:highlight w:val="none"/>
        </w:rPr>
        <w:t>表4.3-3类比工程土壤侵蚀因素分析表</w:t>
      </w:r>
    </w:p>
    <w:tbl>
      <w:tblPr>
        <w:tblStyle w:val="25"/>
        <w:tblW w:w="8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4"/>
        <w:gridCol w:w="3413"/>
        <w:gridCol w:w="3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tblHeader/>
          <w:jc w:val="center"/>
        </w:trPr>
        <w:tc>
          <w:tcPr>
            <w:tcW w:w="1564" w:type="dxa"/>
            <w:tcBorders>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项目名称</w:t>
            </w:r>
          </w:p>
        </w:tc>
        <w:tc>
          <w:tcPr>
            <w:tcW w:w="3413" w:type="dxa"/>
            <w:tcBorders>
              <w:left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p>
        </w:tc>
        <w:tc>
          <w:tcPr>
            <w:tcW w:w="3873" w:type="dxa"/>
            <w:tcBorders>
              <w:left w:val="single" w:color="auto" w:sz="4" w:space="0"/>
              <w:bottom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策勒县明园建设项目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exact"/>
          <w:tblHeader/>
          <w:jc w:val="center"/>
        </w:trPr>
        <w:tc>
          <w:tcPr>
            <w:tcW w:w="1564" w:type="dxa"/>
            <w:tcBorders>
              <w:top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地理位置</w:t>
            </w:r>
          </w:p>
        </w:tc>
        <w:tc>
          <w:tcPr>
            <w:tcW w:w="3413" w:type="dxa"/>
            <w:tcBorders>
              <w:top w:val="single" w:color="auto" w:sz="4" w:space="0"/>
              <w:left w:val="single" w:color="auto" w:sz="4" w:space="0"/>
              <w:bottom w:val="single" w:color="auto" w:sz="4" w:space="0"/>
              <w:right w:val="single" w:color="auto" w:sz="4" w:space="0"/>
            </w:tcBorders>
            <w:vAlign w:val="center"/>
          </w:tcPr>
          <w:p>
            <w:pPr>
              <w:pStyle w:val="84"/>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策勒县天津工业园区和平北路东侧</w:t>
            </w:r>
          </w:p>
        </w:tc>
        <w:tc>
          <w:tcPr>
            <w:tcW w:w="3873" w:type="dxa"/>
            <w:tcBorders>
              <w:top w:val="single" w:color="auto" w:sz="4" w:space="0"/>
              <w:left w:val="single" w:color="auto" w:sz="4" w:space="0"/>
              <w:bottom w:val="single" w:color="auto" w:sz="4" w:space="0"/>
            </w:tcBorders>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策勒县中心城区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tblHeader/>
          <w:jc w:val="center"/>
        </w:trPr>
        <w:tc>
          <w:tcPr>
            <w:tcW w:w="1564" w:type="dxa"/>
            <w:tcBorders>
              <w:top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地形地貌</w:t>
            </w:r>
          </w:p>
        </w:tc>
        <w:tc>
          <w:tcPr>
            <w:tcW w:w="3413" w:type="dxa"/>
            <w:tcBorders>
              <w:top w:val="single" w:color="auto" w:sz="4" w:space="0"/>
              <w:left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冲</w:t>
            </w:r>
            <w:r>
              <w:rPr>
                <w:rFonts w:hint="eastAsia" w:cs="Times New Roman"/>
                <w:color w:val="auto"/>
                <w:highlight w:val="none"/>
                <w:lang w:eastAsia="zh-CN"/>
              </w:rPr>
              <w:t>洪</w:t>
            </w:r>
            <w:r>
              <w:rPr>
                <w:rFonts w:hint="default" w:ascii="Times New Roman" w:hAnsi="Times New Roman" w:cs="Times New Roman"/>
                <w:color w:val="auto"/>
                <w:highlight w:val="none"/>
              </w:rPr>
              <w:t>积平原区</w:t>
            </w:r>
          </w:p>
        </w:tc>
        <w:tc>
          <w:tcPr>
            <w:tcW w:w="3873" w:type="dxa"/>
            <w:tcBorders>
              <w:top w:val="single" w:color="auto" w:sz="4" w:space="0"/>
              <w:left w:val="single" w:color="auto" w:sz="4" w:space="0"/>
              <w:bottom w:val="single" w:color="auto" w:sz="4" w:space="0"/>
            </w:tcBorders>
            <w:vAlign w:val="center"/>
          </w:tcPr>
          <w:p>
            <w:pPr>
              <w:pStyle w:val="84"/>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冲</w:t>
            </w:r>
            <w:r>
              <w:rPr>
                <w:rFonts w:hint="eastAsia" w:cs="Times New Roman"/>
                <w:color w:val="auto"/>
                <w:highlight w:val="none"/>
                <w:lang w:eastAsia="zh-CN"/>
              </w:rPr>
              <w:t>洪</w:t>
            </w:r>
            <w:r>
              <w:rPr>
                <w:rFonts w:hint="default" w:ascii="Times New Roman" w:hAnsi="Times New Roman" w:cs="Times New Roman"/>
                <w:color w:val="auto"/>
                <w:highlight w:val="none"/>
              </w:rPr>
              <w:t>积平原区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tblHeader/>
          <w:jc w:val="center"/>
        </w:trPr>
        <w:tc>
          <w:tcPr>
            <w:tcW w:w="1564" w:type="dxa"/>
            <w:tcBorders>
              <w:top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土壤条件</w:t>
            </w:r>
          </w:p>
        </w:tc>
        <w:tc>
          <w:tcPr>
            <w:tcW w:w="3413" w:type="dxa"/>
            <w:tcBorders>
              <w:top w:val="single" w:color="auto" w:sz="4" w:space="0"/>
              <w:left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棕漠土</w:t>
            </w:r>
          </w:p>
        </w:tc>
        <w:tc>
          <w:tcPr>
            <w:tcW w:w="3873" w:type="dxa"/>
            <w:tcBorders>
              <w:top w:val="single" w:color="auto" w:sz="4" w:space="0"/>
              <w:left w:val="single" w:color="auto" w:sz="4" w:space="0"/>
              <w:bottom w:val="single" w:color="auto" w:sz="4" w:space="0"/>
            </w:tcBorders>
            <w:vAlign w:val="center"/>
          </w:tcPr>
          <w:p>
            <w:pPr>
              <w:pStyle w:val="84"/>
              <w:ind w:firstLine="0" w:firstLineChars="0"/>
              <w:rPr>
                <w:rFonts w:hint="default" w:ascii="Times New Roman" w:hAnsi="Times New Roman" w:cs="Times New Roman"/>
                <w:color w:val="auto"/>
                <w:highlight w:val="none"/>
              </w:rPr>
            </w:pPr>
            <w:r>
              <w:rPr>
                <w:rFonts w:hint="eastAsia" w:cs="Times New Roman"/>
                <w:color w:val="auto"/>
                <w:highlight w:val="none"/>
                <w:lang w:eastAsia="zh-CN"/>
              </w:rPr>
              <w:t>棕漠土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5" w:hRule="exact"/>
          <w:tblHeader/>
          <w:jc w:val="center"/>
        </w:trPr>
        <w:tc>
          <w:tcPr>
            <w:tcW w:w="1564" w:type="dxa"/>
            <w:tcBorders>
              <w:top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植被情况</w:t>
            </w:r>
          </w:p>
        </w:tc>
        <w:tc>
          <w:tcPr>
            <w:tcW w:w="3413" w:type="dxa"/>
            <w:tcBorders>
              <w:top w:val="single" w:color="auto" w:sz="4" w:space="0"/>
              <w:left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该项目区植被类型为</w:t>
            </w:r>
            <w:r>
              <w:rPr>
                <w:rFonts w:hint="default" w:ascii="Times New Roman" w:hAnsi="Times New Roman" w:cs="Times New Roman"/>
                <w:color w:val="auto"/>
                <w:highlight w:val="none"/>
              </w:rPr>
              <w:t>荒漠植被，</w:t>
            </w:r>
            <w:r>
              <w:rPr>
                <w:rFonts w:hint="default" w:ascii="Times New Roman" w:hAnsi="Times New Roman" w:eastAsia="仿宋_GB2312" w:cs="Times New Roman"/>
                <w:color w:val="auto"/>
                <w:highlight w:val="none"/>
              </w:rPr>
              <w:t>植被比较稀疏、矮小，</w:t>
            </w:r>
            <w:r>
              <w:rPr>
                <w:rFonts w:hint="eastAsia" w:cs="Times New Roman"/>
                <w:color w:val="auto"/>
                <w:highlight w:val="none"/>
                <w:lang w:eastAsia="zh-CN"/>
              </w:rPr>
              <w:t>以</w:t>
            </w:r>
            <w:r>
              <w:rPr>
                <w:rFonts w:hint="default" w:cs="Times New Roman"/>
                <w:color w:val="auto"/>
                <w:highlight w:val="none"/>
                <w:lang w:eastAsia="zh-CN"/>
              </w:rPr>
              <w:t>假木贼、盐爪爪、</w:t>
            </w:r>
            <w:r>
              <w:rPr>
                <w:rFonts w:hint="eastAsia" w:cs="Times New Roman"/>
                <w:color w:val="auto"/>
                <w:highlight w:val="none"/>
                <w:lang w:eastAsia="zh-CN"/>
              </w:rPr>
              <w:t>芨芨草</w:t>
            </w:r>
            <w:r>
              <w:rPr>
                <w:rFonts w:hint="default" w:cs="Times New Roman"/>
                <w:color w:val="auto"/>
                <w:highlight w:val="none"/>
                <w:lang w:eastAsia="zh-CN"/>
              </w:rPr>
              <w:t>、红柳等南疆常见的植被为主</w:t>
            </w:r>
            <w:r>
              <w:rPr>
                <w:rFonts w:hint="eastAsia" w:cs="Times New Roman"/>
                <w:color w:val="auto"/>
                <w:highlight w:val="none"/>
                <w:lang w:eastAsia="zh-CN"/>
              </w:rPr>
              <w:t>，</w:t>
            </w:r>
            <w:r>
              <w:rPr>
                <w:rFonts w:hint="default" w:cs="Times New Roman"/>
                <w:color w:val="auto"/>
                <w:highlight w:val="none"/>
                <w:lang w:eastAsia="zh-CN"/>
              </w:rPr>
              <w:t>植被覆盖率约</w:t>
            </w:r>
            <w:r>
              <w:rPr>
                <w:rFonts w:hint="default" w:ascii="Times New Roman" w:hAnsi="Times New Roman" w:cs="Times New Roman"/>
                <w:color w:val="auto"/>
                <w:highlight w:val="none"/>
              </w:rPr>
              <w:t>1</w:t>
            </w:r>
            <w:r>
              <w:rPr>
                <w:rFonts w:hint="eastAsia" w:cs="Times New Roman"/>
                <w:color w:val="auto"/>
                <w:highlight w:val="none"/>
                <w:lang w:val="en-US" w:eastAsia="zh-CN"/>
              </w:rPr>
              <w:t>0</w:t>
            </w:r>
            <w:r>
              <w:rPr>
                <w:rFonts w:hint="default" w:ascii="Times New Roman" w:hAnsi="Times New Roman" w:cs="Times New Roman"/>
                <w:color w:val="auto"/>
                <w:highlight w:val="none"/>
              </w:rPr>
              <w:t>%</w:t>
            </w:r>
          </w:p>
        </w:tc>
        <w:tc>
          <w:tcPr>
            <w:tcW w:w="3873" w:type="dxa"/>
            <w:tcBorders>
              <w:top w:val="single" w:color="auto" w:sz="4" w:space="0"/>
              <w:left w:val="single" w:color="auto" w:sz="4" w:space="0"/>
              <w:bottom w:val="single" w:color="auto" w:sz="4" w:space="0"/>
            </w:tcBorders>
            <w:vAlign w:val="center"/>
          </w:tcPr>
          <w:p>
            <w:pPr>
              <w:pStyle w:val="84"/>
              <w:rPr>
                <w:rFonts w:hint="default" w:ascii="Times New Roman" w:hAnsi="Times New Roman" w:cs="Times New Roman"/>
                <w:color w:val="auto"/>
                <w:highlight w:val="none"/>
              </w:rPr>
            </w:pPr>
            <w:r>
              <w:rPr>
                <w:rFonts w:hint="eastAsia" w:cs="Times New Roman"/>
                <w:color w:val="auto"/>
                <w:highlight w:val="none"/>
                <w:lang w:eastAsia="zh-CN"/>
              </w:rPr>
              <w:t>该项目区植被类型为</w:t>
            </w:r>
            <w:r>
              <w:rPr>
                <w:rFonts w:hint="default" w:ascii="Times New Roman" w:hAnsi="Times New Roman" w:cs="Times New Roman"/>
                <w:color w:val="auto"/>
                <w:highlight w:val="none"/>
              </w:rPr>
              <w:t>荒漠植被，</w:t>
            </w:r>
            <w:r>
              <w:rPr>
                <w:rFonts w:hint="eastAsia" w:cs="Times New Roman"/>
                <w:color w:val="auto"/>
                <w:highlight w:val="none"/>
                <w:lang w:eastAsia="zh-CN"/>
              </w:rPr>
              <w:t>以</w:t>
            </w:r>
            <w:r>
              <w:rPr>
                <w:rFonts w:hint="default" w:cs="Times New Roman"/>
                <w:color w:val="auto"/>
                <w:highlight w:val="none"/>
                <w:lang w:eastAsia="zh-CN"/>
              </w:rPr>
              <w:t>假木贼、</w:t>
            </w:r>
            <w:r>
              <w:rPr>
                <w:rFonts w:hint="eastAsia" w:cs="Times New Roman"/>
                <w:color w:val="auto"/>
                <w:highlight w:val="none"/>
                <w:lang w:eastAsia="zh-CN"/>
              </w:rPr>
              <w:t>芨芨草</w:t>
            </w:r>
            <w:r>
              <w:rPr>
                <w:rFonts w:hint="default" w:cs="Times New Roman"/>
                <w:color w:val="auto"/>
                <w:highlight w:val="none"/>
                <w:lang w:eastAsia="zh-CN"/>
              </w:rPr>
              <w:t>等南疆常见的植被为主</w:t>
            </w:r>
            <w:r>
              <w:rPr>
                <w:rFonts w:hint="eastAsia" w:cs="Times New Roman"/>
                <w:color w:val="auto"/>
                <w:highlight w:val="none"/>
                <w:lang w:eastAsia="zh-CN"/>
              </w:rPr>
              <w:t>，</w:t>
            </w:r>
            <w:r>
              <w:rPr>
                <w:rFonts w:hint="default" w:ascii="Times New Roman" w:hAnsi="Times New Roman" w:cs="Times New Roman"/>
                <w:color w:val="auto"/>
                <w:highlight w:val="none"/>
              </w:rPr>
              <w:t>植被覆盖率约</w:t>
            </w:r>
            <w:r>
              <w:rPr>
                <w:rFonts w:hint="eastAsia" w:cs="Times New Roman"/>
                <w:color w:val="auto"/>
                <w:highlight w:val="none"/>
                <w:lang w:val="en-US" w:eastAsia="zh-CN"/>
              </w:rPr>
              <w:t>15</w:t>
            </w:r>
            <w:r>
              <w:rPr>
                <w:rFonts w:hint="default" w:ascii="Times New Roman" w:hAnsi="Times New Roman"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tblHeader/>
          <w:jc w:val="center"/>
        </w:trPr>
        <w:tc>
          <w:tcPr>
            <w:tcW w:w="1564" w:type="dxa"/>
            <w:tcBorders>
              <w:top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土壤侵蚀强度</w:t>
            </w:r>
          </w:p>
        </w:tc>
        <w:tc>
          <w:tcPr>
            <w:tcW w:w="3413" w:type="dxa"/>
            <w:tcBorders>
              <w:top w:val="single" w:color="auto" w:sz="4" w:space="0"/>
              <w:left w:val="single" w:color="auto" w:sz="4" w:space="0"/>
              <w:bottom w:val="single" w:color="auto" w:sz="4" w:space="0"/>
              <w:right w:val="single" w:color="auto" w:sz="4" w:space="0"/>
            </w:tcBorders>
            <w:vAlign w:val="center"/>
          </w:tcPr>
          <w:p>
            <w:pPr>
              <w:pStyle w:val="84"/>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lang w:eastAsia="zh-CN"/>
              </w:rPr>
              <w:t>轻度风力侵蚀</w:t>
            </w:r>
          </w:p>
        </w:tc>
        <w:tc>
          <w:tcPr>
            <w:tcW w:w="3873" w:type="dxa"/>
            <w:tcBorders>
              <w:top w:val="single" w:color="auto" w:sz="4" w:space="0"/>
              <w:left w:val="single" w:color="auto" w:sz="4" w:space="0"/>
              <w:bottom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以轻度风力、水力交错侵蚀为主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tblHeader/>
          <w:jc w:val="center"/>
        </w:trPr>
        <w:tc>
          <w:tcPr>
            <w:tcW w:w="1564" w:type="dxa"/>
            <w:tcBorders>
              <w:top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年平均温度</w:t>
            </w:r>
          </w:p>
        </w:tc>
        <w:tc>
          <w:tcPr>
            <w:tcW w:w="3413" w:type="dxa"/>
            <w:tcBorders>
              <w:top w:val="single" w:color="auto" w:sz="4" w:space="0"/>
              <w:left w:val="single" w:color="auto" w:sz="4" w:space="0"/>
              <w:bottom w:val="single" w:color="auto" w:sz="4" w:space="0"/>
              <w:right w:val="single" w:color="auto" w:sz="4" w:space="0"/>
            </w:tcBorders>
            <w:vAlign w:val="center"/>
          </w:tcPr>
          <w:p>
            <w:pPr>
              <w:pStyle w:val="84"/>
              <w:ind w:firstLine="0" w:firstLineChars="0"/>
              <w:rPr>
                <w:rFonts w:hint="default" w:ascii="Times New Roman" w:hAnsi="Times New Roman" w:cs="Times New Roman"/>
                <w:color w:val="auto"/>
                <w:highlight w:val="none"/>
              </w:rPr>
            </w:pPr>
            <w:r>
              <w:rPr>
                <w:rFonts w:hint="eastAsia" w:cs="Times New Roman"/>
                <w:color w:val="auto"/>
                <w:highlight w:val="none"/>
                <w:lang w:val="en-US" w:eastAsia="zh-CN"/>
              </w:rPr>
              <w:t>12.2</w:t>
            </w:r>
            <w:r>
              <w:rPr>
                <w:rFonts w:hint="default" w:ascii="Times New Roman" w:hAnsi="Times New Roman" w:cs="Times New Roman"/>
                <w:color w:val="auto"/>
                <w:highlight w:val="none"/>
              </w:rPr>
              <w:t>℃</w:t>
            </w:r>
          </w:p>
        </w:tc>
        <w:tc>
          <w:tcPr>
            <w:tcW w:w="3873" w:type="dxa"/>
            <w:tcBorders>
              <w:top w:val="single" w:color="auto" w:sz="4" w:space="0"/>
              <w:left w:val="single" w:color="auto" w:sz="4" w:space="0"/>
              <w:bottom w:val="single" w:color="auto" w:sz="4" w:space="0"/>
            </w:tcBorders>
            <w:vAlign w:val="center"/>
          </w:tcPr>
          <w:p>
            <w:pPr>
              <w:pStyle w:val="84"/>
              <w:rPr>
                <w:rFonts w:hint="default" w:ascii="Times New Roman" w:hAnsi="Times New Roman" w:cs="Times New Roman"/>
                <w:color w:val="auto"/>
                <w:highlight w:val="none"/>
              </w:rPr>
            </w:pPr>
            <w:r>
              <w:rPr>
                <w:rFonts w:hint="eastAsia" w:cs="Times New Roman"/>
                <w:color w:val="auto"/>
                <w:highlight w:val="none"/>
                <w:lang w:val="en-US" w:eastAsia="zh-CN"/>
              </w:rPr>
              <w:t>13.1</w:t>
            </w:r>
            <w:r>
              <w:rPr>
                <w:rFonts w:hint="default" w:ascii="Times New Roman" w:hAnsi="Times New Roman"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tblHeader/>
          <w:jc w:val="center"/>
        </w:trPr>
        <w:tc>
          <w:tcPr>
            <w:tcW w:w="1564" w:type="dxa"/>
            <w:tcBorders>
              <w:top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年平均蒸发量</w:t>
            </w:r>
          </w:p>
        </w:tc>
        <w:tc>
          <w:tcPr>
            <w:tcW w:w="3413" w:type="dxa"/>
            <w:tcBorders>
              <w:top w:val="single" w:color="auto" w:sz="4" w:space="0"/>
              <w:left w:val="single" w:color="auto" w:sz="4" w:space="0"/>
              <w:bottom w:val="single" w:color="auto" w:sz="4" w:space="0"/>
              <w:right w:val="single" w:color="auto" w:sz="4" w:space="0"/>
            </w:tcBorders>
            <w:vAlign w:val="center"/>
          </w:tcPr>
          <w:p>
            <w:pPr>
              <w:pStyle w:val="84"/>
              <w:ind w:firstLine="0" w:firstLineChars="0"/>
              <w:rPr>
                <w:rFonts w:hint="default" w:ascii="Times New Roman" w:hAnsi="Times New Roman" w:cs="Times New Roman"/>
                <w:color w:val="auto"/>
                <w:highlight w:val="none"/>
              </w:rPr>
            </w:pPr>
            <w:r>
              <w:rPr>
                <w:rFonts w:hint="eastAsia" w:cs="Times New Roman"/>
                <w:color w:val="auto"/>
                <w:highlight w:val="none"/>
                <w:lang w:val="en-US" w:eastAsia="zh-CN"/>
              </w:rPr>
              <w:t>2741.6</w:t>
            </w:r>
            <w:r>
              <w:rPr>
                <w:rFonts w:hint="default" w:ascii="Times New Roman" w:hAnsi="Times New Roman" w:cs="Times New Roman"/>
                <w:color w:val="auto"/>
                <w:highlight w:val="none"/>
              </w:rPr>
              <w:t>mm</w:t>
            </w:r>
          </w:p>
        </w:tc>
        <w:tc>
          <w:tcPr>
            <w:tcW w:w="3873" w:type="dxa"/>
            <w:tcBorders>
              <w:top w:val="single" w:color="auto" w:sz="4" w:space="0"/>
              <w:left w:val="single" w:color="auto" w:sz="4" w:space="0"/>
              <w:bottom w:val="single" w:color="auto" w:sz="4" w:space="0"/>
            </w:tcBorders>
            <w:vAlign w:val="center"/>
          </w:tcPr>
          <w:p>
            <w:pPr>
              <w:pStyle w:val="84"/>
              <w:rPr>
                <w:rFonts w:hint="default" w:ascii="Times New Roman" w:hAnsi="Times New Roman" w:cs="Times New Roman"/>
                <w:color w:val="auto"/>
                <w:highlight w:val="none"/>
              </w:rPr>
            </w:pPr>
            <w:r>
              <w:rPr>
                <w:rFonts w:hint="eastAsia" w:cs="Times New Roman"/>
                <w:color w:val="auto"/>
                <w:highlight w:val="none"/>
                <w:lang w:val="en-US" w:eastAsia="zh-CN"/>
              </w:rPr>
              <w:t>2739.6</w:t>
            </w:r>
            <w:r>
              <w:rPr>
                <w:rFonts w:hint="default" w:ascii="Times New Roman" w:hAnsi="Times New Roman" w:cs="Times New Roman"/>
                <w:color w:val="auto"/>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tblHeader/>
          <w:jc w:val="center"/>
        </w:trPr>
        <w:tc>
          <w:tcPr>
            <w:tcW w:w="1564" w:type="dxa"/>
            <w:tcBorders>
              <w:top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年平均降水量</w:t>
            </w:r>
          </w:p>
        </w:tc>
        <w:tc>
          <w:tcPr>
            <w:tcW w:w="3413" w:type="dxa"/>
            <w:tcBorders>
              <w:top w:val="single" w:color="auto" w:sz="4" w:space="0"/>
              <w:left w:val="single" w:color="auto" w:sz="4" w:space="0"/>
              <w:bottom w:val="single" w:color="auto" w:sz="4" w:space="0"/>
              <w:right w:val="single" w:color="auto" w:sz="4" w:space="0"/>
            </w:tcBorders>
            <w:vAlign w:val="center"/>
          </w:tcPr>
          <w:p>
            <w:pPr>
              <w:pStyle w:val="84"/>
              <w:ind w:firstLine="0" w:firstLineChars="0"/>
              <w:rPr>
                <w:rFonts w:hint="default" w:ascii="Times New Roman" w:hAnsi="Times New Roman" w:cs="Times New Roman"/>
                <w:color w:val="auto"/>
                <w:highlight w:val="none"/>
              </w:rPr>
            </w:pPr>
            <w:r>
              <w:rPr>
                <w:rFonts w:hint="eastAsia" w:cs="Times New Roman"/>
                <w:color w:val="auto"/>
                <w:highlight w:val="none"/>
                <w:lang w:val="en-US" w:eastAsia="zh-CN"/>
              </w:rPr>
              <w:t>35.5</w:t>
            </w:r>
            <w:r>
              <w:rPr>
                <w:rFonts w:hint="default" w:ascii="Times New Roman" w:hAnsi="Times New Roman" w:cs="Times New Roman"/>
                <w:color w:val="auto"/>
                <w:highlight w:val="none"/>
              </w:rPr>
              <w:t>mm</w:t>
            </w:r>
          </w:p>
        </w:tc>
        <w:tc>
          <w:tcPr>
            <w:tcW w:w="3873" w:type="dxa"/>
            <w:tcBorders>
              <w:top w:val="single" w:color="auto" w:sz="4" w:space="0"/>
              <w:left w:val="single" w:color="auto" w:sz="4" w:space="0"/>
              <w:bottom w:val="single" w:color="auto" w:sz="4" w:space="0"/>
            </w:tcBorders>
            <w:vAlign w:val="center"/>
          </w:tcPr>
          <w:p>
            <w:pPr>
              <w:pStyle w:val="84"/>
              <w:rPr>
                <w:rFonts w:hint="default" w:ascii="Times New Roman" w:hAnsi="Times New Roman" w:cs="Times New Roman"/>
                <w:color w:val="auto"/>
                <w:highlight w:val="none"/>
              </w:rPr>
            </w:pPr>
            <w:r>
              <w:rPr>
                <w:rFonts w:hint="eastAsia" w:cs="Times New Roman"/>
                <w:color w:val="auto"/>
                <w:highlight w:val="none"/>
                <w:lang w:val="en-US" w:eastAsia="zh-CN"/>
              </w:rPr>
              <w:t>36.1</w:t>
            </w:r>
            <w:r>
              <w:rPr>
                <w:rFonts w:hint="default" w:ascii="Times New Roman" w:hAnsi="Times New Roman" w:cs="Times New Roman"/>
                <w:color w:val="auto"/>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tblHeader/>
          <w:jc w:val="center"/>
        </w:trPr>
        <w:tc>
          <w:tcPr>
            <w:tcW w:w="1564" w:type="dxa"/>
            <w:tcBorders>
              <w:top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年平均风速</w:t>
            </w:r>
          </w:p>
        </w:tc>
        <w:tc>
          <w:tcPr>
            <w:tcW w:w="3413" w:type="dxa"/>
            <w:tcBorders>
              <w:top w:val="single" w:color="auto" w:sz="4" w:space="0"/>
              <w:left w:val="single" w:color="auto" w:sz="4" w:space="0"/>
              <w:bottom w:val="single" w:color="auto" w:sz="4" w:space="0"/>
              <w:right w:val="single" w:color="auto" w:sz="4" w:space="0"/>
            </w:tcBorders>
            <w:vAlign w:val="center"/>
          </w:tcPr>
          <w:p>
            <w:pPr>
              <w:pStyle w:val="84"/>
              <w:ind w:firstLine="0" w:firstLineChars="0"/>
              <w:rPr>
                <w:rFonts w:hint="default" w:ascii="Times New Roman" w:hAnsi="Times New Roman" w:cs="Times New Roman"/>
                <w:color w:val="auto"/>
                <w:highlight w:val="none"/>
              </w:rPr>
            </w:pPr>
            <w:r>
              <w:rPr>
                <w:rFonts w:hint="eastAsia" w:cs="Times New Roman"/>
                <w:color w:val="auto"/>
                <w:highlight w:val="none"/>
                <w:lang w:val="en-US" w:eastAsia="zh-CN"/>
              </w:rPr>
              <w:t>1.6</w:t>
            </w:r>
            <w:r>
              <w:rPr>
                <w:rFonts w:hint="default" w:ascii="Times New Roman" w:hAnsi="Times New Roman" w:cs="Times New Roman"/>
                <w:color w:val="auto"/>
                <w:highlight w:val="none"/>
              </w:rPr>
              <w:t>m/s</w:t>
            </w:r>
          </w:p>
        </w:tc>
        <w:tc>
          <w:tcPr>
            <w:tcW w:w="3873" w:type="dxa"/>
            <w:tcBorders>
              <w:top w:val="single" w:color="auto" w:sz="4" w:space="0"/>
              <w:left w:val="single" w:color="auto" w:sz="4" w:space="0"/>
              <w:bottom w:val="single" w:color="auto" w:sz="4" w:space="0"/>
            </w:tcBorders>
            <w:vAlign w:val="center"/>
          </w:tcPr>
          <w:p>
            <w:pPr>
              <w:pStyle w:val="84"/>
              <w:rPr>
                <w:rFonts w:hint="default" w:ascii="Times New Roman" w:hAnsi="Times New Roman" w:cs="Times New Roman"/>
                <w:color w:val="auto"/>
                <w:highlight w:val="none"/>
              </w:rPr>
            </w:pPr>
            <w:r>
              <w:rPr>
                <w:rFonts w:hint="eastAsia" w:cs="Times New Roman"/>
                <w:color w:val="auto"/>
                <w:highlight w:val="none"/>
                <w:lang w:val="en-US" w:eastAsia="zh-CN"/>
              </w:rPr>
              <w:t>1.3</w:t>
            </w:r>
            <w:r>
              <w:rPr>
                <w:rFonts w:hint="default" w:ascii="Times New Roman" w:hAnsi="Times New Roman" w:cs="Times New Roman"/>
                <w:color w:val="auto"/>
                <w:highlight w:val="none"/>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1" w:hRule="exact"/>
          <w:tblHeader/>
          <w:jc w:val="center"/>
        </w:trPr>
        <w:tc>
          <w:tcPr>
            <w:tcW w:w="1564" w:type="dxa"/>
            <w:tcBorders>
              <w:top w:val="single" w:color="auto" w:sz="4" w:space="0"/>
              <w:bottom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项目建设产生水土流失特点</w:t>
            </w:r>
          </w:p>
        </w:tc>
        <w:tc>
          <w:tcPr>
            <w:tcW w:w="3413" w:type="dxa"/>
            <w:tcBorders>
              <w:top w:val="single" w:color="auto" w:sz="4" w:space="0"/>
              <w:left w:val="single" w:color="auto" w:sz="4" w:space="0"/>
              <w:bottom w:val="single" w:color="auto" w:sz="4" w:space="0"/>
              <w:right w:val="single" w:color="auto" w:sz="4" w:space="0"/>
            </w:tcBorders>
            <w:vAlign w:val="center"/>
          </w:tcPr>
          <w:p>
            <w:pPr>
              <w:pStyle w:val="84"/>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施工过程中，建筑物基础及管沟开挖将产生大量临时堆土，为风蚀及水蚀提供了物质来源，同时破坏了原有地表结皮，在一定程度上加剧了水土流失。</w:t>
            </w:r>
          </w:p>
        </w:tc>
        <w:tc>
          <w:tcPr>
            <w:tcW w:w="3873" w:type="dxa"/>
            <w:tcBorders>
              <w:top w:val="single" w:color="auto" w:sz="4" w:space="0"/>
              <w:left w:val="single" w:color="auto" w:sz="4" w:space="0"/>
              <w:bottom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建构筑物基础的开挖、地坪、道路及管线工程区管网的敷设等</w:t>
            </w:r>
            <w:r>
              <w:rPr>
                <w:rFonts w:hint="eastAsia" w:cs="Times New Roman"/>
                <w:color w:val="auto"/>
                <w:highlight w:val="none"/>
                <w:lang w:eastAsia="zh-CN"/>
              </w:rPr>
              <w:t>，</w:t>
            </w:r>
            <w:r>
              <w:rPr>
                <w:rFonts w:hint="default" w:ascii="Times New Roman" w:hAnsi="Times New Roman" w:cs="Times New Roman"/>
                <w:color w:val="auto"/>
                <w:highlight w:val="none"/>
              </w:rPr>
              <w:t>对原地表及植被造成不同程度破坏，使占地区地表原状土壤结构和植被受到扰动，改变了现状地形，引起水土流失。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tblHeader/>
          <w:jc w:val="center"/>
        </w:trPr>
        <w:tc>
          <w:tcPr>
            <w:tcW w:w="1564" w:type="dxa"/>
            <w:tcBorders>
              <w:top w:val="single" w:color="auto" w:sz="4" w:space="0"/>
              <w:righ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结论</w:t>
            </w:r>
          </w:p>
        </w:tc>
        <w:tc>
          <w:tcPr>
            <w:tcW w:w="7286" w:type="dxa"/>
            <w:gridSpan w:val="2"/>
            <w:tcBorders>
              <w:top w:val="single" w:color="auto" w:sz="4" w:space="0"/>
              <w:left w:val="single" w:color="auto" w:sz="4" w:space="0"/>
            </w:tcBorders>
            <w:vAlign w:val="center"/>
          </w:tcPr>
          <w:p>
            <w:pPr>
              <w:pStyle w:val="84"/>
              <w:rPr>
                <w:rFonts w:hint="default" w:ascii="Times New Roman" w:hAnsi="Times New Roman" w:cs="Times New Roman"/>
                <w:color w:val="auto"/>
                <w:highlight w:val="none"/>
              </w:rPr>
            </w:pPr>
            <w:r>
              <w:rPr>
                <w:rFonts w:hint="default" w:ascii="Times New Roman" w:hAnsi="Times New Roman" w:cs="Times New Roman"/>
                <w:color w:val="auto"/>
                <w:highlight w:val="none"/>
              </w:rPr>
              <w:t>具有较强的类比性</w:t>
            </w:r>
          </w:p>
        </w:tc>
      </w:tr>
    </w:tbl>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4.3.3.3 自然恢复期侵蚀模数的确定</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随着项目建设完工，主体工程各项措施的实施，能够减少一定的水土流失，已初步具有抵抗水土流失能力；但本项目为建设类项目，自然恢复期间仍会对地表由一定程度的扰动，根据项目区及类比工程气候、气象、土塘及植被等特征的对比，确定本项目扰动后土壤侵蚀模数为</w:t>
      </w:r>
      <w:r>
        <w:rPr>
          <w:rFonts w:hint="eastAsia" w:cs="Times New Roman"/>
          <w:color w:val="auto"/>
          <w:highlight w:val="none"/>
          <w:lang w:val="en-US" w:eastAsia="zh-CN"/>
        </w:rPr>
        <w:t>35</w:t>
      </w:r>
      <w:r>
        <w:rPr>
          <w:rFonts w:hint="default" w:ascii="Times New Roman" w:hAnsi="Times New Roman" w:eastAsia="仿宋_GB2312" w:cs="Times New Roman"/>
          <w:color w:val="auto"/>
          <w:highlight w:val="none"/>
        </w:rPr>
        <w:t>00t/（km².a），施工扰动后土壤侵蚀模数如表4.3-4。</w:t>
      </w:r>
    </w:p>
    <w:p>
      <w:pPr>
        <w:pStyle w:val="76"/>
        <w:keepNext w:val="0"/>
        <w:keepLines w:val="0"/>
        <w:pageBreakBefore w:val="0"/>
        <w:widowControl/>
        <w:kinsoku/>
        <w:wordWrap/>
        <w:overflowPunct/>
        <w:topLinePunct w:val="0"/>
        <w:autoSpaceDE/>
        <w:autoSpaceDN/>
        <w:bidi w:val="0"/>
        <w:adjustRightInd w:val="0"/>
        <w:snapToGrid w:val="0"/>
        <w:textAlignment w:val="auto"/>
        <w:outlineLvl w:val="9"/>
        <w:rPr>
          <w:rFonts w:hint="default" w:ascii="Times New Roman" w:hAnsi="Times New Roman" w:eastAsia="仿宋_GB2312" w:cs="Times New Roman"/>
          <w:color w:val="auto"/>
          <w:highlight w:val="none"/>
        </w:rPr>
      </w:pPr>
    </w:p>
    <w:p>
      <w:pPr>
        <w:pStyle w:val="76"/>
        <w:keepNext w:val="0"/>
        <w:keepLines w:val="0"/>
        <w:pageBreakBefore w:val="0"/>
        <w:widowControl/>
        <w:kinsoku/>
        <w:wordWrap/>
        <w:overflowPunct/>
        <w:topLinePunct w:val="0"/>
        <w:autoSpaceDE/>
        <w:autoSpaceDN/>
        <w:bidi w:val="0"/>
        <w:adjustRightInd w:val="0"/>
        <w:snapToGrid w:val="0"/>
        <w:textAlignment w:val="auto"/>
        <w:outlineLvl w:val="9"/>
        <w:rPr>
          <w:rFonts w:hint="default" w:ascii="Times New Roman" w:hAnsi="Times New Roman" w:eastAsia="仿宋_GB2312" w:cs="Times New Roman"/>
          <w:color w:val="auto"/>
          <w:highlight w:val="none"/>
        </w:rPr>
      </w:pPr>
    </w:p>
    <w:p>
      <w:pPr>
        <w:pStyle w:val="76"/>
        <w:keepNext w:val="0"/>
        <w:keepLines w:val="0"/>
        <w:pageBreakBefore w:val="0"/>
        <w:widowControl/>
        <w:kinsoku/>
        <w:wordWrap/>
        <w:overflowPunct/>
        <w:topLinePunct w:val="0"/>
        <w:autoSpaceDE/>
        <w:autoSpaceDN/>
        <w:bidi w:val="0"/>
        <w:adjustRightInd w:val="0"/>
        <w:snapToGrid w:val="0"/>
        <w:textAlignment w:val="auto"/>
        <w:outlineLvl w:val="9"/>
        <w:rPr>
          <w:rFonts w:hint="default" w:ascii="Times New Roman" w:hAnsi="Times New Roman" w:eastAsia="仿宋_GB2312" w:cs="Times New Roman"/>
          <w:color w:val="auto"/>
          <w:highlight w:val="none"/>
        </w:rPr>
      </w:pPr>
    </w:p>
    <w:p>
      <w:pPr>
        <w:pStyle w:val="76"/>
        <w:keepNext w:val="0"/>
        <w:keepLines w:val="0"/>
        <w:pageBreakBefore w:val="0"/>
        <w:widowControl/>
        <w:kinsoku/>
        <w:wordWrap/>
        <w:overflowPunct/>
        <w:topLinePunct w:val="0"/>
        <w:autoSpaceDE/>
        <w:autoSpaceDN/>
        <w:bidi w:val="0"/>
        <w:adjustRightInd w:val="0"/>
        <w:snapToGrid w:val="0"/>
        <w:textAlignment w:val="auto"/>
        <w:outlineLvl w:val="9"/>
        <w:rPr>
          <w:rFonts w:hint="default" w:ascii="Times New Roman" w:hAnsi="Times New Roman" w:eastAsia="仿宋_GB2312" w:cs="Times New Roman"/>
          <w:color w:val="auto"/>
          <w:highlight w:val="none"/>
        </w:rPr>
      </w:pPr>
    </w:p>
    <w:p>
      <w:pPr>
        <w:pStyle w:val="76"/>
        <w:keepNext w:val="0"/>
        <w:keepLines w:val="0"/>
        <w:pageBreakBefore w:val="0"/>
        <w:widowControl/>
        <w:kinsoku/>
        <w:wordWrap/>
        <w:overflowPunct/>
        <w:topLinePunct w:val="0"/>
        <w:autoSpaceDE/>
        <w:autoSpaceDN/>
        <w:bidi w:val="0"/>
        <w:adjustRightInd w:val="0"/>
        <w:snapToGrid w:val="0"/>
        <w:textAlignment w:val="auto"/>
        <w:outlineLvl w:val="9"/>
        <w:rPr>
          <w:rFonts w:hint="default" w:ascii="Times New Roman" w:hAnsi="Times New Roman" w:eastAsia="仿宋_GB2312" w:cs="Times New Roman"/>
          <w:color w:val="auto"/>
          <w:highlight w:val="none"/>
        </w:rPr>
      </w:pPr>
    </w:p>
    <w:p>
      <w:pPr>
        <w:pStyle w:val="76"/>
        <w:keepNext w:val="0"/>
        <w:keepLines w:val="0"/>
        <w:pageBreakBefore w:val="0"/>
        <w:widowControl/>
        <w:kinsoku/>
        <w:wordWrap/>
        <w:overflowPunct/>
        <w:topLinePunct w:val="0"/>
        <w:autoSpaceDE/>
        <w:autoSpaceDN/>
        <w:bidi w:val="0"/>
        <w:adjustRightInd w:val="0"/>
        <w:snapToGrid w:val="0"/>
        <w:textAlignment w:val="auto"/>
        <w:outlineLvl w:val="9"/>
        <w:rPr>
          <w:rFonts w:hint="default" w:ascii="Times New Roman" w:hAnsi="Times New Roman" w:eastAsia="仿宋_GB2312" w:cs="Times New Roman"/>
          <w:color w:val="auto"/>
          <w:highlight w:val="none"/>
        </w:rPr>
      </w:pP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表4.3-</w:t>
      </w:r>
      <w:r>
        <w:rPr>
          <w:rFonts w:hint="eastAsia" w:cs="Times New Roman"/>
          <w:color w:val="auto"/>
          <w:highlight w:val="none"/>
          <w:lang w:val="en-US" w:eastAsia="zh-CN"/>
        </w:rPr>
        <w:t>4</w:t>
      </w:r>
      <w:r>
        <w:rPr>
          <w:rFonts w:hint="default" w:ascii="Times New Roman" w:hAnsi="Times New Roman" w:eastAsia="仿宋_GB2312" w:cs="Times New Roman"/>
          <w:color w:val="auto"/>
          <w:highlight w:val="none"/>
        </w:rPr>
        <w:t>扰动原地貌前后侵蚀模数变化汇总表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98"/>
        <w:gridCol w:w="1270"/>
        <w:gridCol w:w="915"/>
        <w:gridCol w:w="1242"/>
        <w:gridCol w:w="1172"/>
        <w:gridCol w:w="965"/>
        <w:gridCol w:w="1207"/>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exact"/>
        </w:trPr>
        <w:tc>
          <w:tcPr>
            <w:tcW w:w="788" w:type="pct"/>
            <w:vMerge w:val="restart"/>
            <w:shd w:val="clear" w:color="auto" w:fill="auto"/>
            <w:vAlign w:val="center"/>
          </w:tcPr>
          <w:p>
            <w:pPr>
              <w:widowControl/>
              <w:spacing w:line="240" w:lineRule="auto"/>
              <w:ind w:firstLine="0" w:firstLineChars="0"/>
              <w:jc w:val="center"/>
              <w:textAlignment w:val="center"/>
              <w:rPr>
                <w:rFonts w:hint="eastAsia" w:ascii="Times New Roman" w:hAnsi="Times New Roman" w:eastAsia="仿宋_GB2312" w:cs="Times New Roman"/>
                <w:color w:val="auto"/>
                <w:sz w:val="21"/>
                <w:szCs w:val="21"/>
                <w:highlight w:val="none"/>
                <w:lang w:eastAsia="zh-CN"/>
              </w:rPr>
            </w:pPr>
            <w:r>
              <w:rPr>
                <w:rFonts w:hint="eastAsia" w:eastAsia="仿宋_GB2312" w:cs="Times New Roman"/>
                <w:color w:val="auto"/>
                <w:kern w:val="0"/>
                <w:sz w:val="21"/>
                <w:szCs w:val="21"/>
                <w:highlight w:val="none"/>
                <w:lang w:eastAsia="zh-CN"/>
              </w:rPr>
              <w:t>预测单元</w:t>
            </w:r>
          </w:p>
        </w:tc>
        <w:tc>
          <w:tcPr>
            <w:tcW w:w="715" w:type="pct"/>
            <w:vMerge w:val="restar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原地貌土壤侵蚀模数</w:t>
            </w:r>
          </w:p>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(t/km²﹒a)</w:t>
            </w:r>
          </w:p>
        </w:tc>
        <w:tc>
          <w:tcPr>
            <w:tcW w:w="3495" w:type="pct"/>
            <w:gridSpan w:val="6"/>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扰动后土壤侵蚀模数(t/km²﹒a)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exact"/>
        </w:trPr>
        <w:tc>
          <w:tcPr>
            <w:tcW w:w="788" w:type="pct"/>
            <w:vMerge w:val="continue"/>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715" w:type="pct"/>
            <w:vMerge w:val="continue"/>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515" w:type="pct"/>
            <w:vMerge w:val="restar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施工期</w:t>
            </w:r>
          </w:p>
        </w:tc>
        <w:tc>
          <w:tcPr>
            <w:tcW w:w="2980" w:type="pct"/>
            <w:gridSpan w:val="5"/>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自然恢复期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exact"/>
        </w:trPr>
        <w:tc>
          <w:tcPr>
            <w:tcW w:w="788" w:type="pct"/>
            <w:vMerge w:val="continue"/>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715" w:type="pct"/>
            <w:vMerge w:val="continue"/>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515" w:type="pct"/>
            <w:vMerge w:val="continue"/>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21"/>
                <w:szCs w:val="21"/>
                <w:highlight w:val="none"/>
              </w:rPr>
            </w:pPr>
          </w:p>
        </w:tc>
        <w:tc>
          <w:tcPr>
            <w:tcW w:w="700" w:type="pc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第一年</w:t>
            </w:r>
          </w:p>
        </w:tc>
        <w:tc>
          <w:tcPr>
            <w:tcW w:w="660" w:type="pc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第二年</w:t>
            </w:r>
          </w:p>
        </w:tc>
        <w:tc>
          <w:tcPr>
            <w:tcW w:w="544" w:type="pct"/>
            <w:shd w:val="clear" w:color="auto" w:fill="auto"/>
            <w:vAlign w:val="center"/>
          </w:tcPr>
          <w:p>
            <w:pPr>
              <w:widowControl/>
              <w:spacing w:line="240" w:lineRule="auto"/>
              <w:ind w:firstLine="0" w:firstLineChars="0"/>
              <w:jc w:val="center"/>
              <w:textAlignment w:val="center"/>
              <w:rPr>
                <w:rFonts w:hint="eastAsia" w:ascii="Times New Roman" w:hAnsi="Times New Roman"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eastAsia="zh-CN"/>
              </w:rPr>
              <w:t>第三年</w:t>
            </w:r>
          </w:p>
        </w:tc>
        <w:tc>
          <w:tcPr>
            <w:tcW w:w="680" w:type="pct"/>
            <w:shd w:val="clear" w:color="auto" w:fill="auto"/>
            <w:vAlign w:val="center"/>
          </w:tcPr>
          <w:p>
            <w:pPr>
              <w:widowControl/>
              <w:spacing w:line="240" w:lineRule="auto"/>
              <w:ind w:firstLine="0" w:firstLineChars="0"/>
              <w:jc w:val="center"/>
              <w:textAlignment w:val="center"/>
              <w:rPr>
                <w:rFonts w:hint="eastAsia" w:ascii="Times New Roman" w:hAnsi="Times New Roman"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eastAsia="zh-CN"/>
              </w:rPr>
              <w:t>第四年</w:t>
            </w:r>
          </w:p>
        </w:tc>
        <w:tc>
          <w:tcPr>
            <w:tcW w:w="394" w:type="pct"/>
            <w:shd w:val="clear" w:color="auto" w:fill="auto"/>
            <w:vAlign w:val="center"/>
          </w:tcPr>
          <w:p>
            <w:pPr>
              <w:widowControl/>
              <w:spacing w:line="240" w:lineRule="auto"/>
              <w:ind w:firstLine="0" w:firstLineChars="0"/>
              <w:jc w:val="center"/>
              <w:textAlignment w:val="center"/>
              <w:rPr>
                <w:rFonts w:hint="eastAsia" w:ascii="Times New Roman" w:hAnsi="Times New Roman" w:eastAsia="仿宋_GB2312" w:cs="Times New Roman"/>
                <w:color w:val="auto"/>
                <w:kern w:val="0"/>
                <w:sz w:val="21"/>
                <w:szCs w:val="21"/>
                <w:highlight w:val="none"/>
                <w:lang w:eastAsia="zh-CN"/>
              </w:rPr>
            </w:pPr>
            <w:r>
              <w:rPr>
                <w:rFonts w:hint="eastAsia" w:eastAsia="仿宋_GB2312" w:cs="Times New Roman"/>
                <w:color w:val="auto"/>
                <w:kern w:val="0"/>
                <w:sz w:val="21"/>
                <w:szCs w:val="21"/>
                <w:highlight w:val="none"/>
                <w:lang w:eastAsia="zh-CN"/>
              </w:rPr>
              <w:t>第五年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exact"/>
        </w:trPr>
        <w:tc>
          <w:tcPr>
            <w:tcW w:w="788" w:type="pct"/>
            <w:shd w:val="clear" w:color="auto" w:fill="auto"/>
            <w:vAlign w:val="center"/>
          </w:tcPr>
          <w:p>
            <w:pPr>
              <w:pStyle w:val="8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建筑物区</w:t>
            </w:r>
          </w:p>
        </w:tc>
        <w:tc>
          <w:tcPr>
            <w:tcW w:w="715" w:type="pc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1</w:t>
            </w:r>
            <w:r>
              <w:rPr>
                <w:rFonts w:hint="eastAsia" w:eastAsia="仿宋_GB2312" w:cs="Times New Roman"/>
                <w:color w:val="auto"/>
                <w:kern w:val="0"/>
                <w:sz w:val="21"/>
                <w:szCs w:val="21"/>
                <w:highlight w:val="none"/>
                <w:lang w:val="en-US" w:eastAsia="zh-CN"/>
              </w:rPr>
              <w:t>0</w:t>
            </w:r>
            <w:r>
              <w:rPr>
                <w:rFonts w:hint="default" w:ascii="Times New Roman" w:hAnsi="Times New Roman" w:eastAsia="仿宋_GB2312" w:cs="Times New Roman"/>
                <w:color w:val="auto"/>
                <w:kern w:val="0"/>
                <w:sz w:val="21"/>
                <w:szCs w:val="21"/>
                <w:highlight w:val="none"/>
              </w:rPr>
              <w:t>00</w:t>
            </w:r>
          </w:p>
        </w:tc>
        <w:tc>
          <w:tcPr>
            <w:tcW w:w="515" w:type="pc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eastAsia" w:eastAsia="仿宋_GB2312" w:cs="Times New Roman"/>
                <w:color w:val="auto"/>
                <w:kern w:val="0"/>
                <w:sz w:val="21"/>
                <w:szCs w:val="21"/>
                <w:highlight w:val="none"/>
                <w:lang w:val="en-US" w:eastAsia="zh-CN"/>
              </w:rPr>
              <w:t>35</w:t>
            </w:r>
            <w:r>
              <w:rPr>
                <w:rFonts w:hint="default" w:ascii="Times New Roman" w:hAnsi="Times New Roman" w:eastAsia="仿宋_GB2312" w:cs="Times New Roman"/>
                <w:color w:val="auto"/>
                <w:kern w:val="0"/>
                <w:sz w:val="21"/>
                <w:szCs w:val="21"/>
                <w:highlight w:val="none"/>
              </w:rPr>
              <w:t>00</w:t>
            </w:r>
          </w:p>
        </w:tc>
        <w:tc>
          <w:tcPr>
            <w:tcW w:w="700" w:type="pc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eastAsia" w:eastAsia="仿宋_GB2312" w:cs="Times New Roman"/>
                <w:color w:val="auto"/>
                <w:kern w:val="0"/>
                <w:sz w:val="21"/>
                <w:szCs w:val="21"/>
                <w:highlight w:val="none"/>
                <w:lang w:val="en-US" w:eastAsia="zh-CN"/>
              </w:rPr>
              <w:t>25</w:t>
            </w:r>
            <w:r>
              <w:rPr>
                <w:rFonts w:hint="default" w:ascii="Times New Roman" w:hAnsi="Times New Roman" w:eastAsia="仿宋_GB2312" w:cs="Times New Roman"/>
                <w:color w:val="auto"/>
                <w:kern w:val="0"/>
                <w:sz w:val="21"/>
                <w:szCs w:val="21"/>
                <w:highlight w:val="none"/>
              </w:rPr>
              <w:t>00</w:t>
            </w:r>
          </w:p>
        </w:tc>
        <w:tc>
          <w:tcPr>
            <w:tcW w:w="660" w:type="pc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eastAsia" w:eastAsia="仿宋_GB2312" w:cs="Times New Roman"/>
                <w:color w:val="auto"/>
                <w:kern w:val="0"/>
                <w:sz w:val="21"/>
                <w:szCs w:val="21"/>
                <w:highlight w:val="none"/>
                <w:lang w:val="en-US" w:eastAsia="zh-CN"/>
              </w:rPr>
              <w:t>20</w:t>
            </w:r>
            <w:r>
              <w:rPr>
                <w:rFonts w:hint="default" w:ascii="Times New Roman" w:hAnsi="Times New Roman" w:eastAsia="仿宋_GB2312" w:cs="Times New Roman"/>
                <w:color w:val="auto"/>
                <w:kern w:val="0"/>
                <w:sz w:val="21"/>
                <w:szCs w:val="21"/>
                <w:highlight w:val="none"/>
              </w:rPr>
              <w:t>00</w:t>
            </w:r>
          </w:p>
        </w:tc>
        <w:tc>
          <w:tcPr>
            <w:tcW w:w="544" w:type="pc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21"/>
                <w:szCs w:val="21"/>
                <w:highlight w:val="none"/>
              </w:rPr>
            </w:pPr>
            <w:r>
              <w:rPr>
                <w:rFonts w:hint="eastAsia" w:eastAsia="仿宋_GB2312" w:cs="Times New Roman"/>
                <w:color w:val="auto"/>
                <w:kern w:val="0"/>
                <w:sz w:val="21"/>
                <w:szCs w:val="21"/>
                <w:highlight w:val="none"/>
                <w:lang w:val="en-US" w:eastAsia="zh-CN"/>
              </w:rPr>
              <w:t>1500</w:t>
            </w:r>
          </w:p>
        </w:tc>
        <w:tc>
          <w:tcPr>
            <w:tcW w:w="680" w:type="pc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21"/>
                <w:szCs w:val="21"/>
                <w:highlight w:val="none"/>
              </w:rPr>
            </w:pPr>
            <w:r>
              <w:rPr>
                <w:rFonts w:hint="eastAsia" w:eastAsia="仿宋_GB2312" w:cs="Times New Roman"/>
                <w:color w:val="auto"/>
                <w:kern w:val="0"/>
                <w:sz w:val="21"/>
                <w:szCs w:val="21"/>
                <w:highlight w:val="none"/>
                <w:lang w:val="en-US" w:eastAsia="zh-CN"/>
              </w:rPr>
              <w:t>1200</w:t>
            </w:r>
          </w:p>
        </w:tc>
        <w:tc>
          <w:tcPr>
            <w:tcW w:w="394" w:type="pc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21"/>
                <w:szCs w:val="21"/>
                <w:highlight w:val="none"/>
              </w:rPr>
            </w:pPr>
            <w:r>
              <w:rPr>
                <w:rFonts w:hint="eastAsia" w:eastAsia="仿宋_GB2312" w:cs="Times New Roman"/>
                <w:color w:val="auto"/>
                <w:kern w:val="0"/>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4" w:hRule="exact"/>
        </w:trPr>
        <w:tc>
          <w:tcPr>
            <w:tcW w:w="788" w:type="pct"/>
            <w:shd w:val="clear" w:color="auto" w:fill="auto"/>
            <w:vAlign w:val="center"/>
          </w:tcPr>
          <w:p>
            <w:pPr>
              <w:ind w:firstLine="0" w:firstLineChars="0"/>
              <w:jc w:val="center"/>
              <w:rPr>
                <w:rFonts w:hint="eastAsia" w:ascii="Times New Roman" w:hAnsi="Times New Roman" w:eastAsia="仿宋_GB2312" w:cs="Times New Roman"/>
                <w:color w:val="auto"/>
                <w:sz w:val="21"/>
                <w:szCs w:val="21"/>
                <w:highlight w:val="none"/>
                <w:lang w:eastAsia="zh-CN"/>
              </w:rPr>
            </w:pPr>
            <w:r>
              <w:rPr>
                <w:rFonts w:hint="eastAsia" w:eastAsia="仿宋_GB2312" w:cs="Times New Roman"/>
                <w:color w:val="auto"/>
                <w:sz w:val="21"/>
                <w:szCs w:val="21"/>
                <w:highlight w:val="none"/>
                <w:lang w:eastAsia="zh-CN"/>
              </w:rPr>
              <w:t>道路及硬化区</w:t>
            </w:r>
          </w:p>
        </w:tc>
        <w:tc>
          <w:tcPr>
            <w:tcW w:w="715" w:type="pc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1</w:t>
            </w:r>
            <w:r>
              <w:rPr>
                <w:rFonts w:hint="eastAsia" w:eastAsia="仿宋_GB2312" w:cs="Times New Roman"/>
                <w:color w:val="auto"/>
                <w:kern w:val="0"/>
                <w:sz w:val="21"/>
                <w:szCs w:val="21"/>
                <w:highlight w:val="none"/>
                <w:lang w:val="en-US" w:eastAsia="zh-CN"/>
              </w:rPr>
              <w:t>0</w:t>
            </w:r>
            <w:r>
              <w:rPr>
                <w:rFonts w:hint="default" w:ascii="Times New Roman" w:hAnsi="Times New Roman" w:eastAsia="仿宋_GB2312" w:cs="Times New Roman"/>
                <w:color w:val="auto"/>
                <w:kern w:val="0"/>
                <w:sz w:val="21"/>
                <w:szCs w:val="21"/>
                <w:highlight w:val="none"/>
              </w:rPr>
              <w:t>00</w:t>
            </w:r>
          </w:p>
        </w:tc>
        <w:tc>
          <w:tcPr>
            <w:tcW w:w="515" w:type="pc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eastAsia" w:eastAsia="仿宋_GB2312" w:cs="Times New Roman"/>
                <w:color w:val="auto"/>
                <w:kern w:val="0"/>
                <w:sz w:val="21"/>
                <w:szCs w:val="21"/>
                <w:highlight w:val="none"/>
                <w:lang w:val="en-US" w:eastAsia="zh-CN"/>
              </w:rPr>
              <w:t>35</w:t>
            </w:r>
            <w:r>
              <w:rPr>
                <w:rFonts w:hint="default" w:ascii="Times New Roman" w:hAnsi="Times New Roman" w:eastAsia="仿宋_GB2312" w:cs="Times New Roman"/>
                <w:color w:val="auto"/>
                <w:kern w:val="0"/>
                <w:sz w:val="21"/>
                <w:szCs w:val="21"/>
                <w:highlight w:val="none"/>
              </w:rPr>
              <w:t>00</w:t>
            </w:r>
          </w:p>
        </w:tc>
        <w:tc>
          <w:tcPr>
            <w:tcW w:w="700" w:type="pc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w:t>
            </w:r>
          </w:p>
        </w:tc>
        <w:tc>
          <w:tcPr>
            <w:tcW w:w="660" w:type="pc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w:t>
            </w:r>
          </w:p>
        </w:tc>
        <w:tc>
          <w:tcPr>
            <w:tcW w:w="544" w:type="pc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21"/>
                <w:szCs w:val="21"/>
                <w:highlight w:val="none"/>
              </w:rPr>
            </w:pPr>
          </w:p>
        </w:tc>
        <w:tc>
          <w:tcPr>
            <w:tcW w:w="680" w:type="pc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21"/>
                <w:szCs w:val="21"/>
                <w:highlight w:val="none"/>
              </w:rPr>
            </w:pPr>
          </w:p>
        </w:tc>
        <w:tc>
          <w:tcPr>
            <w:tcW w:w="394" w:type="pct"/>
            <w:shd w:val="clear" w:color="auto" w:fill="auto"/>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21"/>
                <w:szCs w:val="21"/>
                <w:highlight w:val="none"/>
              </w:rPr>
            </w:pPr>
          </w:p>
        </w:tc>
      </w:tr>
    </w:tbl>
    <w:p>
      <w:pPr>
        <w:pStyle w:val="69"/>
        <w:spacing w:beforeLines="5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4.3.4 预测结果</w:t>
      </w:r>
    </w:p>
    <w:p>
      <w:pPr>
        <w:pStyle w:val="55"/>
        <w:ind w:firstLine="480"/>
        <w:rPr>
          <w:rFonts w:hint="default" w:ascii="Times New Roman" w:hAnsi="Times New Roman" w:eastAsia="仿宋_GB2312" w:cs="Times New Roman"/>
          <w:color w:val="auto"/>
          <w:highlight w:val="none"/>
        </w:rPr>
      </w:pPr>
      <w:bookmarkStart w:id="108" w:name="_Toc26990"/>
      <w:bookmarkStart w:id="109" w:name="_Toc20665"/>
      <w:r>
        <w:rPr>
          <w:rFonts w:hint="default" w:ascii="Times New Roman" w:hAnsi="Times New Roman" w:eastAsia="仿宋_GB2312" w:cs="Times New Roman"/>
          <w:color w:val="auto"/>
          <w:highlight w:val="none"/>
        </w:rPr>
        <w:t>根据《生产建设项目水土保持技术标准》（GB 50433-2018）确定的土壤流失预测方法，经计算，本项目扰动后产生的流失总量</w:t>
      </w:r>
      <w:r>
        <w:rPr>
          <w:rFonts w:hint="eastAsia" w:cs="Times New Roman"/>
          <w:color w:val="auto"/>
          <w:highlight w:val="none"/>
          <w:lang w:val="en-US" w:eastAsia="zh-CN"/>
        </w:rPr>
        <w:t>35.06</w:t>
      </w:r>
      <w:r>
        <w:rPr>
          <w:rFonts w:hint="eastAsia" w:cs="Times New Roman"/>
          <w:color w:val="auto"/>
          <w:highlight w:val="none"/>
          <w:lang w:eastAsia="zh-CN"/>
        </w:rPr>
        <w:t>t</w:t>
      </w:r>
      <w:r>
        <w:rPr>
          <w:rFonts w:hint="default" w:ascii="Times New Roman" w:hAnsi="Times New Roman" w:eastAsia="仿宋_GB2312" w:cs="Times New Roman"/>
          <w:color w:val="auto"/>
          <w:highlight w:val="none"/>
        </w:rPr>
        <w:t>，其中背景流失量</w:t>
      </w:r>
      <w:r>
        <w:rPr>
          <w:rFonts w:hint="eastAsia" w:cs="Times New Roman"/>
          <w:color w:val="auto"/>
          <w:highlight w:val="none"/>
          <w:lang w:val="en-US" w:eastAsia="zh-CN"/>
        </w:rPr>
        <w:t>16.66</w:t>
      </w:r>
      <w:r>
        <w:rPr>
          <w:rFonts w:hint="default" w:ascii="Times New Roman" w:hAnsi="Times New Roman" w:eastAsia="仿宋_GB2312" w:cs="Times New Roman"/>
          <w:color w:val="auto"/>
          <w:highlight w:val="none"/>
        </w:rPr>
        <w:t>t，新增流失量</w:t>
      </w:r>
      <w:r>
        <w:rPr>
          <w:rFonts w:hint="eastAsia" w:cs="Times New Roman"/>
          <w:color w:val="auto"/>
          <w:highlight w:val="none"/>
          <w:lang w:val="en-US" w:eastAsia="zh-CN"/>
        </w:rPr>
        <w:t>18.40</w:t>
      </w:r>
      <w:r>
        <w:rPr>
          <w:rFonts w:hint="default" w:ascii="Times New Roman" w:hAnsi="Times New Roman" w:eastAsia="仿宋_GB2312" w:cs="Times New Roman"/>
          <w:color w:val="auto"/>
          <w:highlight w:val="none"/>
        </w:rPr>
        <w:t>t。</w:t>
      </w: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br w:type="page"/>
      </w: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表4.3-</w:t>
      </w:r>
      <w:r>
        <w:rPr>
          <w:rFonts w:hint="eastAsia" w:cs="Times New Roman"/>
          <w:color w:val="auto"/>
          <w:highlight w:val="none"/>
          <w:lang w:val="en-US" w:eastAsia="zh-CN"/>
        </w:rPr>
        <w:t>5</w:t>
      </w:r>
      <w:r>
        <w:rPr>
          <w:rFonts w:hint="default" w:ascii="Times New Roman" w:hAnsi="Times New Roman" w:eastAsia="仿宋_GB2312" w:cs="Times New Roman"/>
          <w:color w:val="auto"/>
          <w:highlight w:val="none"/>
        </w:rPr>
        <w:t>本项目水土流失预测结果</w:t>
      </w:r>
    </w:p>
    <w:tbl>
      <w:tblPr>
        <w:tblStyle w:val="25"/>
        <w:tblW w:w="4997" w:type="pct"/>
        <w:tblInd w:w="0" w:type="dxa"/>
        <w:shd w:val="clear" w:color="auto" w:fill="auto"/>
        <w:tblLayout w:type="autofit"/>
        <w:tblCellMar>
          <w:top w:w="0" w:type="dxa"/>
          <w:left w:w="108" w:type="dxa"/>
          <w:bottom w:w="0" w:type="dxa"/>
          <w:right w:w="108" w:type="dxa"/>
        </w:tblCellMar>
      </w:tblPr>
      <w:tblGrid>
        <w:gridCol w:w="587"/>
        <w:gridCol w:w="1250"/>
        <w:gridCol w:w="1116"/>
        <w:gridCol w:w="1192"/>
        <w:gridCol w:w="1582"/>
        <w:gridCol w:w="886"/>
        <w:gridCol w:w="886"/>
        <w:gridCol w:w="865"/>
        <w:gridCol w:w="691"/>
      </w:tblGrid>
      <w:tr>
        <w:tblPrEx>
          <w:shd w:val="clear" w:color="auto" w:fill="auto"/>
          <w:tblCellMar>
            <w:top w:w="0" w:type="dxa"/>
            <w:left w:w="108" w:type="dxa"/>
            <w:bottom w:w="0" w:type="dxa"/>
            <w:right w:w="108" w:type="dxa"/>
          </w:tblCellMar>
        </w:tblPrEx>
        <w:trPr>
          <w:trHeight w:val="369" w:hRule="exact"/>
        </w:trPr>
        <w:tc>
          <w:tcPr>
            <w:tcW w:w="324"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预测单元</w:t>
            </w:r>
          </w:p>
        </w:tc>
        <w:tc>
          <w:tcPr>
            <w:tcW w:w="690"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预测时段</w:t>
            </w:r>
          </w:p>
        </w:tc>
        <w:tc>
          <w:tcPr>
            <w:tcW w:w="616"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土壤侵蚀背景值(t/km².a)</w:t>
            </w:r>
          </w:p>
        </w:tc>
        <w:tc>
          <w:tcPr>
            <w:tcW w:w="65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侵蚀面积(hm²)</w:t>
            </w:r>
          </w:p>
        </w:tc>
        <w:tc>
          <w:tcPr>
            <w:tcW w:w="873"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扰动后土壤侵蚀模数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(t/km².a)</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侵蚀时间(a)</w:t>
            </w:r>
          </w:p>
        </w:tc>
        <w:tc>
          <w:tcPr>
            <w:tcW w:w="489"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背景流失量(t)</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预测流失量(t)</w:t>
            </w:r>
          </w:p>
        </w:tc>
        <w:tc>
          <w:tcPr>
            <w:tcW w:w="381"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新增流失量(t)</w:t>
            </w:r>
          </w:p>
        </w:tc>
      </w:tr>
      <w:tr>
        <w:tblPrEx>
          <w:tblCellMar>
            <w:top w:w="0" w:type="dxa"/>
            <w:left w:w="108" w:type="dxa"/>
            <w:bottom w:w="0" w:type="dxa"/>
            <w:right w:w="108" w:type="dxa"/>
          </w:tblCellMar>
        </w:tblPrEx>
        <w:trPr>
          <w:trHeight w:val="369" w:hRule="exact"/>
        </w:trPr>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69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r>
      <w:tr>
        <w:tblPrEx>
          <w:tblCellMar>
            <w:top w:w="0" w:type="dxa"/>
            <w:left w:w="108" w:type="dxa"/>
            <w:bottom w:w="0" w:type="dxa"/>
            <w:right w:w="108" w:type="dxa"/>
          </w:tblCellMar>
        </w:tblPrEx>
        <w:trPr>
          <w:trHeight w:val="369" w:hRule="exact"/>
        </w:trPr>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69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r>
      <w:tr>
        <w:tblPrEx>
          <w:tblCellMar>
            <w:top w:w="0" w:type="dxa"/>
            <w:left w:w="108" w:type="dxa"/>
            <w:bottom w:w="0" w:type="dxa"/>
            <w:right w:w="108" w:type="dxa"/>
          </w:tblCellMar>
        </w:tblPrEx>
        <w:trPr>
          <w:trHeight w:val="312" w:hRule="exact"/>
        </w:trPr>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690"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489"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r>
      <w:tr>
        <w:tblPrEx>
          <w:tblCellMar>
            <w:top w:w="0" w:type="dxa"/>
            <w:left w:w="108" w:type="dxa"/>
            <w:bottom w:w="0" w:type="dxa"/>
            <w:right w:w="108" w:type="dxa"/>
          </w:tblCellMar>
        </w:tblPrEx>
        <w:trPr>
          <w:trHeight w:val="369" w:hRule="exact"/>
        </w:trPr>
        <w:tc>
          <w:tcPr>
            <w:tcW w:w="324"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建筑物区</w:t>
            </w: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施工期</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1000.00 </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0.25 </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3500 </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1.00 </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2.50 </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8.75 </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6.25 </w:t>
            </w:r>
          </w:p>
        </w:tc>
      </w:tr>
      <w:tr>
        <w:tblPrEx>
          <w:tblCellMar>
            <w:top w:w="0" w:type="dxa"/>
            <w:left w:w="108" w:type="dxa"/>
            <w:bottom w:w="0" w:type="dxa"/>
            <w:right w:w="108" w:type="dxa"/>
          </w:tblCellMar>
        </w:tblPrEx>
        <w:trPr>
          <w:trHeight w:val="567" w:hRule="exact"/>
        </w:trPr>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自然恢复期第一年</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1000.00 </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0.25 </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2500 </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1.00 </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2.50 </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6.25 </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3.75 </w:t>
            </w:r>
          </w:p>
        </w:tc>
      </w:tr>
      <w:tr>
        <w:tblPrEx>
          <w:tblCellMar>
            <w:top w:w="0" w:type="dxa"/>
            <w:left w:w="108" w:type="dxa"/>
            <w:bottom w:w="0" w:type="dxa"/>
            <w:right w:w="108" w:type="dxa"/>
          </w:tblCellMar>
        </w:tblPrEx>
        <w:trPr>
          <w:trHeight w:val="559" w:hRule="exact"/>
        </w:trPr>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自然恢复期第二年</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1000.00 </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0.25 </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2000 </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1.00 </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2.50 </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5.00 </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2.50 </w:t>
            </w:r>
          </w:p>
        </w:tc>
      </w:tr>
      <w:tr>
        <w:tblPrEx>
          <w:tblCellMar>
            <w:top w:w="0" w:type="dxa"/>
            <w:left w:w="108" w:type="dxa"/>
            <w:bottom w:w="0" w:type="dxa"/>
            <w:right w:w="108" w:type="dxa"/>
          </w:tblCellMar>
        </w:tblPrEx>
        <w:trPr>
          <w:trHeight w:val="567" w:hRule="exact"/>
        </w:trPr>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自然恢复期第三年</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1000.00 </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0.25 </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1500 </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1.00 </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2.50 </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3.75 </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1.25 </w:t>
            </w:r>
          </w:p>
        </w:tc>
      </w:tr>
      <w:tr>
        <w:tblPrEx>
          <w:tblCellMar>
            <w:top w:w="0" w:type="dxa"/>
            <w:left w:w="108" w:type="dxa"/>
            <w:bottom w:w="0" w:type="dxa"/>
            <w:right w:w="108" w:type="dxa"/>
          </w:tblCellMar>
        </w:tblPrEx>
        <w:trPr>
          <w:trHeight w:val="552" w:hRule="exact"/>
        </w:trPr>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自然恢复期第四年</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1000.00 </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0.25 </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1200 </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1.00 </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2.50 </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3.00 </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0.50 </w:t>
            </w:r>
          </w:p>
        </w:tc>
      </w:tr>
      <w:tr>
        <w:tblPrEx>
          <w:tblCellMar>
            <w:top w:w="0" w:type="dxa"/>
            <w:left w:w="108" w:type="dxa"/>
            <w:bottom w:w="0" w:type="dxa"/>
            <w:right w:w="108" w:type="dxa"/>
          </w:tblCellMar>
        </w:tblPrEx>
        <w:trPr>
          <w:trHeight w:val="552" w:hRule="exact"/>
        </w:trPr>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自然恢复期第五年</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1000.00 </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0.25 </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1000 </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1.00 </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2.50 </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2.50 </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0.00 </w:t>
            </w:r>
          </w:p>
        </w:tc>
      </w:tr>
      <w:tr>
        <w:tblPrEx>
          <w:tblCellMar>
            <w:top w:w="0" w:type="dxa"/>
            <w:left w:w="108" w:type="dxa"/>
            <w:bottom w:w="0" w:type="dxa"/>
            <w:right w:w="108" w:type="dxa"/>
          </w:tblCellMar>
        </w:tblPrEx>
        <w:trPr>
          <w:trHeight w:val="369" w:hRule="exact"/>
        </w:trPr>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小计</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15.00 </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29.25 </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14.25 </w:t>
            </w:r>
          </w:p>
        </w:tc>
      </w:tr>
      <w:tr>
        <w:tblPrEx>
          <w:tblCellMar>
            <w:top w:w="0" w:type="dxa"/>
            <w:left w:w="108" w:type="dxa"/>
            <w:bottom w:w="0" w:type="dxa"/>
            <w:right w:w="108" w:type="dxa"/>
          </w:tblCellMar>
        </w:tblPrEx>
        <w:trPr>
          <w:trHeight w:val="369" w:hRule="exact"/>
        </w:trPr>
        <w:tc>
          <w:tcPr>
            <w:tcW w:w="324"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r>
              <w:rPr>
                <w:rFonts w:hint="eastAsia" w:ascii="Times New Roman" w:hAnsi="Times New Roman" w:eastAsia="仿宋_GB2312" w:cs="Times New Roman"/>
                <w:color w:val="auto"/>
                <w:sz w:val="21"/>
                <w:szCs w:val="21"/>
                <w:highlight w:val="none"/>
                <w:lang w:val="en-US" w:eastAsia="zh-CN"/>
              </w:rPr>
              <w:t>道路及硬化区</w:t>
            </w: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施工期</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1000.00 </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0.20 </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3500 </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0.83 </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1.66 </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5.81 </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4.15 </w:t>
            </w:r>
          </w:p>
        </w:tc>
      </w:tr>
      <w:tr>
        <w:tblPrEx>
          <w:tblCellMar>
            <w:top w:w="0" w:type="dxa"/>
            <w:left w:w="108" w:type="dxa"/>
            <w:bottom w:w="0" w:type="dxa"/>
            <w:right w:w="108" w:type="dxa"/>
          </w:tblCellMar>
        </w:tblPrEx>
        <w:trPr>
          <w:trHeight w:val="1270" w:hRule="exact"/>
        </w:trPr>
        <w:tc>
          <w:tcPr>
            <w:tcW w:w="32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eastAsia="zh-CN"/>
              </w:rPr>
            </w:pP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小计</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1.66 </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5.81 </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4.15 </w:t>
            </w:r>
          </w:p>
        </w:tc>
      </w:tr>
      <w:tr>
        <w:tblPrEx>
          <w:tblCellMar>
            <w:top w:w="0" w:type="dxa"/>
            <w:left w:w="108" w:type="dxa"/>
            <w:bottom w:w="0" w:type="dxa"/>
            <w:right w:w="108" w:type="dxa"/>
          </w:tblCellMar>
        </w:tblPrEx>
        <w:trPr>
          <w:trHeight w:val="503" w:hRule="exact"/>
        </w:trPr>
        <w:tc>
          <w:tcPr>
            <w:tcW w:w="324"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合计</w:t>
            </w: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16.66 </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35.06 </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color w:val="auto"/>
                <w:sz w:val="21"/>
                <w:szCs w:val="21"/>
                <w:highlight w:val="none"/>
                <w:lang w:eastAsia="zh-CN"/>
              </w:rPr>
            </w:pPr>
            <w:r>
              <w:rPr>
                <w:rFonts w:hint="default" w:ascii="Times New Roman" w:hAnsi="Times New Roman" w:eastAsia="仿宋_GB2312" w:cs="Times New Roman"/>
                <w:color w:val="auto"/>
                <w:sz w:val="21"/>
                <w:szCs w:val="21"/>
                <w:highlight w:val="none"/>
                <w:lang w:val="en-US" w:eastAsia="zh-CN"/>
              </w:rPr>
              <w:t xml:space="preserve">18.40 </w:t>
            </w:r>
          </w:p>
        </w:tc>
      </w:tr>
    </w:tbl>
    <w:p>
      <w:pPr>
        <w:pStyle w:val="66"/>
        <w:ind w:firstLine="148"/>
        <w:rPr>
          <w:rFonts w:hint="default" w:ascii="Times New Roman" w:hAnsi="Times New Roman" w:eastAsia="仿宋_GB2312" w:cs="Times New Roman"/>
          <w:color w:val="auto"/>
          <w:highlight w:val="none"/>
        </w:rPr>
      </w:pPr>
      <w:bookmarkStart w:id="110" w:name="_Toc14417"/>
      <w:r>
        <w:rPr>
          <w:rFonts w:hint="default" w:ascii="Times New Roman" w:hAnsi="Times New Roman" w:eastAsia="仿宋_GB2312" w:cs="Times New Roman"/>
          <w:color w:val="auto"/>
          <w:highlight w:val="none"/>
        </w:rPr>
        <w:t>4.4 水土流失危害分析</w:t>
      </w:r>
      <w:bookmarkEnd w:id="108"/>
      <w:bookmarkEnd w:id="109"/>
      <w:bookmarkEnd w:id="110"/>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根据本项目地形地貌和施工建设的特点，本项目建设不会引发泥石流、地面塌陷、大型滑坡等严重生态影响。但本项目建设过程中</w:t>
      </w:r>
      <w:r>
        <w:rPr>
          <w:rFonts w:hint="eastAsia" w:cs="Times New Roman"/>
          <w:color w:val="auto"/>
          <w:highlight w:val="none"/>
          <w:lang w:eastAsia="zh-CN"/>
        </w:rPr>
        <w:t>土地平整</w:t>
      </w:r>
      <w:r>
        <w:rPr>
          <w:rFonts w:hint="default" w:ascii="Times New Roman" w:hAnsi="Times New Roman" w:eastAsia="仿宋_GB2312" w:cs="Times New Roman"/>
          <w:color w:val="auto"/>
          <w:highlight w:val="none"/>
        </w:rPr>
        <w:t>、构筑物基础以及管沟开挖回填，建设期间期间占地范围内临时堆土堆料、车辆碾压等活动破坏了地表植被、表层结皮，使项目区地表裸露，使地表失去了原有的抗冲抗蚀能力，从而加剧了项目区的水土流失。若不采取有效的水土流失防治措施，将产生一定的水土流失危害：</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（1）可能造成土地生产力的下降</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土壤生产力的高低与土地理化性质密切相关，本工程建设可能对周边土地生产力的影响体现在如下方面：扰动地表土壤侵蚀强度的增加会使项目区及周边地表组成物质中细粒含量减少，粗粒含量增加，土壤机械组成粗化，有机质流失，进而导致项目区及周边土地生产力降低。</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（2）加大项目区水土流失强度</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根据前文描述的项目区气象资料及区域地表物质组成，工程建设造成区域地表被长期吹蚀及水蚀，改变项目区地表状况，使其丧失抗侵蚀能力，水力侵蚀及风力侵蚀强度将增大。</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（3）对周边环境的影响</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水蚀及风蚀强度的增加，使区域水土流失加剧，周边地表裸露疏松，出现更多扬沙天气，使区域大气环境、水环境和生态环境受到一定影响。</w:t>
      </w:r>
    </w:p>
    <w:p>
      <w:pPr>
        <w:pStyle w:val="66"/>
        <w:ind w:firstLine="148"/>
        <w:rPr>
          <w:rFonts w:hint="default" w:ascii="Times New Roman" w:hAnsi="Times New Roman" w:eastAsia="仿宋_GB2312" w:cs="Times New Roman"/>
          <w:color w:val="auto"/>
          <w:highlight w:val="none"/>
        </w:rPr>
      </w:pPr>
      <w:bookmarkStart w:id="111" w:name="_Toc320819410"/>
      <w:bookmarkStart w:id="112" w:name="_Toc301080363"/>
      <w:bookmarkStart w:id="113" w:name="_Toc289049623"/>
      <w:bookmarkStart w:id="114" w:name="_Toc301080780"/>
      <w:bookmarkStart w:id="115" w:name="_Toc211660632"/>
      <w:bookmarkStart w:id="116" w:name="_Toc229448543"/>
      <w:bookmarkStart w:id="117" w:name="_Toc320819105"/>
      <w:bookmarkStart w:id="118" w:name="_Toc6763"/>
      <w:bookmarkStart w:id="119" w:name="_Toc27621"/>
      <w:bookmarkStart w:id="120" w:name="_Toc16887"/>
      <w:r>
        <w:rPr>
          <w:rFonts w:hint="default" w:ascii="Times New Roman" w:hAnsi="Times New Roman" w:eastAsia="仿宋_GB2312" w:cs="Times New Roman"/>
          <w:color w:val="auto"/>
          <w:highlight w:val="none"/>
        </w:rPr>
        <w:t>4.5</w:t>
      </w:r>
      <w:bookmarkEnd w:id="111"/>
      <w:bookmarkEnd w:id="112"/>
      <w:bookmarkEnd w:id="113"/>
      <w:bookmarkEnd w:id="114"/>
      <w:bookmarkEnd w:id="115"/>
      <w:bookmarkEnd w:id="116"/>
      <w:bookmarkEnd w:id="117"/>
      <w:r>
        <w:rPr>
          <w:rFonts w:hint="default" w:ascii="Times New Roman" w:hAnsi="Times New Roman" w:eastAsia="仿宋_GB2312" w:cs="Times New Roman"/>
          <w:color w:val="auto"/>
          <w:highlight w:val="none"/>
        </w:rPr>
        <w:t>指导性意见</w:t>
      </w:r>
      <w:bookmarkEnd w:id="118"/>
      <w:bookmarkEnd w:id="119"/>
      <w:bookmarkEnd w:id="120"/>
    </w:p>
    <w:p>
      <w:pPr>
        <w:pStyle w:val="69"/>
        <w:rPr>
          <w:rFonts w:hint="default" w:ascii="Times New Roman" w:hAnsi="Times New Roman" w:eastAsia="仿宋_GB2312" w:cs="Times New Roman"/>
          <w:color w:val="auto"/>
          <w:highlight w:val="none"/>
        </w:rPr>
      </w:pPr>
      <w:bookmarkStart w:id="121" w:name="_Toc407014551"/>
      <w:bookmarkStart w:id="122" w:name="_Toc417412337"/>
      <w:r>
        <w:rPr>
          <w:rFonts w:hint="default" w:ascii="Times New Roman" w:hAnsi="Times New Roman" w:eastAsia="仿宋_GB2312" w:cs="Times New Roman"/>
          <w:color w:val="auto"/>
          <w:highlight w:val="none"/>
        </w:rPr>
        <w:t>4.5.1 重点防治区的确定</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根据下表统计分析计算，本项目水土流失防治重点区域为</w:t>
      </w:r>
      <w:r>
        <w:rPr>
          <w:rFonts w:hint="eastAsia" w:cs="Times New Roman"/>
          <w:color w:val="auto"/>
          <w:highlight w:val="none"/>
          <w:lang w:eastAsia="zh-CN"/>
        </w:rPr>
        <w:t>建筑物区</w:t>
      </w:r>
      <w:r>
        <w:rPr>
          <w:rFonts w:hint="default" w:ascii="Times New Roman" w:hAnsi="Times New Roman" w:eastAsia="仿宋_GB2312" w:cs="Times New Roman"/>
          <w:color w:val="auto"/>
          <w:highlight w:val="none"/>
        </w:rPr>
        <w:t>。上述区域水土流失影响范围大，土壤侵蚀量较大，因此硬化区应为项目水土流失防治和监测的重点区域。水土流失重点时段为施工期。</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各预测时段水土流失量汇总表，见表4.5-1。</w:t>
      </w: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表4.5-1各预测时段水土流失量汇总表</w:t>
      </w:r>
    </w:p>
    <w:tbl>
      <w:tblPr>
        <w:tblStyle w:val="25"/>
        <w:tblW w:w="5000" w:type="pct"/>
        <w:tblInd w:w="0" w:type="dxa"/>
        <w:shd w:val="clear" w:color="auto" w:fill="auto"/>
        <w:tblLayout w:type="autofit"/>
        <w:tblCellMar>
          <w:top w:w="0" w:type="dxa"/>
          <w:left w:w="108" w:type="dxa"/>
          <w:bottom w:w="0" w:type="dxa"/>
          <w:right w:w="108" w:type="dxa"/>
        </w:tblCellMar>
      </w:tblPr>
      <w:tblGrid>
        <w:gridCol w:w="2486"/>
        <w:gridCol w:w="2188"/>
        <w:gridCol w:w="1777"/>
        <w:gridCol w:w="1316"/>
        <w:gridCol w:w="1293"/>
      </w:tblGrid>
      <w:tr>
        <w:tblPrEx>
          <w:shd w:val="clear" w:color="auto" w:fill="auto"/>
          <w:tblCellMar>
            <w:top w:w="0" w:type="dxa"/>
            <w:left w:w="108" w:type="dxa"/>
            <w:bottom w:w="0" w:type="dxa"/>
            <w:right w:w="108" w:type="dxa"/>
          </w:tblCellMar>
        </w:tblPrEx>
        <w:trPr>
          <w:trHeight w:val="586" w:hRule="exact"/>
        </w:trPr>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预测单元</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背景流失量（t）</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调查流失总量（t）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新增流失量（t）</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新增百分比（%）</w:t>
            </w:r>
          </w:p>
        </w:tc>
      </w:tr>
      <w:tr>
        <w:tblPrEx>
          <w:tblCellMar>
            <w:top w:w="0" w:type="dxa"/>
            <w:left w:w="108" w:type="dxa"/>
            <w:bottom w:w="0" w:type="dxa"/>
            <w:right w:w="108" w:type="dxa"/>
          </w:tblCellMar>
        </w:tblPrEx>
        <w:trPr>
          <w:trHeight w:val="369" w:hRule="exact"/>
        </w:trPr>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施工期</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4.16 </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14.56 </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10.40 </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56.52 </w:t>
            </w:r>
          </w:p>
        </w:tc>
      </w:tr>
      <w:tr>
        <w:tblPrEx>
          <w:tblCellMar>
            <w:top w:w="0" w:type="dxa"/>
            <w:left w:w="108" w:type="dxa"/>
            <w:bottom w:w="0" w:type="dxa"/>
            <w:right w:w="108" w:type="dxa"/>
          </w:tblCellMar>
        </w:tblPrEx>
        <w:trPr>
          <w:trHeight w:val="369" w:hRule="exact"/>
        </w:trPr>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自然恢复期（第一年）</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2.50 </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6.25 </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3.75 </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20.38 </w:t>
            </w:r>
          </w:p>
        </w:tc>
      </w:tr>
      <w:tr>
        <w:tblPrEx>
          <w:tblCellMar>
            <w:top w:w="0" w:type="dxa"/>
            <w:left w:w="108" w:type="dxa"/>
            <w:bottom w:w="0" w:type="dxa"/>
            <w:right w:w="108" w:type="dxa"/>
          </w:tblCellMar>
        </w:tblPrEx>
        <w:trPr>
          <w:trHeight w:val="369" w:hRule="exact"/>
        </w:trPr>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自然恢复期（第二年）</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2.50 </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5.00 </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2.50 </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13.59 </w:t>
            </w:r>
          </w:p>
        </w:tc>
      </w:tr>
      <w:tr>
        <w:tblPrEx>
          <w:tblCellMar>
            <w:top w:w="0" w:type="dxa"/>
            <w:left w:w="108" w:type="dxa"/>
            <w:bottom w:w="0" w:type="dxa"/>
            <w:right w:w="108" w:type="dxa"/>
          </w:tblCellMar>
        </w:tblPrEx>
        <w:trPr>
          <w:trHeight w:val="369" w:hRule="exact"/>
        </w:trPr>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自然恢复期（第三年）</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2.50 </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3.75 </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1.25 </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6.79 </w:t>
            </w:r>
          </w:p>
        </w:tc>
      </w:tr>
      <w:tr>
        <w:tblPrEx>
          <w:tblCellMar>
            <w:top w:w="0" w:type="dxa"/>
            <w:left w:w="108" w:type="dxa"/>
            <w:bottom w:w="0" w:type="dxa"/>
            <w:right w:w="108" w:type="dxa"/>
          </w:tblCellMar>
        </w:tblPrEx>
        <w:trPr>
          <w:trHeight w:val="369" w:hRule="exact"/>
        </w:trPr>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自然恢复期（第四年）</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2.50 </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3.00 </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0.50 </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2.72 </w:t>
            </w:r>
          </w:p>
        </w:tc>
      </w:tr>
      <w:tr>
        <w:tblPrEx>
          <w:tblCellMar>
            <w:top w:w="0" w:type="dxa"/>
            <w:left w:w="108" w:type="dxa"/>
            <w:bottom w:w="0" w:type="dxa"/>
            <w:right w:w="108" w:type="dxa"/>
          </w:tblCellMar>
        </w:tblPrEx>
        <w:trPr>
          <w:trHeight w:val="369" w:hRule="exact"/>
        </w:trPr>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自然恢复期（第五年）</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2.50 </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2.50 </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0.00 </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0.00 </w:t>
            </w:r>
          </w:p>
        </w:tc>
      </w:tr>
      <w:tr>
        <w:tblPrEx>
          <w:tblCellMar>
            <w:top w:w="0" w:type="dxa"/>
            <w:left w:w="108" w:type="dxa"/>
            <w:bottom w:w="0" w:type="dxa"/>
            <w:right w:w="108" w:type="dxa"/>
          </w:tblCellMar>
        </w:tblPrEx>
        <w:trPr>
          <w:trHeight w:val="369" w:hRule="exact"/>
        </w:trPr>
        <w:tc>
          <w:tcPr>
            <w:tcW w:w="13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合计</w:t>
            </w:r>
          </w:p>
        </w:tc>
        <w:tc>
          <w:tcPr>
            <w:tcW w:w="12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16.66 </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35.06 </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18.40 </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100.00 </w:t>
            </w:r>
          </w:p>
        </w:tc>
      </w:tr>
    </w:tbl>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各预测单元水土流失量汇总表，见表4.5-2。</w:t>
      </w:r>
    </w:p>
    <w:p>
      <w:pPr>
        <w:pStyle w:val="76"/>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表</w:t>
      </w:r>
      <w:r>
        <w:rPr>
          <w:rFonts w:hint="default" w:ascii="Times New Roman" w:hAnsi="Times New Roman" w:eastAsia="仿宋_GB2312" w:cs="Times New Roman"/>
          <w:color w:val="auto"/>
          <w:highlight w:val="none"/>
        </w:rPr>
        <w:t>4</w:t>
      </w:r>
      <w:r>
        <w:rPr>
          <w:rFonts w:hint="default" w:ascii="Times New Roman" w:hAnsi="Times New Roman" w:eastAsia="仿宋_GB2312" w:cs="Times New Roman"/>
          <w:snapToGrid w:val="0"/>
          <w:color w:val="auto"/>
          <w:kern w:val="24"/>
          <w:highlight w:val="none"/>
        </w:rPr>
        <w:t>.5-2各预测单元水土流失量汇总表</w:t>
      </w:r>
    </w:p>
    <w:tbl>
      <w:tblPr>
        <w:tblStyle w:val="25"/>
        <w:tblW w:w="4997" w:type="pct"/>
        <w:tblInd w:w="0" w:type="dxa"/>
        <w:shd w:val="clear" w:color="auto" w:fill="auto"/>
        <w:tblLayout w:type="autofit"/>
        <w:tblCellMar>
          <w:top w:w="0" w:type="dxa"/>
          <w:left w:w="108" w:type="dxa"/>
          <w:bottom w:w="0" w:type="dxa"/>
          <w:right w:w="108" w:type="dxa"/>
        </w:tblCellMar>
      </w:tblPr>
      <w:tblGrid>
        <w:gridCol w:w="2435"/>
        <w:gridCol w:w="1868"/>
        <w:gridCol w:w="1908"/>
        <w:gridCol w:w="1564"/>
        <w:gridCol w:w="1280"/>
      </w:tblGrid>
      <w:tr>
        <w:tblPrEx>
          <w:shd w:val="clear" w:color="auto" w:fill="auto"/>
          <w:tblCellMar>
            <w:top w:w="0" w:type="dxa"/>
            <w:left w:w="108" w:type="dxa"/>
            <w:bottom w:w="0" w:type="dxa"/>
            <w:right w:w="108" w:type="dxa"/>
          </w:tblCellMar>
        </w:tblPrEx>
        <w:trPr>
          <w:trHeight w:val="517" w:hRule="exact"/>
        </w:trPr>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预测单元</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背景流失量（t）</w:t>
            </w:r>
          </w:p>
        </w:tc>
        <w:tc>
          <w:tcPr>
            <w:tcW w:w="10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调查流失量（t）</w:t>
            </w:r>
          </w:p>
        </w:tc>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新增流失量（t）</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新增百分比（%）</w:t>
            </w:r>
          </w:p>
        </w:tc>
      </w:tr>
      <w:tr>
        <w:tblPrEx>
          <w:tblCellMar>
            <w:top w:w="0" w:type="dxa"/>
            <w:left w:w="108" w:type="dxa"/>
            <w:bottom w:w="0" w:type="dxa"/>
            <w:right w:w="108" w:type="dxa"/>
          </w:tblCellMar>
        </w:tblPrEx>
        <w:trPr>
          <w:trHeight w:val="369" w:hRule="exact"/>
        </w:trPr>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建筑物区</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15.00 </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29.25 </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14.25 </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77.45 </w:t>
            </w:r>
          </w:p>
        </w:tc>
      </w:tr>
      <w:tr>
        <w:tblPrEx>
          <w:tblCellMar>
            <w:top w:w="0" w:type="dxa"/>
            <w:left w:w="108" w:type="dxa"/>
            <w:bottom w:w="0" w:type="dxa"/>
            <w:right w:w="108" w:type="dxa"/>
          </w:tblCellMar>
        </w:tblPrEx>
        <w:trPr>
          <w:trHeight w:val="369" w:hRule="exact"/>
        </w:trPr>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道路及硬化区</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1.66 </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5.81 </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4.15 </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22.55 </w:t>
            </w:r>
          </w:p>
        </w:tc>
      </w:tr>
      <w:tr>
        <w:tblPrEx>
          <w:tblCellMar>
            <w:top w:w="0" w:type="dxa"/>
            <w:left w:w="108" w:type="dxa"/>
            <w:bottom w:w="0" w:type="dxa"/>
            <w:right w:w="108" w:type="dxa"/>
          </w:tblCellMar>
        </w:tblPrEx>
        <w:trPr>
          <w:trHeight w:val="369" w:hRule="exact"/>
        </w:trPr>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合计</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16.66 </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35.06 </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18.40 </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 xml:space="preserve">100.00 </w:t>
            </w:r>
          </w:p>
        </w:tc>
      </w:tr>
    </w:tbl>
    <w:p>
      <w:pPr>
        <w:pStyle w:val="76"/>
        <w:rPr>
          <w:rFonts w:hint="default" w:ascii="Times New Roman" w:hAnsi="Times New Roman" w:eastAsia="仿宋_GB2312" w:cs="Times New Roman"/>
          <w:snapToGrid w:val="0"/>
          <w:color w:val="auto"/>
          <w:kern w:val="24"/>
          <w:highlight w:val="none"/>
        </w:rPr>
      </w:pP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4.5.2 指导意见</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本项目主体工程建设区地貌单元为冲洪积平原区，水土流失类型为</w:t>
      </w:r>
      <w:r>
        <w:rPr>
          <w:rFonts w:hint="eastAsia" w:cs="Times New Roman"/>
          <w:color w:val="auto"/>
          <w:highlight w:val="none"/>
          <w:lang w:eastAsia="zh-CN"/>
        </w:rPr>
        <w:t>轻</w:t>
      </w:r>
      <w:r>
        <w:rPr>
          <w:rFonts w:hint="default" w:ascii="Times New Roman" w:hAnsi="Times New Roman" w:eastAsia="仿宋_GB2312" w:cs="Times New Roman"/>
          <w:color w:val="auto"/>
          <w:highlight w:val="none"/>
        </w:rPr>
        <w:t>度风力侵蚀。工程建设过程中破坏地表植被和结皮，以及临时堆土堆置都产生了一定的水土流失。因此，做好工程建设过程中扰动区域的防护和恢复，是项目建设水土保持主要工作内容。根据以上调查内容和结果进行综合分析，针对项目设计的本方案防护措施等工作提出如下的指导意见：</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（1）防治措施的指导意见</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项目建设产生水土流失的因素很多，如：地面坡度、地表组成物质与结构、风力、降雨强度等，都是造成水土流失的主导因素。项目区内原地表土壤侵蚀类型以轻度侵蚀为主，工程建设扰动地表后新增土壤侵蚀量较大，工程建设过程中采取一系列的水土保持防治措施，有效减轻由于工程建设造成的水土流失。建设单位在后期的建设过程中应积极落实主体工程设计及方案新增水土保持防护措施，优化施工工艺，根据工程实际情况，工程建设过程中积极采取一定的临时防护措施，在项目建设区能够实施植物措施的区域尽可能的采取一些植物措施，并制定相关组织管理措施，加强项目区水土保持措施后续管理及维护工作。</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加强宣传，增强工作人员的水土保持意识，工程建设运行要把水土保持宣传工作放在重要位置，加强宣传水土保持有关的法律，加强水土保持教育，增强水土保持意识。</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（2）施工时序的指导意见</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施工期水土流失主要集中在4～9月份，因此在主体施工安排时，各区域土建部分施工应尽量避开降雨天气。对在降雨期间不得不实施的工程必须做好防护措施，使水土保持工程与主体工程在施工时相互配套，特别做好临时防护工程，减少施工中的水土流失。</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虽然工程建设存在着损坏原地貌、临时堆土以及开挖边坡等可能造成水土流失的不利因素，但通过制定科学的水土保持方案，采取相应的对策措施，对可能造成的水土流失进行积极有效的防治，是可以减少因工程建设所引起的水土流失并降低其不利影响的。</w:t>
      </w:r>
    </w:p>
    <w:p>
      <w:pPr>
        <w:pStyle w:val="55"/>
        <w:ind w:firstLine="480"/>
        <w:rPr>
          <w:rFonts w:hint="default" w:ascii="Times New Roman" w:hAnsi="Times New Roman" w:eastAsia="仿宋_GB2312" w:cs="Times New Roman"/>
          <w:color w:val="auto"/>
          <w:highlight w:val="none"/>
        </w:rPr>
      </w:pPr>
    </w:p>
    <w:p>
      <w:pPr>
        <w:pStyle w:val="55"/>
        <w:ind w:firstLine="480"/>
        <w:rPr>
          <w:rFonts w:hint="default" w:ascii="Times New Roman" w:hAnsi="Times New Roman" w:eastAsia="仿宋_GB2312" w:cs="Times New Roman"/>
          <w:color w:val="auto"/>
          <w:highlight w:val="none"/>
        </w:rPr>
        <w:sectPr>
          <w:headerReference r:id="rId25"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bookmarkEnd w:id="121"/>
    <w:bookmarkEnd w:id="122"/>
    <w:p>
      <w:pPr>
        <w:pStyle w:val="65"/>
        <w:rPr>
          <w:rFonts w:hint="default" w:ascii="Times New Roman" w:hAnsi="Times New Roman" w:eastAsia="仿宋_GB2312" w:cs="Times New Roman"/>
          <w:color w:val="auto"/>
          <w:highlight w:val="none"/>
        </w:rPr>
      </w:pPr>
      <w:bookmarkStart w:id="123" w:name="_Toc28539"/>
      <w:r>
        <w:rPr>
          <w:rFonts w:hint="default" w:ascii="Times New Roman" w:hAnsi="Times New Roman" w:eastAsia="仿宋_GB2312" w:cs="Times New Roman"/>
          <w:color w:val="auto"/>
          <w:highlight w:val="none"/>
        </w:rPr>
        <w:t>5 水土保持措施</w:t>
      </w:r>
      <w:bookmarkEnd w:id="123"/>
    </w:p>
    <w:p>
      <w:pPr>
        <w:pStyle w:val="66"/>
        <w:ind w:firstLine="148"/>
        <w:rPr>
          <w:rFonts w:hint="default" w:ascii="Times New Roman" w:hAnsi="Times New Roman" w:eastAsia="仿宋_GB2312" w:cs="Times New Roman"/>
          <w:color w:val="auto"/>
          <w:highlight w:val="none"/>
        </w:rPr>
      </w:pPr>
      <w:bookmarkStart w:id="124" w:name="_Toc417412338"/>
      <w:bookmarkStart w:id="125" w:name="_Toc407014552"/>
      <w:bookmarkStart w:id="126" w:name="_Toc26934"/>
      <w:r>
        <w:rPr>
          <w:rFonts w:hint="default" w:ascii="Times New Roman" w:hAnsi="Times New Roman" w:eastAsia="仿宋_GB2312" w:cs="Times New Roman"/>
          <w:color w:val="auto"/>
          <w:highlight w:val="none"/>
        </w:rPr>
        <w:t xml:space="preserve">5.1 </w:t>
      </w:r>
      <w:bookmarkEnd w:id="124"/>
      <w:bookmarkEnd w:id="125"/>
      <w:r>
        <w:rPr>
          <w:rFonts w:hint="default" w:ascii="Times New Roman" w:hAnsi="Times New Roman" w:eastAsia="仿宋_GB2312" w:cs="Times New Roman"/>
          <w:color w:val="auto"/>
          <w:highlight w:val="none"/>
        </w:rPr>
        <w:t>防治区划分</w:t>
      </w:r>
      <w:bookmarkEnd w:id="126"/>
    </w:p>
    <w:p>
      <w:pPr>
        <w:pStyle w:val="69"/>
        <w:rPr>
          <w:rFonts w:hint="default" w:ascii="Times New Roman" w:hAnsi="Times New Roman" w:eastAsia="仿宋_GB2312" w:cs="Times New Roman"/>
          <w:color w:val="auto"/>
          <w:highlight w:val="none"/>
        </w:rPr>
      </w:pPr>
      <w:bookmarkStart w:id="127" w:name="_Toc417412340"/>
      <w:bookmarkStart w:id="128" w:name="_Toc407014554"/>
      <w:r>
        <w:rPr>
          <w:rFonts w:hint="default" w:ascii="Times New Roman" w:hAnsi="Times New Roman" w:eastAsia="仿宋_GB2312" w:cs="Times New Roman"/>
          <w:color w:val="auto"/>
          <w:highlight w:val="none"/>
        </w:rPr>
        <w:t>5.1.1 防治分区依据</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本项目水土流失防治责任范围，项目区地形地貌、地质条件、气候、植被和水土流失特征，结合工程总体布局特征、占地类型及占用方式，造成的水土流失类型、水土流失的重点区域及水土流失防治目标等工程建设特点和人为活动影响情况综合分析进行水土流失防治分区。</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5.1.2 防治分区原则</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防治分区的划定遵循以下原则：</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（1）各区之间具有显著差异性；</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（2）相同分区内造成水土流失的主导因子相近或相似；</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（3）区内扰动特点和扰动后的地表物质形态具有同一性；</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（4）区内气候特征、地表形态和地面物质组成和外营力（侵蚀营力和抗蚀性）等水土流失主导因子相近或相似；</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（5）区内工程建设类别、性质、建设时序和水土流失特点差异性和相似性。</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5.1.3 防治分区结果</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本项目的建设特点及划定的防治责任范围，将水土流失治理区按地貌类型进行分区，在地貌单元内再根据工程建设对水土流失的影响、区域自然条件、工程布局及不同部位水土流失特点等因素，将分区进行细化。按照水土流失类型相同及治理措施基本相近，各区之间差异较大的原则，将本项目的水土流失防治区划分为一个一级防治分区：冲洪积平原区。同时根据各一级分区工程建设特点共划分为</w:t>
      </w:r>
      <w:r>
        <w:rPr>
          <w:rFonts w:hint="eastAsia" w:cs="Times New Roman"/>
          <w:color w:val="auto"/>
          <w:highlight w:val="none"/>
          <w:lang w:val="en-US" w:eastAsia="zh-CN"/>
        </w:rPr>
        <w:t>4</w:t>
      </w:r>
      <w:r>
        <w:rPr>
          <w:rFonts w:hint="default" w:ascii="Times New Roman" w:hAnsi="Times New Roman" w:eastAsia="仿宋_GB2312" w:cs="Times New Roman"/>
          <w:color w:val="auto"/>
          <w:highlight w:val="none"/>
        </w:rPr>
        <w:t>个二级防治分区，包括建筑物区、</w:t>
      </w:r>
      <w:r>
        <w:rPr>
          <w:rFonts w:hint="eastAsia" w:cs="Times New Roman"/>
          <w:color w:val="auto"/>
          <w:highlight w:val="none"/>
          <w:lang w:eastAsia="zh-CN"/>
        </w:rPr>
        <w:t>管线工程区</w:t>
      </w:r>
      <w:r>
        <w:rPr>
          <w:rFonts w:hint="default" w:ascii="Times New Roman" w:hAnsi="Times New Roman" w:eastAsia="仿宋_GB2312" w:cs="Times New Roman"/>
          <w:color w:val="auto"/>
          <w:highlight w:val="none"/>
        </w:rPr>
        <w:t>、</w:t>
      </w:r>
      <w:r>
        <w:rPr>
          <w:rFonts w:hint="eastAsia" w:cs="Times New Roman"/>
          <w:color w:val="auto"/>
          <w:highlight w:val="none"/>
          <w:lang w:eastAsia="zh-CN"/>
        </w:rPr>
        <w:t>道路及</w:t>
      </w:r>
      <w:r>
        <w:rPr>
          <w:rFonts w:hint="default" w:ascii="Times New Roman" w:hAnsi="Times New Roman" w:eastAsia="仿宋_GB2312" w:cs="Times New Roman"/>
          <w:color w:val="auto"/>
          <w:highlight w:val="none"/>
        </w:rPr>
        <w:t>硬化区、</w:t>
      </w:r>
      <w:r>
        <w:rPr>
          <w:rFonts w:hint="eastAsia" w:cs="Times New Roman"/>
          <w:color w:val="auto"/>
          <w:highlight w:val="none"/>
          <w:lang w:eastAsia="zh-CN"/>
        </w:rPr>
        <w:t>施工生产生活区</w:t>
      </w:r>
      <w:r>
        <w:rPr>
          <w:rFonts w:hint="default" w:ascii="Times New Roman" w:hAnsi="Times New Roman" w:eastAsia="仿宋_GB2312" w:cs="Times New Roman"/>
          <w:color w:val="auto"/>
          <w:highlight w:val="none"/>
        </w:rPr>
        <w:t>（重复占地）</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本项目水土流失防治分区表，见表5.1-1。</w:t>
      </w:r>
    </w:p>
    <w:p>
      <w:pPr>
        <w:pStyle w:val="76"/>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br w:type="page"/>
      </w:r>
    </w:p>
    <w:p>
      <w:pPr>
        <w:pStyle w:val="76"/>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表</w:t>
      </w:r>
      <w:r>
        <w:rPr>
          <w:rFonts w:hint="default" w:ascii="Times New Roman" w:hAnsi="Times New Roman" w:eastAsia="仿宋_GB2312" w:cs="Times New Roman"/>
          <w:color w:val="auto"/>
          <w:highlight w:val="none"/>
        </w:rPr>
        <w:t>5.1-1按区域划分</w:t>
      </w:r>
      <w:r>
        <w:rPr>
          <w:rFonts w:hint="default" w:ascii="Times New Roman" w:hAnsi="Times New Roman" w:eastAsia="仿宋_GB2312" w:cs="Times New Roman"/>
          <w:snapToGrid w:val="0"/>
          <w:color w:val="auto"/>
          <w:kern w:val="24"/>
          <w:highlight w:val="none"/>
        </w:rPr>
        <w:t>水土流失防治分区表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49"/>
        <w:gridCol w:w="2158"/>
        <w:gridCol w:w="1841"/>
        <w:gridCol w:w="2404"/>
        <w:gridCol w:w="130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8" w:hRule="exact"/>
          <w:jc w:val="center"/>
        </w:trPr>
        <w:tc>
          <w:tcPr>
            <w:tcW w:w="745" w:type="pct"/>
            <w:shd w:val="clear" w:color="auto" w:fill="auto"/>
            <w:noWrap/>
            <w:vAlign w:val="center"/>
          </w:tcPr>
          <w:p>
            <w:pPr>
              <w:pStyle w:val="84"/>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一级分区</w:t>
            </w:r>
          </w:p>
        </w:tc>
        <w:tc>
          <w:tcPr>
            <w:tcW w:w="1190" w:type="pct"/>
            <w:shd w:val="clear" w:color="auto" w:fill="auto"/>
            <w:noWrap/>
            <w:vAlign w:val="center"/>
          </w:tcPr>
          <w:p>
            <w:pPr>
              <w:pStyle w:val="84"/>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二级分区</w:t>
            </w:r>
          </w:p>
        </w:tc>
        <w:tc>
          <w:tcPr>
            <w:tcW w:w="1016" w:type="pct"/>
            <w:shd w:val="clear" w:color="auto" w:fill="auto"/>
            <w:noWrap/>
            <w:vAlign w:val="center"/>
          </w:tcPr>
          <w:p>
            <w:pPr>
              <w:pStyle w:val="84"/>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分区面积</w:t>
            </w:r>
          </w:p>
        </w:tc>
        <w:tc>
          <w:tcPr>
            <w:tcW w:w="1327" w:type="pct"/>
            <w:shd w:val="clear" w:color="auto" w:fill="auto"/>
            <w:noWrap/>
            <w:vAlign w:val="center"/>
          </w:tcPr>
          <w:p>
            <w:pPr>
              <w:pStyle w:val="84"/>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分区特点</w:t>
            </w:r>
          </w:p>
        </w:tc>
        <w:tc>
          <w:tcPr>
            <w:tcW w:w="719" w:type="pct"/>
            <w:shd w:val="clear" w:color="auto" w:fill="auto"/>
            <w:noWrap/>
            <w:vAlign w:val="center"/>
          </w:tcPr>
          <w:p>
            <w:pPr>
              <w:pStyle w:val="84"/>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行政区划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8" w:hRule="exact"/>
          <w:jc w:val="center"/>
        </w:trPr>
        <w:tc>
          <w:tcPr>
            <w:tcW w:w="745" w:type="pct"/>
            <w:vMerge w:val="restart"/>
            <w:shd w:val="clear" w:color="auto" w:fill="auto"/>
            <w:vAlign w:val="center"/>
          </w:tcPr>
          <w:p>
            <w:pPr>
              <w:pStyle w:val="84"/>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冲洪积平原</w:t>
            </w:r>
          </w:p>
        </w:tc>
        <w:tc>
          <w:tcPr>
            <w:tcW w:w="1190" w:type="pct"/>
            <w:shd w:val="clear" w:color="auto" w:fill="auto"/>
            <w:noWrap/>
            <w:vAlign w:val="center"/>
          </w:tcPr>
          <w:p>
            <w:pPr>
              <w:pStyle w:val="84"/>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建筑物区</w:t>
            </w:r>
          </w:p>
        </w:tc>
        <w:tc>
          <w:tcPr>
            <w:tcW w:w="1016" w:type="pct"/>
            <w:shd w:val="clear" w:color="auto" w:fill="auto"/>
            <w:noWrap/>
            <w:vAlign w:val="center"/>
          </w:tcPr>
          <w:p>
            <w:pPr>
              <w:ind w:left="0" w:leftChars="0" w:firstLine="0" w:firstLineChars="0"/>
              <w:jc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sz w:val="21"/>
                <w:szCs w:val="21"/>
                <w:highlight w:val="none"/>
                <w:lang w:val="en-US" w:eastAsia="zh-CN"/>
              </w:rPr>
              <w:t>0.25hm²</w:t>
            </w:r>
          </w:p>
        </w:tc>
        <w:tc>
          <w:tcPr>
            <w:tcW w:w="1327" w:type="pct"/>
            <w:vMerge w:val="restart"/>
            <w:shd w:val="clear" w:color="auto" w:fill="auto"/>
            <w:vAlign w:val="center"/>
          </w:tcPr>
          <w:p>
            <w:pPr>
              <w:pStyle w:val="84"/>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分区按扰特点相同，施工工艺相同，施工时序在同一时间确定。</w:t>
            </w:r>
          </w:p>
        </w:tc>
        <w:tc>
          <w:tcPr>
            <w:tcW w:w="719" w:type="pct"/>
            <w:vMerge w:val="restart"/>
            <w:shd w:val="clear" w:color="auto" w:fill="auto"/>
            <w:vAlign w:val="center"/>
          </w:tcPr>
          <w:p>
            <w:pPr>
              <w:pStyle w:val="84"/>
              <w:jc w:val="center"/>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和田地区策勒县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8" w:hRule="exact"/>
          <w:jc w:val="center"/>
        </w:trPr>
        <w:tc>
          <w:tcPr>
            <w:tcW w:w="745" w:type="pct"/>
            <w:vMerge w:val="continue"/>
            <w:shd w:val="clear" w:color="auto" w:fill="auto"/>
            <w:vAlign w:val="center"/>
          </w:tcPr>
          <w:p>
            <w:pPr>
              <w:pStyle w:val="84"/>
              <w:jc w:val="center"/>
              <w:rPr>
                <w:rFonts w:hint="default" w:ascii="Times New Roman" w:hAnsi="Times New Roman" w:eastAsia="仿宋_GB2312" w:cs="Times New Roman"/>
                <w:color w:val="auto"/>
                <w:highlight w:val="none"/>
              </w:rPr>
            </w:pPr>
          </w:p>
        </w:tc>
        <w:tc>
          <w:tcPr>
            <w:tcW w:w="1190" w:type="pct"/>
            <w:shd w:val="clear" w:color="auto" w:fill="auto"/>
            <w:noWrap/>
            <w:vAlign w:val="center"/>
          </w:tcPr>
          <w:p>
            <w:pPr>
              <w:pStyle w:val="84"/>
              <w:jc w:val="center"/>
              <w:rPr>
                <w:rFonts w:hint="default" w:ascii="Times New Roman" w:hAnsi="Times New Roman" w:eastAsia="仿宋_GB2312" w:cs="Times New Roman"/>
                <w:color w:val="auto"/>
                <w:highlight w:val="none"/>
              </w:rPr>
            </w:pPr>
            <w:r>
              <w:rPr>
                <w:rFonts w:hint="eastAsia" w:cs="Times New Roman"/>
                <w:color w:val="auto"/>
                <w:highlight w:val="none"/>
                <w:lang w:val="en-US" w:eastAsia="zh-CN"/>
              </w:rPr>
              <w:t>*</w:t>
            </w:r>
            <w:r>
              <w:rPr>
                <w:rFonts w:hint="eastAsia" w:cs="Times New Roman"/>
                <w:color w:val="auto"/>
                <w:highlight w:val="none"/>
                <w:lang w:eastAsia="zh-CN"/>
              </w:rPr>
              <w:t>管线工程</w:t>
            </w:r>
            <w:r>
              <w:rPr>
                <w:rFonts w:hint="default" w:ascii="Times New Roman" w:hAnsi="Times New Roman" w:eastAsia="仿宋_GB2312" w:cs="Times New Roman"/>
                <w:color w:val="auto"/>
                <w:highlight w:val="none"/>
              </w:rPr>
              <w:t>区</w:t>
            </w:r>
          </w:p>
        </w:tc>
        <w:tc>
          <w:tcPr>
            <w:tcW w:w="1016" w:type="pct"/>
            <w:shd w:val="clear" w:color="auto" w:fill="auto"/>
            <w:noWrap/>
            <w:vAlign w:val="center"/>
          </w:tcPr>
          <w:p>
            <w:pPr>
              <w:ind w:left="0" w:leftChars="0" w:firstLine="0" w:firstLineChars="0"/>
              <w:jc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sz w:val="21"/>
                <w:szCs w:val="21"/>
                <w:highlight w:val="none"/>
                <w:lang w:val="en-US" w:eastAsia="zh-CN"/>
              </w:rPr>
              <w:t>0.02hm²</w:t>
            </w:r>
          </w:p>
        </w:tc>
        <w:tc>
          <w:tcPr>
            <w:tcW w:w="1327" w:type="pct"/>
            <w:vMerge w:val="continue"/>
            <w:shd w:val="clear" w:color="auto" w:fill="auto"/>
            <w:vAlign w:val="center"/>
          </w:tcPr>
          <w:p>
            <w:pPr>
              <w:pStyle w:val="84"/>
              <w:jc w:val="center"/>
              <w:rPr>
                <w:rFonts w:hint="default" w:ascii="Times New Roman" w:hAnsi="Times New Roman" w:eastAsia="仿宋_GB2312" w:cs="Times New Roman"/>
                <w:color w:val="auto"/>
                <w:highlight w:val="none"/>
              </w:rPr>
            </w:pPr>
          </w:p>
        </w:tc>
        <w:tc>
          <w:tcPr>
            <w:tcW w:w="719" w:type="pct"/>
            <w:vMerge w:val="continue"/>
            <w:shd w:val="clear" w:color="auto" w:fill="auto"/>
            <w:vAlign w:val="center"/>
          </w:tcPr>
          <w:p>
            <w:pPr>
              <w:pStyle w:val="84"/>
              <w:jc w:val="center"/>
              <w:rPr>
                <w:rFonts w:hint="default" w:ascii="Times New Roman" w:hAnsi="Times New Roman" w:eastAsia="仿宋_GB2312"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8" w:hRule="exact"/>
          <w:jc w:val="center"/>
        </w:trPr>
        <w:tc>
          <w:tcPr>
            <w:tcW w:w="745" w:type="pct"/>
            <w:vMerge w:val="continue"/>
            <w:shd w:val="clear" w:color="auto" w:fill="auto"/>
            <w:vAlign w:val="center"/>
          </w:tcPr>
          <w:p>
            <w:pPr>
              <w:pStyle w:val="84"/>
              <w:jc w:val="center"/>
              <w:rPr>
                <w:rFonts w:hint="default" w:ascii="Times New Roman" w:hAnsi="Times New Roman" w:eastAsia="仿宋_GB2312" w:cs="Times New Roman"/>
                <w:color w:val="auto"/>
                <w:highlight w:val="none"/>
              </w:rPr>
            </w:pPr>
          </w:p>
        </w:tc>
        <w:tc>
          <w:tcPr>
            <w:tcW w:w="1190" w:type="pct"/>
            <w:shd w:val="clear" w:color="auto" w:fill="auto"/>
            <w:noWrap/>
            <w:vAlign w:val="center"/>
          </w:tcPr>
          <w:p>
            <w:pPr>
              <w:pStyle w:val="84"/>
              <w:jc w:val="center"/>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道路及硬化区</w:t>
            </w:r>
          </w:p>
        </w:tc>
        <w:tc>
          <w:tcPr>
            <w:tcW w:w="1016" w:type="pct"/>
            <w:shd w:val="clear" w:color="auto" w:fill="auto"/>
            <w:noWrap/>
            <w:vAlign w:val="center"/>
          </w:tcPr>
          <w:p>
            <w:pPr>
              <w:ind w:left="0" w:leftChars="0" w:firstLine="0" w:firstLineChars="0"/>
              <w:jc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sz w:val="21"/>
                <w:szCs w:val="21"/>
                <w:highlight w:val="none"/>
                <w:lang w:val="en-US" w:eastAsia="zh-CN"/>
              </w:rPr>
              <w:t>0.20hm²</w:t>
            </w:r>
          </w:p>
        </w:tc>
        <w:tc>
          <w:tcPr>
            <w:tcW w:w="1327" w:type="pct"/>
            <w:vMerge w:val="continue"/>
            <w:shd w:val="clear" w:color="auto" w:fill="auto"/>
            <w:vAlign w:val="center"/>
          </w:tcPr>
          <w:p>
            <w:pPr>
              <w:pStyle w:val="84"/>
              <w:jc w:val="center"/>
              <w:rPr>
                <w:rFonts w:hint="default" w:ascii="Times New Roman" w:hAnsi="Times New Roman" w:eastAsia="仿宋_GB2312" w:cs="Times New Roman"/>
                <w:color w:val="auto"/>
                <w:highlight w:val="none"/>
              </w:rPr>
            </w:pPr>
          </w:p>
        </w:tc>
        <w:tc>
          <w:tcPr>
            <w:tcW w:w="719" w:type="pct"/>
            <w:vMerge w:val="continue"/>
            <w:shd w:val="clear" w:color="auto" w:fill="auto"/>
            <w:vAlign w:val="center"/>
          </w:tcPr>
          <w:p>
            <w:pPr>
              <w:pStyle w:val="84"/>
              <w:jc w:val="center"/>
              <w:rPr>
                <w:rFonts w:hint="default" w:ascii="Times New Roman" w:hAnsi="Times New Roman" w:eastAsia="仿宋_GB2312"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8" w:hRule="exact"/>
          <w:jc w:val="center"/>
        </w:trPr>
        <w:tc>
          <w:tcPr>
            <w:tcW w:w="745" w:type="pct"/>
            <w:vMerge w:val="continue"/>
            <w:shd w:val="clear" w:color="auto" w:fill="auto"/>
            <w:vAlign w:val="center"/>
          </w:tcPr>
          <w:p>
            <w:pPr>
              <w:pStyle w:val="84"/>
              <w:jc w:val="center"/>
              <w:rPr>
                <w:rFonts w:hint="default" w:ascii="Times New Roman" w:hAnsi="Times New Roman" w:eastAsia="仿宋_GB2312" w:cs="Times New Roman"/>
                <w:color w:val="auto"/>
                <w:highlight w:val="none"/>
              </w:rPr>
            </w:pPr>
          </w:p>
        </w:tc>
        <w:tc>
          <w:tcPr>
            <w:tcW w:w="1190" w:type="pct"/>
            <w:shd w:val="clear" w:color="auto" w:fill="auto"/>
            <w:noWrap/>
            <w:vAlign w:val="center"/>
          </w:tcPr>
          <w:p>
            <w:pPr>
              <w:pStyle w:val="84"/>
              <w:jc w:val="center"/>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w:t>
            </w:r>
            <w:r>
              <w:rPr>
                <w:rFonts w:hint="eastAsia" w:cs="Times New Roman"/>
                <w:color w:val="auto"/>
                <w:highlight w:val="none"/>
                <w:lang w:eastAsia="zh-CN"/>
              </w:rPr>
              <w:t>施工生产生活区</w:t>
            </w:r>
          </w:p>
        </w:tc>
        <w:tc>
          <w:tcPr>
            <w:tcW w:w="1016" w:type="pct"/>
            <w:shd w:val="clear" w:color="auto" w:fill="auto"/>
            <w:noWrap/>
            <w:vAlign w:val="center"/>
          </w:tcPr>
          <w:p>
            <w:pPr>
              <w:ind w:left="0" w:leftChars="0" w:firstLine="0" w:firstLineChars="0"/>
              <w:jc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sz w:val="21"/>
                <w:szCs w:val="21"/>
                <w:highlight w:val="none"/>
                <w:lang w:val="en-US" w:eastAsia="zh-CN"/>
              </w:rPr>
              <w:t>0.02hm²</w:t>
            </w:r>
          </w:p>
        </w:tc>
        <w:tc>
          <w:tcPr>
            <w:tcW w:w="1327" w:type="pct"/>
            <w:vMerge w:val="continue"/>
            <w:shd w:val="clear" w:color="auto" w:fill="auto"/>
            <w:vAlign w:val="center"/>
          </w:tcPr>
          <w:p>
            <w:pPr>
              <w:pStyle w:val="84"/>
              <w:jc w:val="center"/>
              <w:rPr>
                <w:rFonts w:hint="default" w:ascii="Times New Roman" w:hAnsi="Times New Roman" w:eastAsia="仿宋_GB2312" w:cs="Times New Roman"/>
                <w:color w:val="auto"/>
                <w:highlight w:val="none"/>
              </w:rPr>
            </w:pPr>
          </w:p>
        </w:tc>
        <w:tc>
          <w:tcPr>
            <w:tcW w:w="719" w:type="pct"/>
            <w:vMerge w:val="continue"/>
            <w:shd w:val="clear" w:color="auto" w:fill="auto"/>
            <w:vAlign w:val="center"/>
          </w:tcPr>
          <w:p>
            <w:pPr>
              <w:pStyle w:val="84"/>
              <w:jc w:val="center"/>
              <w:rPr>
                <w:rFonts w:hint="default" w:ascii="Times New Roman" w:hAnsi="Times New Roman" w:eastAsia="仿宋_GB2312"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8" w:hRule="exact"/>
          <w:jc w:val="center"/>
        </w:trPr>
        <w:tc>
          <w:tcPr>
            <w:tcW w:w="1936" w:type="pct"/>
            <w:gridSpan w:val="2"/>
            <w:shd w:val="clear" w:color="auto" w:fill="auto"/>
            <w:noWrap/>
            <w:vAlign w:val="center"/>
          </w:tcPr>
          <w:p>
            <w:pPr>
              <w:pStyle w:val="84"/>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合计</w:t>
            </w:r>
          </w:p>
        </w:tc>
        <w:tc>
          <w:tcPr>
            <w:tcW w:w="1016" w:type="pct"/>
            <w:shd w:val="clear" w:color="auto" w:fill="auto"/>
            <w:noWrap/>
            <w:vAlign w:val="center"/>
          </w:tcPr>
          <w:p>
            <w:pPr>
              <w:pStyle w:val="84"/>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0.45</w:t>
            </w:r>
            <w:r>
              <w:rPr>
                <w:rFonts w:hint="eastAsia" w:eastAsia="仿宋_GB2312" w:cs="Times New Roman"/>
                <w:color w:val="auto"/>
                <w:sz w:val="21"/>
                <w:szCs w:val="21"/>
                <w:highlight w:val="none"/>
                <w:lang w:val="en-US" w:eastAsia="zh-CN"/>
              </w:rPr>
              <w:t>hm²</w:t>
            </w:r>
          </w:p>
        </w:tc>
        <w:tc>
          <w:tcPr>
            <w:tcW w:w="1327" w:type="pct"/>
            <w:shd w:val="clear" w:color="auto" w:fill="auto"/>
            <w:noWrap/>
            <w:vAlign w:val="center"/>
          </w:tcPr>
          <w:p>
            <w:pPr>
              <w:ind w:firstLine="420"/>
              <w:jc w:val="center"/>
              <w:rPr>
                <w:rFonts w:hint="default" w:ascii="Times New Roman" w:hAnsi="Times New Roman" w:eastAsia="仿宋_GB2312" w:cs="Times New Roman"/>
                <w:color w:val="auto"/>
                <w:sz w:val="21"/>
                <w:szCs w:val="21"/>
                <w:highlight w:val="none"/>
              </w:rPr>
            </w:pPr>
          </w:p>
        </w:tc>
        <w:tc>
          <w:tcPr>
            <w:tcW w:w="719" w:type="pct"/>
            <w:shd w:val="clear" w:color="auto" w:fill="auto"/>
            <w:noWrap/>
            <w:vAlign w:val="center"/>
          </w:tcPr>
          <w:p>
            <w:pPr>
              <w:pStyle w:val="84"/>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w:t>
            </w:r>
          </w:p>
        </w:tc>
      </w:tr>
    </w:tbl>
    <w:p>
      <w:pPr>
        <w:pStyle w:val="66"/>
        <w:ind w:firstLine="148"/>
        <w:rPr>
          <w:rFonts w:hint="default" w:ascii="Times New Roman" w:hAnsi="Times New Roman" w:eastAsia="仿宋_GB2312" w:cs="Times New Roman"/>
          <w:color w:val="auto"/>
          <w:highlight w:val="none"/>
        </w:rPr>
      </w:pPr>
      <w:bookmarkStart w:id="129" w:name="_Toc4158"/>
      <w:r>
        <w:rPr>
          <w:rFonts w:hint="default" w:ascii="Times New Roman" w:hAnsi="Times New Roman" w:eastAsia="仿宋_GB2312" w:cs="Times New Roman"/>
          <w:color w:val="auto"/>
          <w:highlight w:val="none"/>
        </w:rPr>
        <w:t xml:space="preserve">5.2 </w:t>
      </w:r>
      <w:bookmarkEnd w:id="127"/>
      <w:bookmarkEnd w:id="128"/>
      <w:r>
        <w:rPr>
          <w:rFonts w:hint="default" w:ascii="Times New Roman" w:hAnsi="Times New Roman" w:eastAsia="仿宋_GB2312" w:cs="Times New Roman"/>
          <w:color w:val="auto"/>
          <w:highlight w:val="none"/>
        </w:rPr>
        <w:t>措施总体布局</w:t>
      </w:r>
      <w:bookmarkEnd w:id="129"/>
    </w:p>
    <w:p>
      <w:pPr>
        <w:pStyle w:val="55"/>
        <w:ind w:firstLine="480"/>
        <w:rPr>
          <w:rFonts w:hint="default" w:ascii="Times New Roman" w:hAnsi="Times New Roman" w:eastAsia="仿宋_GB2312" w:cs="Times New Roman"/>
          <w:color w:val="auto"/>
          <w:highlight w:val="none"/>
        </w:rPr>
      </w:pPr>
      <w:bookmarkStart w:id="130" w:name="_Toc417412341"/>
      <w:bookmarkStart w:id="131" w:name="_Toc407014555"/>
      <w:r>
        <w:rPr>
          <w:rFonts w:hint="default" w:ascii="Times New Roman" w:hAnsi="Times New Roman" w:eastAsia="仿宋_GB2312" w:cs="Times New Roman"/>
          <w:color w:val="auto"/>
          <w:highlight w:val="none"/>
        </w:rPr>
        <w:t>据项目建设特点和当地的自然条件，在水土流失调查及分析评价主体工程中具有水土保持功能工程的基础上，针对建设施工活动引发水土流失的特点和造成危害程度，依据分区治理、突出重点的原则，对项目区水土流失进行综合治理。本工程水土保持分区防治措施总体布局由主体工程具有的水土保持功能的措施及本方案新增水土保持治理措施组成。将水土保持工程措施和植物措施，永久措施和临时措施有机结合起来，合理确定水土保持措施的总体布局，以形成完整的、科学的水土保持防治体系。</w:t>
      </w:r>
    </w:p>
    <w:p>
      <w:pPr>
        <w:pStyle w:val="76"/>
        <w:keepNext w:val="0"/>
        <w:keepLines w:val="0"/>
        <w:pageBreakBefore w:val="0"/>
        <w:widowControl/>
        <w:kinsoku/>
        <w:wordWrap/>
        <w:overflowPunct/>
        <w:topLinePunct w:val="0"/>
        <w:autoSpaceDE/>
        <w:autoSpaceDN/>
        <w:bidi w:val="0"/>
        <w:adjustRightInd w:val="0"/>
        <w:snapToGrid w:val="0"/>
        <w:spacing w:afterLines="50"/>
        <w:textAlignment w:val="auto"/>
        <w:outlineLvl w:val="9"/>
        <w:rPr>
          <w:rFonts w:hint="eastAsia" w:ascii="Times New Roman" w:hAnsi="Times New Roman" w:eastAsia="仿宋_GB2312" w:cs="Times New Roman"/>
          <w:color w:val="auto"/>
          <w:highlight w:val="none"/>
          <w:lang w:eastAsia="zh-CN"/>
        </w:rPr>
      </w:pPr>
      <w:r>
        <w:rPr>
          <w:rFonts w:hint="eastAsia" w:ascii="Times New Roman" w:hAnsi="Times New Roman" w:eastAsia="仿宋_GB2312" w:cs="Times New Roman"/>
          <w:color w:val="auto"/>
          <w:highlight w:val="none"/>
          <w:lang w:eastAsia="zh-CN"/>
        </w:rPr>
        <w:drawing>
          <wp:inline distT="0" distB="0" distL="114300" distR="114300">
            <wp:extent cx="4345305" cy="4215130"/>
            <wp:effectExtent l="0" t="0" r="0" b="0"/>
            <wp:docPr id="24" name="图片 24" descr="措施体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措施体系2"/>
                    <pic:cNvPicPr>
                      <a:picLocks noChangeAspect="1"/>
                    </pic:cNvPicPr>
                  </pic:nvPicPr>
                  <pic:blipFill>
                    <a:blip r:embed="rId41"/>
                    <a:stretch>
                      <a:fillRect/>
                    </a:stretch>
                  </pic:blipFill>
                  <pic:spPr>
                    <a:xfrm>
                      <a:off x="0" y="0"/>
                      <a:ext cx="4345305" cy="4215130"/>
                    </a:xfrm>
                    <a:prstGeom prst="rect">
                      <a:avLst/>
                    </a:prstGeom>
                  </pic:spPr>
                </pic:pic>
              </a:graphicData>
            </a:graphic>
          </wp:inline>
        </w:drawing>
      </w:r>
    </w:p>
    <w:p>
      <w:pPr>
        <w:pStyle w:val="76"/>
        <w:spacing w:afterLines="5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图5.2-1水土保持措施体系框图</w:t>
      </w:r>
    </w:p>
    <w:p>
      <w:pPr>
        <w:pStyle w:val="66"/>
        <w:ind w:firstLine="148"/>
        <w:rPr>
          <w:rFonts w:hint="default" w:ascii="Times New Roman" w:hAnsi="Times New Roman" w:eastAsia="仿宋_GB2312" w:cs="Times New Roman"/>
          <w:color w:val="auto"/>
          <w:highlight w:val="none"/>
        </w:rPr>
      </w:pPr>
      <w:bookmarkStart w:id="132" w:name="_Toc14697"/>
      <w:r>
        <w:rPr>
          <w:rFonts w:hint="default" w:ascii="Times New Roman" w:hAnsi="Times New Roman" w:eastAsia="仿宋_GB2312" w:cs="Times New Roman"/>
          <w:color w:val="auto"/>
          <w:highlight w:val="none"/>
        </w:rPr>
        <w:t>5.3 分区措施布设</w:t>
      </w:r>
      <w:bookmarkEnd w:id="132"/>
    </w:p>
    <w:bookmarkEnd w:id="130"/>
    <w:bookmarkEnd w:id="131"/>
    <w:p>
      <w:pPr>
        <w:pStyle w:val="73"/>
        <w:outlineLvl w:val="9"/>
        <w:rPr>
          <w:rFonts w:hint="default" w:ascii="Times New Roman" w:hAnsi="Times New Roman" w:eastAsia="仿宋_GB2312" w:cs="Times New Roman"/>
          <w:color w:val="auto"/>
          <w:highlight w:val="none"/>
        </w:rPr>
      </w:pPr>
      <w:bookmarkStart w:id="133" w:name="_Toc417412344"/>
      <w:bookmarkStart w:id="134" w:name="_Toc407014559"/>
      <w:r>
        <w:rPr>
          <w:rFonts w:hint="default" w:ascii="Times New Roman" w:hAnsi="Times New Roman" w:eastAsia="仿宋_GB2312" w:cs="Times New Roman"/>
          <w:color w:val="auto"/>
          <w:highlight w:val="none"/>
        </w:rPr>
        <w:t>1、设计原则</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（1）工程措施设计原则</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①坚持分区防治的原则，制定切实可行的防治体系，坚持工程措施和植物措施相结合，永久措施和临时措施相结合的治理原则。</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②坚持因地制宜，因害设防的原则。按照主体工程施工工艺，并依据开发建设项目所产生的水土流失特点及危害，借鉴当地同类项目的治理经验，因地因地制宜，因害设防，采取合理的防治措施，防治工程建设产生的水土流失。</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③坚持技术可行，经济合理的原则。根据工程施工布置、地形地貌、降水、施工等条件，选择确定合理可行的防治工程类型及布局；就地取材，降低工程造价。</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④坚持维护主体，注重水保的原则。对主体工程设计中具有水土保持功能的工程进行评价，满足水土保持要求的部分予以确认，不足部分做必要的补充。</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⑤水土保持工程设计坚持“预防为主、先拦后弃”的原则，防患于未然。</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（2）植物措施设计原则</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项目区建设的具体要求，项目区植物措施的布局原则应在服从主体工程顺利建设、安全运行、保持水土、改善环境的基础上，力求全面规划、因地制宜、因害设防、突出重点，确定合理的植物措施布局形式，综合布置植物措施。</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（3）临时措施设计原则</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①防治措施要有针对性，临时措施应根据防护项目区的水土流失类型、地形地貌等提出具有针对性的临时防治措施。坚持经济合理，立竿见影的原则，选择快速有效的临时防护措施。</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②实施方便，经济合理，在能达到同样防护效果的前提下，选择取材方便、实施布设简单，技术成熟且经济投资合理的防治措施。</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③与周边环境相协调</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水土流失防治措施应与周边环境相协调，措施的实施不能破坏周边的景观环境和生态。</w:t>
      </w:r>
    </w:p>
    <w:p>
      <w:pPr>
        <w:pStyle w:val="73"/>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2、植物措施可行性分析</w:t>
      </w:r>
    </w:p>
    <w:p>
      <w:pPr>
        <w:pStyle w:val="55"/>
        <w:bidi w:val="0"/>
        <w:ind w:firstLine="480" w:firstLineChars="200"/>
        <w:rPr>
          <w:rFonts w:eastAsia="仿宋_GB2312"/>
          <w:highlight w:val="yellow"/>
          <w:lang w:eastAsia="zh-CN"/>
        </w:rPr>
      </w:pPr>
      <w:r>
        <w:t>植物措施立地条件是气候、地形、土壤和植被等环境因子组成的综合体，通过现场调查，项目建设区地貌单元为冲洪积平原区，地势变化较小，地形平坦开阔，地形略有起伏。气候类型属于典型温带大陆性气候，夏热冬寒、降水不均、蒸发强烈、空气干燥、温差大、干热风多等。项目区植被类型为荒漠植被，植被比较稀疏、矮小，植被覆盖度在</w:t>
      </w:r>
      <w:r>
        <w:rPr>
          <w:rFonts w:hint="eastAsia"/>
          <w:lang w:val="en-US" w:eastAsia="zh-CN"/>
        </w:rPr>
        <w:t>10%</w:t>
      </w:r>
      <w:r>
        <w:t>左右。</w:t>
      </w:r>
    </w:p>
    <w:p>
      <w:pPr>
        <w:pStyle w:val="55"/>
        <w:bidi w:val="0"/>
        <w:ind w:firstLine="480" w:firstLineChars="200"/>
        <w:rPr>
          <w:rFonts w:eastAsia="宋体"/>
        </w:rPr>
      </w:pPr>
      <w:r>
        <w:t>项目区占地类型均为</w:t>
      </w:r>
      <w:r>
        <w:rPr>
          <w:lang w:val="en-US" w:eastAsia="zh-CN"/>
        </w:rPr>
        <w:t>商业</w:t>
      </w:r>
      <w:r>
        <w:t>用地，拟建项目厂址原植被生长较差，腐殖质层</w:t>
      </w:r>
      <w:r>
        <w:rPr>
          <w:rFonts w:hint="eastAsia"/>
          <w:lang w:eastAsia="zh-CN"/>
        </w:rPr>
        <w:t>较薄</w:t>
      </w:r>
      <w:r>
        <w:t>，</w:t>
      </w:r>
      <w:r>
        <w:rPr>
          <w:rFonts w:hint="eastAsia"/>
          <w:lang w:eastAsia="zh-CN"/>
        </w:rPr>
        <w:t>因此在本项目</w:t>
      </w:r>
      <w:r>
        <w:t>建设完成后建设单位对区域内空地采取绿化，项目区除绿化空地外其余被建构筑物及硬化占压，因此本项目可绿化面积为除建构筑物及硬化外周边空地面积</w:t>
      </w:r>
      <w:r>
        <w:rPr>
          <w:lang w:val="en-US" w:eastAsia="zh-CN"/>
        </w:rPr>
        <w:t>0.</w:t>
      </w:r>
      <w:r>
        <w:rPr>
          <w:rFonts w:hint="eastAsia"/>
          <w:lang w:val="en-US" w:eastAsia="zh-CN"/>
        </w:rPr>
        <w:t>17</w:t>
      </w:r>
      <w:r>
        <w:t>hm</w:t>
      </w:r>
      <w:r>
        <w:rPr>
          <w:rFonts w:eastAsia="宋体"/>
        </w:rPr>
        <w:t>²。</w:t>
      </w:r>
    </w:p>
    <w:p>
      <w:pPr>
        <w:pStyle w:val="76"/>
        <w:bidi w:val="0"/>
        <w:ind w:firstLine="0"/>
        <w:rPr>
          <w:rFonts w:eastAsia="仿宋_GB2312"/>
          <w:highlight w:val="yellow"/>
          <w:lang w:eastAsia="zh-CN"/>
        </w:rPr>
      </w:pPr>
      <w:r>
        <w:t>表5.3-1项目区立地条件及可绿化面积分析</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791"/>
        <w:gridCol w:w="1259"/>
        <w:gridCol w:w="1103"/>
        <w:gridCol w:w="1217"/>
        <w:gridCol w:w="2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exact"/>
        </w:trPr>
        <w:tc>
          <w:tcPr>
            <w:tcW w:w="1372" w:type="pct"/>
            <w:gridSpan w:val="2"/>
            <w:shd w:val="clear" w:color="auto" w:fill="auto"/>
            <w:vAlign w:val="center"/>
          </w:tcPr>
          <w:p>
            <w:pPr>
              <w:pStyle w:val="84"/>
              <w:widowControl w:val="0"/>
              <w:bidi w:val="0"/>
              <w:ind w:firstLine="0"/>
              <w:jc w:val="center"/>
              <w:rPr>
                <w:rFonts w:eastAsia="仿宋_GB2312"/>
                <w:highlight w:val="none"/>
                <w:lang w:eastAsia="zh-CN"/>
              </w:rPr>
            </w:pPr>
            <w:r>
              <w:rPr>
                <w:highlight w:val="none"/>
              </w:rPr>
              <w:t>防治分区</w:t>
            </w:r>
          </w:p>
        </w:tc>
        <w:tc>
          <w:tcPr>
            <w:tcW w:w="695" w:type="pct"/>
            <w:vAlign w:val="center"/>
          </w:tcPr>
          <w:p>
            <w:pPr>
              <w:pStyle w:val="84"/>
              <w:widowControl w:val="0"/>
              <w:bidi w:val="0"/>
              <w:ind w:firstLine="0"/>
              <w:jc w:val="center"/>
              <w:rPr>
                <w:rFonts w:eastAsia="仿宋_GB2312"/>
                <w:highlight w:val="none"/>
                <w:lang w:eastAsia="zh-CN"/>
              </w:rPr>
            </w:pPr>
            <w:r>
              <w:rPr>
                <w:highlight w:val="none"/>
              </w:rPr>
              <w:t>立地条件</w:t>
            </w:r>
          </w:p>
        </w:tc>
        <w:tc>
          <w:tcPr>
            <w:tcW w:w="609" w:type="pct"/>
            <w:shd w:val="clear" w:color="auto" w:fill="auto"/>
            <w:vAlign w:val="center"/>
          </w:tcPr>
          <w:p>
            <w:pPr>
              <w:pStyle w:val="84"/>
              <w:widowControl w:val="0"/>
              <w:bidi w:val="0"/>
              <w:ind w:firstLine="0"/>
              <w:jc w:val="center"/>
              <w:rPr>
                <w:rFonts w:eastAsia="仿宋_GB2312"/>
                <w:highlight w:val="none"/>
                <w:lang w:eastAsia="zh-CN"/>
              </w:rPr>
            </w:pPr>
            <w:r>
              <w:rPr>
                <w:highlight w:val="none"/>
              </w:rPr>
              <w:t>扰动面积（hm²）</w:t>
            </w:r>
          </w:p>
        </w:tc>
        <w:tc>
          <w:tcPr>
            <w:tcW w:w="672" w:type="pct"/>
            <w:vAlign w:val="center"/>
          </w:tcPr>
          <w:p>
            <w:pPr>
              <w:pStyle w:val="84"/>
              <w:widowControl w:val="0"/>
              <w:bidi w:val="0"/>
              <w:ind w:firstLine="0"/>
              <w:jc w:val="both"/>
              <w:rPr>
                <w:rFonts w:eastAsia="仿宋_GB2312"/>
                <w:highlight w:val="none"/>
                <w:lang w:eastAsia="zh-CN"/>
              </w:rPr>
            </w:pPr>
            <w:r>
              <w:rPr>
                <w:highlight w:val="none"/>
              </w:rPr>
              <w:t>可绿化面积（hm²）</w:t>
            </w:r>
          </w:p>
        </w:tc>
        <w:tc>
          <w:tcPr>
            <w:tcW w:w="1651" w:type="pct"/>
            <w:vAlign w:val="center"/>
          </w:tcPr>
          <w:p>
            <w:pPr>
              <w:pStyle w:val="84"/>
              <w:widowControl w:val="0"/>
              <w:bidi w:val="0"/>
              <w:ind w:firstLine="0"/>
              <w:jc w:val="center"/>
              <w:rPr>
                <w:rFonts w:eastAsia="仿宋_GB2312"/>
                <w:highlight w:val="none"/>
                <w:lang w:eastAsia="zh-CN"/>
              </w:rPr>
            </w:pPr>
            <w:r>
              <w:rPr>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trPr>
        <w:tc>
          <w:tcPr>
            <w:tcW w:w="383" w:type="pct"/>
            <w:vMerge w:val="restart"/>
            <w:shd w:val="clear" w:color="auto" w:fill="auto"/>
            <w:vAlign w:val="center"/>
          </w:tcPr>
          <w:p>
            <w:pPr>
              <w:pStyle w:val="84"/>
              <w:widowControl w:val="0"/>
              <w:bidi w:val="0"/>
              <w:ind w:firstLine="0"/>
              <w:jc w:val="center"/>
              <w:rPr>
                <w:rFonts w:eastAsia="仿宋_GB2312"/>
                <w:highlight w:val="none"/>
                <w:lang w:eastAsia="zh-CN"/>
              </w:rPr>
            </w:pPr>
            <w:r>
              <w:rPr>
                <w:highlight w:val="none"/>
              </w:rPr>
              <w:t>冲洪积平原区</w:t>
            </w:r>
          </w:p>
        </w:tc>
        <w:tc>
          <w:tcPr>
            <w:tcW w:w="988" w:type="pct"/>
            <w:shd w:val="clear" w:color="auto" w:fill="auto"/>
            <w:vAlign w:val="center"/>
          </w:tcPr>
          <w:p>
            <w:pPr>
              <w:pStyle w:val="84"/>
              <w:widowControl w:val="0"/>
              <w:bidi w:val="0"/>
              <w:ind w:firstLine="0"/>
              <w:jc w:val="center"/>
              <w:rPr>
                <w:rFonts w:eastAsia="仿宋_GB2312"/>
                <w:highlight w:val="none"/>
                <w:lang w:eastAsia="zh-CN"/>
              </w:rPr>
            </w:pPr>
            <w:r>
              <w:rPr>
                <w:highlight w:val="none"/>
                <w:lang w:eastAsia="zh-CN"/>
              </w:rPr>
              <w:t>建筑物区</w:t>
            </w:r>
          </w:p>
        </w:tc>
        <w:tc>
          <w:tcPr>
            <w:tcW w:w="695" w:type="pct"/>
            <w:vMerge w:val="restart"/>
            <w:vAlign w:val="center"/>
          </w:tcPr>
          <w:p>
            <w:pPr>
              <w:pStyle w:val="84"/>
              <w:widowControl w:val="0"/>
              <w:bidi w:val="0"/>
              <w:ind w:firstLine="0"/>
              <w:jc w:val="center"/>
              <w:rPr>
                <w:rFonts w:eastAsia="仿宋_GB2312"/>
                <w:highlight w:val="none"/>
                <w:lang w:eastAsia="zh-CN"/>
              </w:rPr>
            </w:pPr>
            <w:r>
              <w:rPr>
                <w:highlight w:val="none"/>
              </w:rPr>
              <w:t>属于温带大陆性气候，降水稀少、</w:t>
            </w:r>
            <w:r>
              <w:rPr>
                <w:rFonts w:hint="default" w:ascii="Times New Roman" w:hAnsi="Times New Roman" w:eastAsia="仿宋_GB2312" w:cs="Times New Roman"/>
                <w:color w:val="auto"/>
                <w:kern w:val="0"/>
                <w:sz w:val="21"/>
                <w:szCs w:val="21"/>
                <w:highlight w:val="none"/>
              </w:rPr>
              <w:t>土壤为</w:t>
            </w:r>
            <w:r>
              <w:rPr>
                <w:rFonts w:hint="eastAsia" w:cs="Times New Roman"/>
                <w:color w:val="auto"/>
                <w:kern w:val="0"/>
                <w:sz w:val="21"/>
                <w:szCs w:val="21"/>
                <w:highlight w:val="none"/>
                <w:lang w:eastAsia="zh-CN"/>
              </w:rPr>
              <w:t>棕漠土</w:t>
            </w:r>
            <w:r>
              <w:rPr>
                <w:rFonts w:hint="default" w:ascii="Times New Roman" w:hAnsi="Times New Roman" w:eastAsia="仿宋_GB2312" w:cs="Times New Roman"/>
                <w:color w:val="auto"/>
                <w:kern w:val="0"/>
                <w:sz w:val="21"/>
                <w:szCs w:val="21"/>
                <w:highlight w:val="none"/>
              </w:rPr>
              <w:t>，几乎不含腐殖质</w:t>
            </w:r>
            <w:r>
              <w:rPr>
                <w:highlight w:val="none"/>
              </w:rPr>
              <w:t>。</w:t>
            </w:r>
          </w:p>
        </w:tc>
        <w:tc>
          <w:tcPr>
            <w:tcW w:w="609" w:type="pct"/>
            <w:shd w:val="clear" w:color="auto" w:fill="auto"/>
            <w:vAlign w:val="center"/>
          </w:tcPr>
          <w:p>
            <w:pPr>
              <w:pStyle w:val="56"/>
              <w:widowControl w:val="0"/>
              <w:bidi w:val="0"/>
              <w:spacing w:line="240" w:lineRule="auto"/>
              <w:ind w:left="0" w:leftChars="0" w:firstLine="0" w:firstLineChars="0"/>
              <w:jc w:val="center"/>
              <w:textAlignment w:val="center"/>
              <w:rPr>
                <w:rFonts w:hint="default" w:ascii="Times New Roman" w:hAnsi="Times New Roman" w:eastAsia="仿宋_GB2312" w:cs="Times New Roman"/>
                <w:spacing w:val="-2"/>
                <w:kern w:val="0"/>
                <w:sz w:val="21"/>
                <w:szCs w:val="21"/>
                <w:highlight w:val="none"/>
                <w:lang w:val="en-US" w:eastAsia="zh-CN" w:bidi="ar-SA"/>
              </w:rPr>
            </w:pPr>
            <w:r>
              <w:rPr>
                <w:rFonts w:hint="eastAsia" w:eastAsia="仿宋_GB2312" w:cs="Times New Roman"/>
                <w:spacing w:val="-2"/>
                <w:kern w:val="0"/>
                <w:sz w:val="21"/>
                <w:szCs w:val="21"/>
                <w:highlight w:val="none"/>
                <w:lang w:val="en-US" w:eastAsia="zh-CN" w:bidi="ar-SA"/>
              </w:rPr>
              <w:t>0.25</w:t>
            </w:r>
          </w:p>
        </w:tc>
        <w:tc>
          <w:tcPr>
            <w:tcW w:w="672" w:type="pct"/>
            <w:vAlign w:val="center"/>
          </w:tcPr>
          <w:p>
            <w:pPr>
              <w:pStyle w:val="84"/>
              <w:widowControl w:val="0"/>
              <w:bidi w:val="0"/>
              <w:ind w:firstLine="0"/>
              <w:jc w:val="center"/>
              <w:rPr>
                <w:rFonts w:hint="default" w:eastAsia="仿宋_GB2312"/>
                <w:highlight w:val="none"/>
                <w:lang w:val="en-US" w:eastAsia="zh-CN"/>
              </w:rPr>
            </w:pPr>
            <w:r>
              <w:rPr>
                <w:rFonts w:hint="eastAsia"/>
                <w:highlight w:val="none"/>
                <w:lang w:val="en-US" w:eastAsia="zh-CN"/>
              </w:rPr>
              <w:t>0.17</w:t>
            </w:r>
          </w:p>
        </w:tc>
        <w:tc>
          <w:tcPr>
            <w:tcW w:w="1651" w:type="pct"/>
            <w:vAlign w:val="center"/>
          </w:tcPr>
          <w:p>
            <w:pPr>
              <w:pStyle w:val="84"/>
              <w:widowControl w:val="0"/>
              <w:bidi w:val="0"/>
              <w:ind w:firstLine="0"/>
              <w:jc w:val="center"/>
              <w:rPr>
                <w:rFonts w:eastAsia="仿宋_GB2312"/>
                <w:highlight w:val="none"/>
                <w:lang w:val="en-US" w:eastAsia="zh-CN"/>
              </w:rPr>
            </w:pPr>
            <w:r>
              <w:rPr>
                <w:rFonts w:hint="default" w:ascii="Times New Roman" w:hAnsi="Times New Roman" w:eastAsia="仿宋_GB2312" w:cs="Times New Roman"/>
                <w:color w:val="auto"/>
                <w:kern w:val="0"/>
                <w:sz w:val="21"/>
                <w:szCs w:val="21"/>
                <w:highlight w:val="none"/>
              </w:rPr>
              <w:t>考虑到</w:t>
            </w:r>
            <w:r>
              <w:rPr>
                <w:rFonts w:hint="eastAsia" w:ascii="Times New Roman" w:hAnsi="Times New Roman" w:cs="Times New Roman"/>
                <w:color w:val="auto"/>
                <w:kern w:val="0"/>
                <w:sz w:val="21"/>
                <w:szCs w:val="21"/>
                <w:highlight w:val="none"/>
                <w:lang w:eastAsia="zh-CN"/>
              </w:rPr>
              <w:t>各种</w:t>
            </w:r>
            <w:r>
              <w:rPr>
                <w:rFonts w:hint="default" w:ascii="Times New Roman" w:hAnsi="Times New Roman" w:eastAsia="仿宋_GB2312" w:cs="Times New Roman"/>
                <w:color w:val="auto"/>
                <w:kern w:val="0"/>
                <w:sz w:val="21"/>
                <w:szCs w:val="21"/>
                <w:highlight w:val="none"/>
              </w:rPr>
              <w:t>条件以及植被成活率，采取绿化措施</w:t>
            </w:r>
            <w:r>
              <w:rPr>
                <w:highlight w:val="none"/>
                <w:lang w:val="en-US" w:eastAsia="zh-CN"/>
              </w:rPr>
              <w:t>均可被绿化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383" w:type="pct"/>
            <w:vMerge w:val="continue"/>
            <w:vAlign w:val="center"/>
          </w:tcPr>
          <w:p>
            <w:pPr>
              <w:pStyle w:val="84"/>
              <w:widowControl w:val="0"/>
              <w:bidi w:val="0"/>
              <w:ind w:firstLine="0"/>
              <w:jc w:val="center"/>
              <w:rPr>
                <w:rFonts w:eastAsia="仿宋_GB2312"/>
                <w:highlight w:val="none"/>
                <w:lang w:eastAsia="zh-CN"/>
              </w:rPr>
            </w:pPr>
          </w:p>
        </w:tc>
        <w:tc>
          <w:tcPr>
            <w:tcW w:w="988" w:type="pct"/>
            <w:shd w:val="clear" w:color="auto" w:fill="auto"/>
            <w:vAlign w:val="center"/>
          </w:tcPr>
          <w:p>
            <w:pPr>
              <w:pStyle w:val="84"/>
              <w:widowControl w:val="0"/>
              <w:bidi w:val="0"/>
              <w:ind w:firstLine="0"/>
              <w:jc w:val="center"/>
              <w:rPr>
                <w:rFonts w:hint="eastAsia" w:ascii="Times New Roman" w:hAnsi="Times New Roman" w:cs="Times New Roman"/>
                <w:highlight w:val="none"/>
                <w:lang w:val="en-US" w:eastAsia="zh-CN"/>
              </w:rPr>
            </w:pPr>
            <w:r>
              <w:rPr>
                <w:rFonts w:hint="eastAsia" w:cs="Times New Roman"/>
                <w:highlight w:val="none"/>
                <w:lang w:val="en-US" w:eastAsia="zh-CN"/>
              </w:rPr>
              <w:t>*管线工程区</w:t>
            </w:r>
          </w:p>
        </w:tc>
        <w:tc>
          <w:tcPr>
            <w:tcW w:w="695" w:type="pct"/>
            <w:vMerge w:val="continue"/>
            <w:vAlign w:val="center"/>
          </w:tcPr>
          <w:p>
            <w:pPr>
              <w:pStyle w:val="84"/>
              <w:widowControl w:val="0"/>
              <w:bidi w:val="0"/>
              <w:ind w:firstLine="0"/>
              <w:jc w:val="center"/>
              <w:rPr>
                <w:rFonts w:eastAsia="仿宋_GB2312"/>
                <w:highlight w:val="none"/>
                <w:lang w:eastAsia="zh-CN"/>
              </w:rPr>
            </w:pPr>
          </w:p>
        </w:tc>
        <w:tc>
          <w:tcPr>
            <w:tcW w:w="609" w:type="pct"/>
            <w:shd w:val="clear" w:color="auto" w:fill="auto"/>
            <w:vAlign w:val="center"/>
          </w:tcPr>
          <w:p>
            <w:pPr>
              <w:pStyle w:val="56"/>
              <w:widowControl w:val="0"/>
              <w:bidi w:val="0"/>
              <w:spacing w:line="240" w:lineRule="auto"/>
              <w:ind w:left="0" w:leftChars="0" w:firstLine="0" w:firstLineChars="0"/>
              <w:jc w:val="center"/>
              <w:textAlignment w:val="center"/>
              <w:rPr>
                <w:rFonts w:hint="default" w:eastAsia="仿宋_GB2312" w:cs="Times New Roman"/>
                <w:spacing w:val="-2"/>
                <w:kern w:val="0"/>
                <w:sz w:val="21"/>
                <w:szCs w:val="21"/>
                <w:highlight w:val="none"/>
                <w:lang w:val="en-US" w:eastAsia="zh-CN" w:bidi="ar-SA"/>
              </w:rPr>
            </w:pPr>
            <w:r>
              <w:rPr>
                <w:rFonts w:hint="eastAsia" w:eastAsia="仿宋_GB2312" w:cs="Times New Roman"/>
                <w:spacing w:val="-2"/>
                <w:kern w:val="0"/>
                <w:sz w:val="21"/>
                <w:szCs w:val="21"/>
                <w:highlight w:val="none"/>
                <w:lang w:val="en-US" w:eastAsia="zh-CN" w:bidi="ar-SA"/>
              </w:rPr>
              <w:t>0.02</w:t>
            </w:r>
          </w:p>
        </w:tc>
        <w:tc>
          <w:tcPr>
            <w:tcW w:w="672" w:type="pct"/>
            <w:vAlign w:val="center"/>
          </w:tcPr>
          <w:p>
            <w:pPr>
              <w:pStyle w:val="84"/>
              <w:widowControl w:val="0"/>
              <w:bidi w:val="0"/>
              <w:ind w:firstLine="0"/>
              <w:jc w:val="center"/>
              <w:rPr>
                <w:rFonts w:hint="default"/>
                <w:highlight w:val="none"/>
                <w:lang w:val="en-US" w:eastAsia="zh-CN"/>
              </w:rPr>
            </w:pPr>
            <w:r>
              <w:rPr>
                <w:rFonts w:hint="eastAsia"/>
                <w:highlight w:val="none"/>
                <w:lang w:val="en-US" w:eastAsia="zh-CN"/>
              </w:rPr>
              <w:t>-</w:t>
            </w:r>
          </w:p>
        </w:tc>
        <w:tc>
          <w:tcPr>
            <w:tcW w:w="1651" w:type="pct"/>
            <w:vAlign w:val="center"/>
          </w:tcPr>
          <w:p>
            <w:pPr>
              <w:pStyle w:val="84"/>
              <w:widowControl w:val="0"/>
              <w:bidi w:val="0"/>
              <w:ind w:firstLine="0"/>
              <w:jc w:val="center"/>
              <w:rPr>
                <w:rFonts w:eastAsia="仿宋_GB2312"/>
                <w:highlight w:val="none"/>
                <w:lang w:eastAsia="zh-CN"/>
              </w:rPr>
            </w:pPr>
            <w:r>
              <w:rPr>
                <w:rFonts w:hint="eastAsia"/>
                <w:highlight w:val="none"/>
                <w:lang w:val="en-US" w:eastAsia="zh-CN"/>
              </w:rPr>
              <w:t>重复占地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383" w:type="pct"/>
            <w:vMerge w:val="continue"/>
            <w:vAlign w:val="center"/>
          </w:tcPr>
          <w:p>
            <w:pPr>
              <w:pStyle w:val="84"/>
              <w:widowControl w:val="0"/>
              <w:bidi w:val="0"/>
              <w:ind w:firstLine="0"/>
              <w:jc w:val="center"/>
              <w:rPr>
                <w:rFonts w:eastAsia="仿宋_GB2312"/>
                <w:highlight w:val="none"/>
                <w:lang w:eastAsia="zh-CN"/>
              </w:rPr>
            </w:pPr>
          </w:p>
        </w:tc>
        <w:tc>
          <w:tcPr>
            <w:tcW w:w="988" w:type="pct"/>
            <w:shd w:val="clear" w:color="auto" w:fill="auto"/>
            <w:vAlign w:val="center"/>
          </w:tcPr>
          <w:p>
            <w:pPr>
              <w:pStyle w:val="84"/>
              <w:widowControl w:val="0"/>
              <w:bidi w:val="0"/>
              <w:ind w:firstLine="0"/>
              <w:jc w:val="cente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进站</w:t>
            </w:r>
            <w:r>
              <w:rPr>
                <w:rFonts w:ascii="Times New Roman" w:hAnsi="Times New Roman" w:cs="Times New Roman"/>
                <w:highlight w:val="none"/>
                <w:lang w:eastAsia="zh-CN"/>
              </w:rPr>
              <w:t>道路</w:t>
            </w:r>
            <w:r>
              <w:rPr>
                <w:rFonts w:hint="eastAsia" w:ascii="Times New Roman" w:hAnsi="Times New Roman" w:cs="Times New Roman"/>
                <w:highlight w:val="none"/>
                <w:lang w:val="en-US" w:eastAsia="zh-CN"/>
              </w:rPr>
              <w:t>区</w:t>
            </w:r>
          </w:p>
        </w:tc>
        <w:tc>
          <w:tcPr>
            <w:tcW w:w="695" w:type="pct"/>
            <w:vMerge w:val="continue"/>
            <w:vAlign w:val="center"/>
          </w:tcPr>
          <w:p>
            <w:pPr>
              <w:pStyle w:val="84"/>
              <w:widowControl w:val="0"/>
              <w:bidi w:val="0"/>
              <w:ind w:firstLine="0"/>
              <w:jc w:val="center"/>
              <w:rPr>
                <w:rFonts w:eastAsia="仿宋_GB2312"/>
                <w:highlight w:val="none"/>
                <w:lang w:eastAsia="zh-CN"/>
              </w:rPr>
            </w:pPr>
          </w:p>
        </w:tc>
        <w:tc>
          <w:tcPr>
            <w:tcW w:w="609" w:type="pct"/>
            <w:shd w:val="clear" w:color="auto" w:fill="auto"/>
            <w:vAlign w:val="center"/>
          </w:tcPr>
          <w:p>
            <w:pPr>
              <w:pStyle w:val="56"/>
              <w:widowControl w:val="0"/>
              <w:bidi w:val="0"/>
              <w:spacing w:line="240" w:lineRule="auto"/>
              <w:ind w:left="0" w:leftChars="0" w:firstLine="0" w:firstLineChars="0"/>
              <w:jc w:val="center"/>
              <w:textAlignment w:val="center"/>
              <w:rPr>
                <w:rFonts w:hint="default" w:ascii="Times New Roman" w:hAnsi="Times New Roman" w:eastAsia="仿宋_GB2312" w:cs="Times New Roman"/>
                <w:spacing w:val="-2"/>
                <w:kern w:val="0"/>
                <w:sz w:val="21"/>
                <w:szCs w:val="21"/>
                <w:highlight w:val="none"/>
                <w:lang w:val="en-US" w:eastAsia="zh-CN" w:bidi="ar-SA"/>
              </w:rPr>
            </w:pPr>
            <w:r>
              <w:rPr>
                <w:rFonts w:hint="eastAsia" w:eastAsia="仿宋_GB2312" w:cs="Times New Roman"/>
                <w:spacing w:val="-2"/>
                <w:kern w:val="0"/>
                <w:sz w:val="21"/>
                <w:szCs w:val="21"/>
                <w:highlight w:val="none"/>
                <w:lang w:val="en-US" w:eastAsia="zh-CN" w:bidi="ar-SA"/>
              </w:rPr>
              <w:t>0.20</w:t>
            </w:r>
          </w:p>
        </w:tc>
        <w:tc>
          <w:tcPr>
            <w:tcW w:w="672" w:type="pct"/>
            <w:vAlign w:val="center"/>
          </w:tcPr>
          <w:p>
            <w:pPr>
              <w:pStyle w:val="84"/>
              <w:widowControl w:val="0"/>
              <w:bidi w:val="0"/>
              <w:ind w:firstLine="0"/>
              <w:jc w:val="center"/>
              <w:rPr>
                <w:rFonts w:hint="default" w:eastAsia="仿宋_GB2312"/>
                <w:highlight w:val="none"/>
                <w:lang w:val="en-US" w:eastAsia="zh-CN"/>
              </w:rPr>
            </w:pPr>
            <w:r>
              <w:rPr>
                <w:rFonts w:hint="eastAsia"/>
                <w:highlight w:val="none"/>
                <w:lang w:val="en-US" w:eastAsia="zh-CN"/>
              </w:rPr>
              <w:t>-</w:t>
            </w:r>
          </w:p>
        </w:tc>
        <w:tc>
          <w:tcPr>
            <w:tcW w:w="1651" w:type="pct"/>
            <w:vAlign w:val="center"/>
          </w:tcPr>
          <w:p>
            <w:pPr>
              <w:pStyle w:val="84"/>
              <w:widowControl w:val="0"/>
              <w:bidi w:val="0"/>
              <w:ind w:firstLine="0"/>
              <w:jc w:val="center"/>
              <w:rPr>
                <w:rFonts w:eastAsia="仿宋_GB2312"/>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exact"/>
        </w:trPr>
        <w:tc>
          <w:tcPr>
            <w:tcW w:w="383" w:type="pct"/>
            <w:vMerge w:val="continue"/>
            <w:vAlign w:val="center"/>
          </w:tcPr>
          <w:p>
            <w:pPr>
              <w:pStyle w:val="84"/>
              <w:widowControl w:val="0"/>
              <w:bidi w:val="0"/>
              <w:ind w:firstLine="0"/>
              <w:jc w:val="center"/>
              <w:rPr>
                <w:rFonts w:eastAsia="仿宋_GB2312"/>
                <w:highlight w:val="none"/>
                <w:lang w:eastAsia="zh-CN"/>
              </w:rPr>
            </w:pPr>
          </w:p>
        </w:tc>
        <w:tc>
          <w:tcPr>
            <w:tcW w:w="988" w:type="pct"/>
            <w:shd w:val="clear" w:color="auto" w:fill="auto"/>
            <w:vAlign w:val="center"/>
          </w:tcPr>
          <w:p>
            <w:pPr>
              <w:pStyle w:val="84"/>
              <w:widowControl w:val="0"/>
              <w:bidi w:val="0"/>
              <w:ind w:firstLine="0"/>
              <w:jc w:val="center"/>
              <w:rPr>
                <w:rFonts w:ascii="Times New Roman" w:hAnsi="Times New Roman" w:cs="Times New Roman"/>
                <w:highlight w:val="none"/>
                <w:lang w:eastAsia="zh-CN"/>
              </w:rPr>
            </w:pPr>
            <w:r>
              <w:rPr>
                <w:rFonts w:hint="eastAsia" w:ascii="Times New Roman" w:hAnsi="Times New Roman" w:cs="Times New Roman"/>
                <w:highlight w:val="none"/>
                <w:lang w:val="en-US" w:eastAsia="zh-CN"/>
              </w:rPr>
              <w:t>*</w:t>
            </w:r>
            <w:r>
              <w:rPr>
                <w:rFonts w:ascii="Times New Roman" w:hAnsi="Times New Roman" w:cs="Times New Roman"/>
                <w:highlight w:val="none"/>
                <w:lang w:eastAsia="zh-CN"/>
              </w:rPr>
              <w:t>施工生产生活区</w:t>
            </w:r>
          </w:p>
        </w:tc>
        <w:tc>
          <w:tcPr>
            <w:tcW w:w="695" w:type="pct"/>
            <w:vMerge w:val="continue"/>
            <w:vAlign w:val="center"/>
          </w:tcPr>
          <w:p>
            <w:pPr>
              <w:pStyle w:val="84"/>
              <w:widowControl w:val="0"/>
              <w:bidi w:val="0"/>
              <w:ind w:firstLine="0"/>
              <w:jc w:val="center"/>
              <w:rPr>
                <w:rFonts w:eastAsia="仿宋_GB2312"/>
                <w:highlight w:val="none"/>
                <w:lang w:eastAsia="zh-CN"/>
              </w:rPr>
            </w:pPr>
          </w:p>
        </w:tc>
        <w:tc>
          <w:tcPr>
            <w:tcW w:w="609" w:type="pct"/>
            <w:shd w:val="clear" w:color="auto" w:fill="auto"/>
            <w:vAlign w:val="center"/>
          </w:tcPr>
          <w:p>
            <w:pPr>
              <w:pStyle w:val="56"/>
              <w:widowControl w:val="0"/>
              <w:bidi w:val="0"/>
              <w:spacing w:line="240" w:lineRule="auto"/>
              <w:ind w:left="0" w:leftChars="0" w:firstLine="0" w:firstLineChars="0"/>
              <w:jc w:val="center"/>
              <w:textAlignment w:val="center"/>
              <w:rPr>
                <w:rFonts w:hint="default" w:ascii="Times New Roman" w:hAnsi="Times New Roman" w:eastAsia="仿宋_GB2312" w:cs="Times New Roman"/>
                <w:spacing w:val="-2"/>
                <w:kern w:val="0"/>
                <w:sz w:val="21"/>
                <w:szCs w:val="21"/>
                <w:highlight w:val="none"/>
                <w:lang w:val="en-US" w:eastAsia="zh-CN" w:bidi="ar-SA"/>
              </w:rPr>
            </w:pPr>
            <w:r>
              <w:rPr>
                <w:rFonts w:hint="eastAsia" w:eastAsia="仿宋_GB2312" w:cs="Times New Roman"/>
                <w:spacing w:val="-2"/>
                <w:kern w:val="0"/>
                <w:sz w:val="21"/>
                <w:szCs w:val="21"/>
                <w:highlight w:val="none"/>
                <w:lang w:val="en-US" w:eastAsia="zh-CN" w:bidi="ar-SA"/>
              </w:rPr>
              <w:t>0.02</w:t>
            </w:r>
          </w:p>
        </w:tc>
        <w:tc>
          <w:tcPr>
            <w:tcW w:w="672" w:type="pct"/>
            <w:vAlign w:val="center"/>
          </w:tcPr>
          <w:p>
            <w:pPr>
              <w:pStyle w:val="84"/>
              <w:widowControl w:val="0"/>
              <w:bidi w:val="0"/>
              <w:ind w:firstLine="0"/>
              <w:jc w:val="center"/>
              <w:rPr>
                <w:rFonts w:hint="default" w:eastAsia="仿宋_GB2312"/>
                <w:highlight w:val="none"/>
                <w:lang w:val="en-US" w:eastAsia="zh-CN"/>
              </w:rPr>
            </w:pPr>
            <w:r>
              <w:rPr>
                <w:rFonts w:hint="eastAsia"/>
                <w:highlight w:val="none"/>
                <w:lang w:val="en-US" w:eastAsia="zh-CN"/>
              </w:rPr>
              <w:t>-</w:t>
            </w:r>
          </w:p>
        </w:tc>
        <w:tc>
          <w:tcPr>
            <w:tcW w:w="1651" w:type="pct"/>
            <w:vAlign w:val="center"/>
          </w:tcPr>
          <w:p>
            <w:pPr>
              <w:pStyle w:val="84"/>
              <w:widowControl w:val="0"/>
              <w:bidi w:val="0"/>
              <w:ind w:firstLine="0"/>
              <w:jc w:val="center"/>
              <w:rPr>
                <w:rFonts w:hint="default" w:eastAsia="仿宋_GB2312"/>
                <w:highlight w:val="none"/>
                <w:lang w:val="en-US" w:eastAsia="zh-CN"/>
              </w:rPr>
            </w:pPr>
            <w:r>
              <w:rPr>
                <w:rFonts w:hint="eastAsia"/>
                <w:highlight w:val="none"/>
                <w:lang w:val="en-US" w:eastAsia="zh-CN"/>
              </w:rPr>
              <w:t>重复占地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067" w:type="pct"/>
            <w:gridSpan w:val="3"/>
            <w:shd w:val="clear" w:color="auto" w:fill="auto"/>
            <w:vAlign w:val="center"/>
          </w:tcPr>
          <w:p>
            <w:pPr>
              <w:pStyle w:val="84"/>
              <w:widowControl w:val="0"/>
              <w:bidi w:val="0"/>
              <w:ind w:firstLine="0"/>
              <w:jc w:val="center"/>
              <w:rPr>
                <w:rFonts w:eastAsia="仿宋_GB2312"/>
                <w:highlight w:val="none"/>
                <w:lang w:eastAsia="zh-CN"/>
              </w:rPr>
            </w:pPr>
            <w:r>
              <w:rPr>
                <w:highlight w:val="none"/>
              </w:rPr>
              <w:t>合计</w:t>
            </w:r>
          </w:p>
        </w:tc>
        <w:tc>
          <w:tcPr>
            <w:tcW w:w="609" w:type="pct"/>
            <w:shd w:val="clear" w:color="auto" w:fill="auto"/>
            <w:vAlign w:val="center"/>
          </w:tcPr>
          <w:p>
            <w:pPr>
              <w:pStyle w:val="56"/>
              <w:widowControl w:val="0"/>
              <w:bidi w:val="0"/>
              <w:ind w:left="0" w:leftChars="0" w:firstLine="0" w:firstLineChars="0"/>
              <w:jc w:val="center"/>
              <w:textAlignment w:val="center"/>
              <w:rPr>
                <w:rFonts w:hint="default" w:eastAsia="仿宋_GB2312"/>
                <w:spacing w:val="-2"/>
                <w:kern w:val="0"/>
                <w:sz w:val="21"/>
                <w:szCs w:val="21"/>
                <w:highlight w:val="none"/>
                <w:lang w:val="en-US" w:eastAsia="zh-CN"/>
              </w:rPr>
            </w:pPr>
            <w:r>
              <w:rPr>
                <w:rFonts w:hint="eastAsia" w:eastAsia="仿宋_GB2312"/>
                <w:spacing w:val="-2"/>
                <w:kern w:val="0"/>
                <w:sz w:val="21"/>
                <w:szCs w:val="21"/>
                <w:highlight w:val="none"/>
                <w:lang w:val="en-US" w:eastAsia="zh-CN"/>
              </w:rPr>
              <w:t>0.45</w:t>
            </w:r>
          </w:p>
        </w:tc>
        <w:tc>
          <w:tcPr>
            <w:tcW w:w="672" w:type="pct"/>
            <w:vAlign w:val="center"/>
          </w:tcPr>
          <w:p>
            <w:pPr>
              <w:pStyle w:val="84"/>
              <w:widowControl w:val="0"/>
              <w:bidi w:val="0"/>
              <w:ind w:firstLine="0"/>
              <w:jc w:val="center"/>
              <w:rPr>
                <w:rFonts w:hint="default" w:eastAsia="仿宋_GB2312"/>
                <w:highlight w:val="none"/>
                <w:lang w:val="en-US" w:eastAsia="zh-CN"/>
              </w:rPr>
            </w:pPr>
            <w:r>
              <w:rPr>
                <w:rFonts w:hint="eastAsia"/>
                <w:highlight w:val="none"/>
                <w:lang w:val="en-US" w:eastAsia="zh-CN"/>
              </w:rPr>
              <w:t>0.17</w:t>
            </w:r>
          </w:p>
        </w:tc>
        <w:tc>
          <w:tcPr>
            <w:tcW w:w="1651" w:type="pct"/>
            <w:vAlign w:val="center"/>
          </w:tcPr>
          <w:p>
            <w:pPr>
              <w:pStyle w:val="56"/>
              <w:widowControl w:val="0"/>
              <w:bidi w:val="0"/>
              <w:spacing w:line="240" w:lineRule="auto"/>
              <w:ind w:firstLine="0"/>
              <w:jc w:val="center"/>
              <w:textAlignment w:val="center"/>
              <w:rPr>
                <w:rFonts w:ascii="Times New Roman" w:hAnsi="Times New Roman" w:eastAsia="仿宋_GB2312" w:cs="Times New Roman"/>
                <w:spacing w:val="-2"/>
                <w:kern w:val="0"/>
                <w:sz w:val="21"/>
                <w:szCs w:val="21"/>
                <w:highlight w:val="none"/>
                <w:lang w:val="en-US" w:eastAsia="zh-CN" w:bidi="ar-SA"/>
              </w:rPr>
            </w:pPr>
          </w:p>
        </w:tc>
      </w:tr>
    </w:tbl>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5.3.1 建筑物区</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1、工程措施</w:t>
      </w:r>
    </w:p>
    <w:p>
      <w:pPr>
        <w:pStyle w:val="55"/>
        <w:ind w:firstLine="480"/>
        <w:rPr>
          <w:rFonts w:hint="default" w:ascii="Times New Roman" w:hAnsi="Times New Roman" w:eastAsia="仿宋_GB2312" w:cs="Times New Roman"/>
          <w:color w:val="auto"/>
          <w:highlight w:val="none"/>
        </w:rPr>
      </w:pPr>
      <w:r>
        <w:rPr>
          <w:rFonts w:hint="eastAsia" w:ascii="Times New Roman" w:hAnsi="Times New Roman" w:cs="Times New Roman"/>
          <w:color w:val="auto"/>
          <w:highlight w:val="none"/>
          <w:lang w:eastAsia="zh-CN"/>
        </w:rPr>
        <w:t>①土地平整：</w:t>
      </w:r>
      <w:r>
        <w:rPr>
          <w:rFonts w:hint="default" w:ascii="Times New Roman" w:hAnsi="Times New Roman" w:eastAsia="仿宋_GB2312" w:cs="Times New Roman"/>
          <w:color w:val="auto"/>
          <w:highlight w:val="none"/>
        </w:rPr>
        <w:t>根据</w:t>
      </w:r>
      <w:r>
        <w:rPr>
          <w:rFonts w:hint="eastAsia" w:cs="Times New Roman"/>
          <w:color w:val="auto"/>
          <w:highlight w:val="none"/>
          <w:lang w:eastAsia="zh-CN"/>
        </w:rPr>
        <w:t>主体资料</w:t>
      </w:r>
      <w:r>
        <w:rPr>
          <w:rFonts w:hint="default" w:ascii="Times New Roman" w:hAnsi="Times New Roman" w:eastAsia="仿宋_GB2312" w:cs="Times New Roman"/>
          <w:color w:val="auto"/>
          <w:highlight w:val="none"/>
        </w:rPr>
        <w:t>，该区域施工</w:t>
      </w:r>
      <w:r>
        <w:rPr>
          <w:rFonts w:hint="eastAsia" w:ascii="Times New Roman" w:hAnsi="Times New Roman" w:cs="Times New Roman"/>
          <w:color w:val="auto"/>
          <w:highlight w:val="none"/>
          <w:lang w:eastAsia="zh-CN"/>
        </w:rPr>
        <w:t>后</w:t>
      </w:r>
      <w:r>
        <w:rPr>
          <w:rFonts w:hint="default" w:ascii="Times New Roman" w:hAnsi="Times New Roman" w:eastAsia="仿宋_GB2312" w:cs="Times New Roman"/>
          <w:color w:val="auto"/>
          <w:highlight w:val="none"/>
        </w:rPr>
        <w:t>需对</w:t>
      </w:r>
      <w:r>
        <w:rPr>
          <w:rFonts w:hint="eastAsia" w:ascii="Times New Roman" w:hAnsi="Times New Roman" w:cs="Times New Roman"/>
          <w:color w:val="auto"/>
          <w:highlight w:val="none"/>
          <w:lang w:eastAsia="zh-CN"/>
        </w:rPr>
        <w:t>建筑物区</w:t>
      </w:r>
      <w:r>
        <w:rPr>
          <w:rFonts w:hint="default" w:ascii="Times New Roman" w:hAnsi="Times New Roman" w:eastAsia="仿宋_GB2312" w:cs="Times New Roman"/>
          <w:color w:val="auto"/>
          <w:highlight w:val="none"/>
        </w:rPr>
        <w:t>进行</w:t>
      </w:r>
      <w:r>
        <w:rPr>
          <w:rFonts w:hint="eastAsia" w:cs="Times New Roman"/>
          <w:color w:val="auto"/>
          <w:highlight w:val="none"/>
          <w:lang w:eastAsia="zh-CN"/>
        </w:rPr>
        <w:t>土地平整</w:t>
      </w:r>
      <w:r>
        <w:rPr>
          <w:rFonts w:hint="default" w:ascii="Times New Roman" w:hAnsi="Times New Roman" w:eastAsia="仿宋_GB2312" w:cs="Times New Roman"/>
          <w:color w:val="auto"/>
          <w:highlight w:val="none"/>
        </w:rPr>
        <w:t>措施，提高土层抗风蚀能力，具有一定的水土保持效果，</w:t>
      </w:r>
      <w:r>
        <w:rPr>
          <w:rFonts w:hint="eastAsia" w:cs="Times New Roman"/>
          <w:color w:val="auto"/>
          <w:highlight w:val="none"/>
          <w:lang w:eastAsia="zh-CN"/>
        </w:rPr>
        <w:t>土地平整</w:t>
      </w:r>
      <w:r>
        <w:rPr>
          <w:rFonts w:hint="default" w:ascii="Times New Roman" w:hAnsi="Times New Roman" w:eastAsia="仿宋_GB2312" w:cs="Times New Roman"/>
          <w:color w:val="auto"/>
          <w:highlight w:val="none"/>
        </w:rPr>
        <w:t>措施共计</w:t>
      </w:r>
      <w:r>
        <w:rPr>
          <w:rFonts w:hint="eastAsia" w:cs="Times New Roman"/>
          <w:color w:val="auto"/>
          <w:highlight w:val="none"/>
          <w:lang w:val="en-US" w:eastAsia="zh-CN"/>
        </w:rPr>
        <w:t>0.08h</w:t>
      </w:r>
      <w:r>
        <w:rPr>
          <w:rFonts w:hint="eastAsia" w:cs="Times New Roman"/>
          <w:color w:val="auto"/>
          <w:highlight w:val="none"/>
          <w:lang w:eastAsia="zh-CN"/>
        </w:rPr>
        <w:t>m²</w:t>
      </w:r>
      <w:r>
        <w:rPr>
          <w:rFonts w:hint="default" w:ascii="Times New Roman" w:hAnsi="Times New Roman" w:eastAsia="仿宋_GB2312" w:cs="Times New Roman"/>
          <w:color w:val="auto"/>
          <w:highlight w:val="none"/>
        </w:rPr>
        <w:t>。</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①</w:t>
      </w:r>
      <w:r>
        <w:rPr>
          <w:rFonts w:hint="eastAsia" w:cs="Times New Roman"/>
          <w:color w:val="auto"/>
          <w:highlight w:val="none"/>
          <w:lang w:val="en-US" w:eastAsia="zh-CN"/>
        </w:rPr>
        <w:t>全面整地</w:t>
      </w:r>
      <w:r>
        <w:rPr>
          <w:rFonts w:hint="default" w:ascii="Times New Roman" w:hAnsi="Times New Roman" w:eastAsia="仿宋_GB2312" w:cs="Times New Roman"/>
          <w:color w:val="auto"/>
          <w:highlight w:val="none"/>
        </w:rPr>
        <w:t>：项目区在撒播草籽前，对该区域采取</w:t>
      </w:r>
      <w:r>
        <w:rPr>
          <w:rFonts w:hint="eastAsia" w:cs="Times New Roman"/>
          <w:color w:val="auto"/>
          <w:highlight w:val="none"/>
          <w:lang w:val="en-US" w:eastAsia="zh-CN"/>
        </w:rPr>
        <w:t>全面整地</w:t>
      </w:r>
      <w:r>
        <w:rPr>
          <w:rFonts w:hint="default" w:ascii="Times New Roman" w:hAnsi="Times New Roman" w:eastAsia="仿宋_GB2312" w:cs="Times New Roman"/>
          <w:color w:val="auto"/>
          <w:highlight w:val="none"/>
        </w:rPr>
        <w:t>措施，</w:t>
      </w:r>
      <w:r>
        <w:rPr>
          <w:rFonts w:hint="eastAsia" w:cs="Times New Roman"/>
          <w:color w:val="auto"/>
          <w:highlight w:val="none"/>
          <w:lang w:eastAsia="zh-CN"/>
        </w:rPr>
        <w:t>全面整地</w:t>
      </w:r>
      <w:r>
        <w:rPr>
          <w:rFonts w:hint="default" w:ascii="Times New Roman" w:hAnsi="Times New Roman" w:eastAsia="仿宋_GB2312" w:cs="Times New Roman"/>
          <w:color w:val="auto"/>
          <w:highlight w:val="none"/>
        </w:rPr>
        <w:t>面积</w:t>
      </w:r>
      <w:r>
        <w:rPr>
          <w:rFonts w:hint="eastAsia" w:cs="Times New Roman"/>
          <w:color w:val="auto"/>
          <w:highlight w:val="none"/>
          <w:lang w:val="en-US" w:eastAsia="zh-CN"/>
        </w:rPr>
        <w:t>0.17hm²</w:t>
      </w:r>
      <w:r>
        <w:rPr>
          <w:rFonts w:hint="default" w:ascii="Times New Roman" w:hAnsi="Times New Roman" w:eastAsia="仿宋_GB2312" w:cs="Times New Roman"/>
          <w:color w:val="auto"/>
          <w:highlight w:val="none"/>
        </w:rPr>
        <w:t>。</w:t>
      </w:r>
      <w:r>
        <w:rPr>
          <w:rFonts w:hint="eastAsia" w:cs="Times New Roman"/>
          <w:color w:val="auto"/>
          <w:highlight w:val="none"/>
          <w:lang w:val="en-US" w:eastAsia="zh-CN"/>
        </w:rPr>
        <w:t>该措施</w:t>
      </w:r>
      <w:r>
        <w:rPr>
          <w:rFonts w:hint="default" w:ascii="Times New Roman" w:hAnsi="Times New Roman" w:eastAsia="仿宋_GB2312" w:cs="Times New Roman"/>
          <w:color w:val="auto"/>
          <w:highlight w:val="none"/>
        </w:rPr>
        <w:t>能够改变下垫面条件，增加地表抗风蚀能力，有效减少水土流失的产生。</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2、植物措施</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①撒播草籽：主体工程对站区北侧，办公楼后侧空地实施撒播草籽绿化改善项目区环境，绿化面积约</w:t>
      </w:r>
      <w:r>
        <w:rPr>
          <w:rFonts w:hint="eastAsia" w:cs="Times New Roman"/>
          <w:color w:val="auto"/>
          <w:highlight w:val="none"/>
          <w:lang w:val="en-US" w:eastAsia="zh-CN"/>
        </w:rPr>
        <w:t>0.17hm²</w:t>
      </w:r>
      <w:r>
        <w:rPr>
          <w:rFonts w:hint="default" w:ascii="Times New Roman" w:hAnsi="Times New Roman" w:eastAsia="仿宋_GB2312" w:cs="Times New Roman"/>
          <w:color w:val="auto"/>
          <w:highlight w:val="none"/>
        </w:rPr>
        <w:t>，采用人工灌溉。</w:t>
      </w:r>
    </w:p>
    <w:p>
      <w:pPr>
        <w:pStyle w:val="55"/>
        <w:ind w:firstLine="480"/>
        <w:rPr>
          <w:rFonts w:hint="default" w:ascii="Times New Roman" w:hAnsi="Times New Roman" w:eastAsia="仿宋_GB2312" w:cs="Times New Roman"/>
          <w:color w:val="auto"/>
          <w:highlight w:val="none"/>
        </w:rPr>
      </w:pPr>
      <w:r>
        <w:rPr>
          <w:rFonts w:hint="eastAsia" w:cs="Times New Roman"/>
          <w:color w:val="auto"/>
          <w:highlight w:val="none"/>
          <w:lang w:val="en-US" w:eastAsia="zh-CN"/>
        </w:rPr>
        <w:t>3</w:t>
      </w:r>
      <w:r>
        <w:rPr>
          <w:rFonts w:hint="default" w:ascii="Times New Roman" w:hAnsi="Times New Roman" w:eastAsia="仿宋_GB2312" w:cs="Times New Roman"/>
          <w:color w:val="auto"/>
          <w:highlight w:val="none"/>
        </w:rPr>
        <w:t>、临时措施</w:t>
      </w:r>
    </w:p>
    <w:p>
      <w:pPr>
        <w:pStyle w:val="55"/>
        <w:ind w:firstLine="480"/>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①防尘网苫盖</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根据查阅</w:t>
      </w:r>
      <w:r>
        <w:rPr>
          <w:rFonts w:hint="eastAsia" w:cs="Times New Roman"/>
          <w:color w:val="auto"/>
          <w:highlight w:val="none"/>
          <w:lang w:eastAsia="zh-CN"/>
        </w:rPr>
        <w:t>的主体资料</w:t>
      </w:r>
      <w:r>
        <w:rPr>
          <w:rFonts w:hint="default" w:ascii="Times New Roman" w:hAnsi="Times New Roman" w:eastAsia="仿宋_GB2312" w:cs="Times New Roman"/>
          <w:color w:val="auto"/>
          <w:highlight w:val="none"/>
        </w:rPr>
        <w:t>，建设期间，基础开挖土方临时堆置在建构筑物旁的空地上，为防止堆置期间产生水土流失，主体施工过程中对临时堆土采取防尘网苫盖，需防尘网</w:t>
      </w:r>
      <w:r>
        <w:rPr>
          <w:rFonts w:hint="eastAsia" w:cs="Times New Roman"/>
          <w:color w:val="auto"/>
          <w:highlight w:val="none"/>
          <w:lang w:val="en-US" w:eastAsia="zh-CN"/>
        </w:rPr>
        <w:t>400</w:t>
      </w:r>
      <w:r>
        <w:rPr>
          <w:rFonts w:hint="default" w:ascii="Times New Roman" w:hAnsi="Times New Roman" w:eastAsia="仿宋_GB2312" w:cs="Times New Roman"/>
          <w:color w:val="auto"/>
          <w:highlight w:val="none"/>
        </w:rPr>
        <w:t>m²。</w:t>
      </w:r>
    </w:p>
    <w:p>
      <w:pPr>
        <w:pStyle w:val="55"/>
        <w:ind w:firstLine="480"/>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②洒水降尘</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对主体在工程建设过程中在有风天气和干燥天气采取防尘洒水措施，抑制扬尘，以防止地表扰动产生的水土流失。采用8m³洒水车洒水，洒水面积</w:t>
      </w:r>
      <w:r>
        <w:rPr>
          <w:rFonts w:hint="eastAsia" w:cs="Times New Roman"/>
          <w:color w:val="auto"/>
          <w:highlight w:val="none"/>
          <w:lang w:val="en-US" w:eastAsia="zh-CN"/>
        </w:rPr>
        <w:t>0.25h</w:t>
      </w:r>
      <w:r>
        <w:rPr>
          <w:rFonts w:hint="eastAsia" w:cs="Times New Roman"/>
          <w:color w:val="auto"/>
          <w:highlight w:val="none"/>
          <w:lang w:eastAsia="zh-CN"/>
        </w:rPr>
        <w:t>m²</w:t>
      </w:r>
      <w:r>
        <w:rPr>
          <w:rFonts w:hint="default" w:ascii="Times New Roman" w:hAnsi="Times New Roman" w:eastAsia="仿宋_GB2312" w:cs="Times New Roman"/>
          <w:color w:val="auto"/>
          <w:highlight w:val="none"/>
        </w:rPr>
        <w:t>，洒水</w:t>
      </w:r>
      <w:r>
        <w:rPr>
          <w:rFonts w:hint="eastAsia" w:cs="Times New Roman"/>
          <w:color w:val="auto"/>
          <w:highlight w:val="none"/>
          <w:lang w:val="en-US" w:eastAsia="zh-CN"/>
        </w:rPr>
        <w:t>135</w:t>
      </w:r>
      <w:r>
        <w:rPr>
          <w:rFonts w:hint="default" w:ascii="Times New Roman" w:hAnsi="Times New Roman" w:eastAsia="仿宋_GB2312" w:cs="Times New Roman"/>
          <w:color w:val="auto"/>
          <w:highlight w:val="none"/>
        </w:rPr>
        <w:t>天，整个建设期共计洒水量约为</w:t>
      </w:r>
      <w:r>
        <w:rPr>
          <w:rFonts w:hint="eastAsia" w:cs="Times New Roman"/>
          <w:color w:val="auto"/>
          <w:highlight w:val="none"/>
          <w:lang w:val="en-US" w:eastAsia="zh-CN"/>
        </w:rPr>
        <w:t>800</w:t>
      </w:r>
      <w:r>
        <w:rPr>
          <w:rFonts w:hint="default" w:ascii="Times New Roman" w:hAnsi="Times New Roman" w:eastAsia="仿宋_GB2312" w:cs="Times New Roman"/>
          <w:color w:val="auto"/>
          <w:highlight w:val="none"/>
        </w:rPr>
        <w:t>m³。</w:t>
      </w:r>
    </w:p>
    <w:p>
      <w:pPr>
        <w:pStyle w:val="55"/>
        <w:ind w:firstLine="480"/>
        <w:rPr>
          <w:rFonts w:hint="eastAsia" w:cs="Times New Roman"/>
          <w:color w:val="auto"/>
          <w:highlight w:val="none"/>
          <w:lang w:eastAsia="zh-CN"/>
        </w:rPr>
      </w:pPr>
      <w:r>
        <w:rPr>
          <w:rFonts w:hint="eastAsia" w:cs="Times New Roman"/>
          <w:color w:val="auto"/>
          <w:highlight w:val="none"/>
          <w:lang w:eastAsia="zh-CN"/>
        </w:rPr>
        <w:t>③彩钢板围挡</w:t>
      </w:r>
    </w:p>
    <w:p>
      <w:pPr>
        <w:pStyle w:val="55"/>
        <w:ind w:firstLine="480"/>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根据查阅</w:t>
      </w:r>
      <w:r>
        <w:rPr>
          <w:rFonts w:hint="eastAsia" w:ascii="Times New Roman" w:hAnsi="Times New Roman" w:cs="Times New Roman"/>
          <w:color w:val="auto"/>
          <w:highlight w:val="none"/>
          <w:lang w:eastAsia="zh-CN"/>
        </w:rPr>
        <w:t>的</w:t>
      </w:r>
      <w:r>
        <w:rPr>
          <w:rFonts w:hint="eastAsia" w:cs="Times New Roman"/>
          <w:color w:val="auto"/>
          <w:highlight w:val="none"/>
          <w:lang w:eastAsia="zh-CN"/>
        </w:rPr>
        <w:t>主体资料</w:t>
      </w:r>
      <w:r>
        <w:rPr>
          <w:rFonts w:hint="default" w:ascii="Times New Roman" w:hAnsi="Times New Roman" w:cs="Times New Roman"/>
          <w:color w:val="auto"/>
          <w:highlight w:val="none"/>
        </w:rPr>
        <w:t>，主体在施工前为限制扰动边界，对项目区四周布设彩钢板围栏，彩钢板长度约</w:t>
      </w:r>
      <w:r>
        <w:rPr>
          <w:rFonts w:hint="eastAsia" w:cs="Times New Roman"/>
          <w:color w:val="auto"/>
          <w:highlight w:val="none"/>
          <w:lang w:val="en-US" w:eastAsia="zh-CN"/>
        </w:rPr>
        <w:t>260</w:t>
      </w:r>
      <w:r>
        <w:rPr>
          <w:rFonts w:hint="default" w:ascii="Times New Roman" w:hAnsi="Times New Roman" w:cs="Times New Roman"/>
          <w:color w:val="auto"/>
          <w:highlight w:val="none"/>
        </w:rPr>
        <w:t>m。</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r>
        <w:rPr>
          <w:rFonts w:hint="eastAsia" w:cs="Times New Roman"/>
          <w:color w:val="auto"/>
          <w:highlight w:val="none"/>
          <w:lang w:val="en-US" w:eastAsia="zh-CN"/>
        </w:rPr>
        <w:t>3</w:t>
      </w:r>
      <w:r>
        <w:rPr>
          <w:rFonts w:hint="default" w:ascii="Times New Roman" w:hAnsi="Times New Roman" w:eastAsia="仿宋_GB2312" w:cs="Times New Roman"/>
          <w:color w:val="auto"/>
          <w:highlight w:val="none"/>
        </w:rPr>
        <w:t>.2</w:t>
      </w:r>
      <w:r>
        <w:rPr>
          <w:rFonts w:hint="eastAsia" w:cs="Times New Roman"/>
          <w:color w:val="auto"/>
          <w:highlight w:val="none"/>
          <w:lang w:val="en-US" w:eastAsia="zh-CN"/>
        </w:rPr>
        <w:t xml:space="preserve"> </w:t>
      </w:r>
      <w:r>
        <w:rPr>
          <w:rFonts w:hint="eastAsia" w:cs="Times New Roman"/>
          <w:color w:val="auto"/>
          <w:highlight w:val="none"/>
          <w:lang w:eastAsia="zh-CN"/>
        </w:rPr>
        <w:t>管线工程</w:t>
      </w:r>
      <w:r>
        <w:rPr>
          <w:rFonts w:hint="default" w:ascii="Times New Roman" w:hAnsi="Times New Roman" w:eastAsia="仿宋_GB2312" w:cs="Times New Roman"/>
          <w:color w:val="auto"/>
          <w:highlight w:val="none"/>
        </w:rPr>
        <w:t>区（重复占地）</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1、工程措施</w:t>
      </w:r>
    </w:p>
    <w:p>
      <w:pPr>
        <w:pStyle w:val="55"/>
        <w:ind w:firstLine="480"/>
        <w:rPr>
          <w:rFonts w:hint="default" w:ascii="Times New Roman" w:hAnsi="Times New Roman" w:eastAsia="仿宋_GB2312" w:cs="Times New Roman"/>
          <w:color w:val="auto"/>
          <w:highlight w:val="none"/>
        </w:rPr>
      </w:pPr>
      <w:r>
        <w:rPr>
          <w:rFonts w:hint="eastAsia" w:ascii="Times New Roman" w:hAnsi="Times New Roman" w:cs="Times New Roman"/>
          <w:color w:val="auto"/>
          <w:highlight w:val="none"/>
          <w:lang w:eastAsia="zh-CN"/>
        </w:rPr>
        <w:t>①土地平整：</w:t>
      </w:r>
      <w:r>
        <w:rPr>
          <w:rFonts w:hint="default" w:ascii="Times New Roman" w:hAnsi="Times New Roman" w:eastAsia="仿宋_GB2312" w:cs="Times New Roman"/>
          <w:color w:val="auto"/>
          <w:highlight w:val="none"/>
        </w:rPr>
        <w:t>根据</w:t>
      </w:r>
      <w:r>
        <w:rPr>
          <w:rFonts w:hint="eastAsia" w:cs="Times New Roman"/>
          <w:color w:val="auto"/>
          <w:highlight w:val="none"/>
          <w:lang w:eastAsia="zh-CN"/>
        </w:rPr>
        <w:t>主体资料</w:t>
      </w:r>
      <w:r>
        <w:rPr>
          <w:rFonts w:hint="default" w:ascii="Times New Roman" w:hAnsi="Times New Roman" w:eastAsia="仿宋_GB2312" w:cs="Times New Roman"/>
          <w:color w:val="auto"/>
          <w:highlight w:val="none"/>
        </w:rPr>
        <w:t>，该区域施工</w:t>
      </w:r>
      <w:r>
        <w:rPr>
          <w:rFonts w:hint="eastAsia" w:ascii="Times New Roman" w:hAnsi="Times New Roman" w:cs="Times New Roman"/>
          <w:color w:val="auto"/>
          <w:highlight w:val="none"/>
          <w:lang w:eastAsia="zh-CN"/>
        </w:rPr>
        <w:t>后</w:t>
      </w:r>
      <w:r>
        <w:rPr>
          <w:rFonts w:hint="default" w:ascii="Times New Roman" w:hAnsi="Times New Roman" w:eastAsia="仿宋_GB2312" w:cs="Times New Roman"/>
          <w:color w:val="auto"/>
          <w:highlight w:val="none"/>
        </w:rPr>
        <w:t>需对</w:t>
      </w:r>
      <w:r>
        <w:rPr>
          <w:rFonts w:hint="eastAsia" w:ascii="Times New Roman" w:hAnsi="Times New Roman" w:cs="Times New Roman"/>
          <w:color w:val="auto"/>
          <w:highlight w:val="none"/>
          <w:lang w:eastAsia="zh-CN"/>
        </w:rPr>
        <w:t>管线工程区</w:t>
      </w:r>
      <w:r>
        <w:rPr>
          <w:rFonts w:hint="default" w:ascii="Times New Roman" w:hAnsi="Times New Roman" w:eastAsia="仿宋_GB2312" w:cs="Times New Roman"/>
          <w:color w:val="auto"/>
          <w:highlight w:val="none"/>
        </w:rPr>
        <w:t>进行</w:t>
      </w:r>
      <w:r>
        <w:rPr>
          <w:rFonts w:hint="eastAsia" w:cs="Times New Roman"/>
          <w:color w:val="auto"/>
          <w:highlight w:val="none"/>
          <w:lang w:eastAsia="zh-CN"/>
        </w:rPr>
        <w:t>土地平整</w:t>
      </w:r>
      <w:r>
        <w:rPr>
          <w:rFonts w:hint="default" w:ascii="Times New Roman" w:hAnsi="Times New Roman" w:eastAsia="仿宋_GB2312" w:cs="Times New Roman"/>
          <w:color w:val="auto"/>
          <w:highlight w:val="none"/>
        </w:rPr>
        <w:t>措施，提高土层抗风蚀能力，</w:t>
      </w:r>
      <w:r>
        <w:rPr>
          <w:rFonts w:hint="eastAsia" w:cs="Times New Roman"/>
          <w:color w:val="auto"/>
          <w:highlight w:val="none"/>
          <w:lang w:eastAsia="zh-CN"/>
        </w:rPr>
        <w:t>土地平整</w:t>
      </w:r>
      <w:r>
        <w:rPr>
          <w:rFonts w:hint="default" w:ascii="Times New Roman" w:hAnsi="Times New Roman" w:eastAsia="仿宋_GB2312" w:cs="Times New Roman"/>
          <w:color w:val="auto"/>
          <w:highlight w:val="none"/>
        </w:rPr>
        <w:t>措施共计</w:t>
      </w:r>
      <w:r>
        <w:rPr>
          <w:rFonts w:hint="eastAsia" w:cs="Times New Roman"/>
          <w:color w:val="auto"/>
          <w:highlight w:val="none"/>
          <w:lang w:val="en-US" w:eastAsia="zh-CN"/>
        </w:rPr>
        <w:t>0.02h</w:t>
      </w:r>
      <w:r>
        <w:rPr>
          <w:rFonts w:hint="eastAsia" w:cs="Times New Roman"/>
          <w:color w:val="auto"/>
          <w:highlight w:val="none"/>
          <w:lang w:eastAsia="zh-CN"/>
        </w:rPr>
        <w:t>m²</w:t>
      </w:r>
      <w:r>
        <w:rPr>
          <w:rFonts w:hint="default" w:ascii="Times New Roman" w:hAnsi="Times New Roman" w:eastAsia="仿宋_GB2312" w:cs="Times New Roman"/>
          <w:color w:val="auto"/>
          <w:highlight w:val="none"/>
        </w:rPr>
        <w:t>。</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3、临时措施</w:t>
      </w:r>
    </w:p>
    <w:p>
      <w:pPr>
        <w:pStyle w:val="55"/>
        <w:ind w:firstLine="480"/>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①防尘网苫盖</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根据查阅</w:t>
      </w:r>
      <w:r>
        <w:rPr>
          <w:rFonts w:hint="eastAsia" w:cs="Times New Roman"/>
          <w:color w:val="auto"/>
          <w:highlight w:val="none"/>
          <w:lang w:eastAsia="zh-CN"/>
        </w:rPr>
        <w:t>的主体资料</w:t>
      </w:r>
      <w:r>
        <w:rPr>
          <w:rFonts w:hint="default" w:ascii="Times New Roman" w:hAnsi="Times New Roman" w:eastAsia="仿宋_GB2312" w:cs="Times New Roman"/>
          <w:color w:val="auto"/>
          <w:highlight w:val="none"/>
        </w:rPr>
        <w:t>，建设期间，基础开挖土方临时堆置在建构筑物旁的空地上，为防止堆置期间产生水土流失，主体施工过程中对临时堆土采取防尘网苫盖，需防尘网</w:t>
      </w:r>
      <w:r>
        <w:rPr>
          <w:rFonts w:hint="eastAsia" w:cs="Times New Roman"/>
          <w:color w:val="auto"/>
          <w:highlight w:val="none"/>
          <w:lang w:val="en-US" w:eastAsia="zh-CN"/>
        </w:rPr>
        <w:t>100</w:t>
      </w:r>
      <w:r>
        <w:rPr>
          <w:rFonts w:hint="default" w:ascii="Times New Roman" w:hAnsi="Times New Roman" w:eastAsia="仿宋_GB2312" w:cs="Times New Roman"/>
          <w:color w:val="auto"/>
          <w:highlight w:val="none"/>
        </w:rPr>
        <w:t>m²。</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r>
        <w:rPr>
          <w:rFonts w:hint="eastAsia" w:cs="Times New Roman"/>
          <w:color w:val="auto"/>
          <w:highlight w:val="none"/>
          <w:lang w:val="en-US" w:eastAsia="zh-CN"/>
        </w:rPr>
        <w:t>3.</w:t>
      </w:r>
      <w:r>
        <w:rPr>
          <w:rFonts w:hint="default" w:ascii="Times New Roman" w:hAnsi="Times New Roman" w:eastAsia="仿宋_GB2312" w:cs="Times New Roman"/>
          <w:color w:val="auto"/>
          <w:highlight w:val="none"/>
        </w:rPr>
        <w:t xml:space="preserve">3 </w:t>
      </w:r>
      <w:r>
        <w:rPr>
          <w:rFonts w:hint="eastAsia" w:cs="Times New Roman"/>
          <w:color w:val="auto"/>
          <w:highlight w:val="none"/>
          <w:lang w:eastAsia="zh-CN"/>
        </w:rPr>
        <w:t>道路及硬化</w:t>
      </w:r>
      <w:r>
        <w:rPr>
          <w:rFonts w:hint="default" w:ascii="Times New Roman" w:hAnsi="Times New Roman" w:eastAsia="仿宋_GB2312" w:cs="Times New Roman"/>
          <w:color w:val="auto"/>
          <w:highlight w:val="none"/>
        </w:rPr>
        <w:t>区</w:t>
      </w:r>
    </w:p>
    <w:p>
      <w:pPr>
        <w:pStyle w:val="55"/>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根据主体资料，该区域施工结束后对施工迹地进行</w:t>
      </w:r>
      <w:r>
        <w:rPr>
          <w:rFonts w:hint="eastAsia" w:cs="Times New Roman"/>
          <w:color w:val="auto"/>
          <w:highlight w:val="none"/>
          <w:lang w:val="en-US" w:eastAsia="zh-CN"/>
        </w:rPr>
        <w:t>地面硬化及土地平整</w:t>
      </w:r>
      <w:r>
        <w:rPr>
          <w:rFonts w:hint="eastAsia" w:ascii="Times New Roman" w:hAnsi="Times New Roman" w:cs="Times New Roman"/>
          <w:color w:val="auto"/>
          <w:highlight w:val="none"/>
          <w:lang w:val="en-US" w:eastAsia="zh-CN"/>
        </w:rPr>
        <w:t>措施，但</w:t>
      </w:r>
      <w:r>
        <w:rPr>
          <w:rFonts w:hint="eastAsia" w:cs="Times New Roman"/>
          <w:color w:val="auto"/>
          <w:highlight w:val="none"/>
          <w:lang w:val="en-US" w:eastAsia="zh-CN"/>
        </w:rPr>
        <w:t>该</w:t>
      </w:r>
      <w:r>
        <w:rPr>
          <w:rFonts w:hint="eastAsia" w:ascii="Times New Roman" w:hAnsi="Times New Roman" w:cs="Times New Roman"/>
          <w:color w:val="auto"/>
          <w:highlight w:val="none"/>
          <w:lang w:val="en-US" w:eastAsia="zh-CN"/>
        </w:rPr>
        <w:t>措施为主体工程施工工序此次不纳入方案措施，方案新增对施工过程中产生的扬尘采取洒水措施。</w:t>
      </w:r>
    </w:p>
    <w:p>
      <w:pPr>
        <w:pStyle w:val="55"/>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1、临时措施</w:t>
      </w:r>
    </w:p>
    <w:p>
      <w:pPr>
        <w:pStyle w:val="55"/>
        <w:ind w:firstLine="480"/>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①洒水降尘</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根据查阅</w:t>
      </w:r>
      <w:r>
        <w:rPr>
          <w:rFonts w:hint="eastAsia" w:ascii="Times New Roman" w:hAnsi="Times New Roman" w:cs="Times New Roman"/>
          <w:color w:val="auto"/>
          <w:highlight w:val="none"/>
          <w:lang w:eastAsia="zh-CN"/>
        </w:rPr>
        <w:t>的</w:t>
      </w:r>
      <w:r>
        <w:rPr>
          <w:rFonts w:hint="eastAsia" w:cs="Times New Roman"/>
          <w:color w:val="auto"/>
          <w:highlight w:val="none"/>
          <w:lang w:eastAsia="zh-CN"/>
        </w:rPr>
        <w:t>主体</w:t>
      </w:r>
      <w:r>
        <w:rPr>
          <w:rFonts w:hint="default" w:ascii="Times New Roman" w:hAnsi="Times New Roman" w:eastAsia="仿宋_GB2312" w:cs="Times New Roman"/>
          <w:color w:val="auto"/>
          <w:highlight w:val="none"/>
        </w:rPr>
        <w:t>资料，主体在有风天气和干燥天气采取防尘洒水措施，抑制扬尘，以防止地表扰动产生的水土流失。采用8m³洒水车洒水，洒水面积</w:t>
      </w:r>
      <w:r>
        <w:rPr>
          <w:rFonts w:hint="eastAsia" w:cs="Times New Roman"/>
          <w:color w:val="auto"/>
          <w:highlight w:val="none"/>
          <w:lang w:val="en-US" w:eastAsia="zh-CN"/>
        </w:rPr>
        <w:t>1970</w:t>
      </w:r>
      <w:r>
        <w:rPr>
          <w:rFonts w:hint="eastAsia" w:cs="Times New Roman"/>
          <w:color w:val="auto"/>
          <w:highlight w:val="none"/>
          <w:lang w:eastAsia="zh-CN"/>
        </w:rPr>
        <w:t>m²</w:t>
      </w:r>
      <w:r>
        <w:rPr>
          <w:rFonts w:hint="default" w:ascii="Times New Roman" w:hAnsi="Times New Roman" w:eastAsia="仿宋_GB2312" w:cs="Times New Roman"/>
          <w:color w:val="auto"/>
          <w:highlight w:val="none"/>
        </w:rPr>
        <w:t>，洒水</w:t>
      </w:r>
      <w:r>
        <w:rPr>
          <w:rFonts w:hint="eastAsia" w:cs="Times New Roman"/>
          <w:color w:val="auto"/>
          <w:highlight w:val="none"/>
          <w:lang w:val="en-US" w:eastAsia="zh-CN"/>
        </w:rPr>
        <w:t>90</w:t>
      </w:r>
      <w:r>
        <w:rPr>
          <w:rFonts w:hint="default" w:ascii="Times New Roman" w:hAnsi="Times New Roman" w:eastAsia="仿宋_GB2312" w:cs="Times New Roman"/>
          <w:color w:val="auto"/>
          <w:highlight w:val="none"/>
        </w:rPr>
        <w:t>天，整个建设期共计洒水量为</w:t>
      </w:r>
      <w:r>
        <w:rPr>
          <w:rFonts w:hint="eastAsia" w:cs="Times New Roman"/>
          <w:color w:val="auto"/>
          <w:highlight w:val="none"/>
          <w:lang w:val="en-US" w:eastAsia="zh-CN"/>
        </w:rPr>
        <w:t>500</w:t>
      </w:r>
      <w:r>
        <w:rPr>
          <w:rFonts w:hint="default" w:ascii="Times New Roman" w:hAnsi="Times New Roman" w:eastAsia="仿宋_GB2312" w:cs="Times New Roman"/>
          <w:color w:val="auto"/>
          <w:highlight w:val="none"/>
        </w:rPr>
        <w:t>m³。</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w:t>
      </w:r>
      <w:r>
        <w:rPr>
          <w:rFonts w:hint="eastAsia" w:cs="Times New Roman"/>
          <w:color w:val="auto"/>
          <w:highlight w:val="none"/>
          <w:lang w:val="en-US" w:eastAsia="zh-CN"/>
        </w:rPr>
        <w:t>3</w:t>
      </w:r>
      <w:r>
        <w:rPr>
          <w:rFonts w:hint="default" w:ascii="Times New Roman" w:hAnsi="Times New Roman" w:eastAsia="仿宋_GB2312" w:cs="Times New Roman"/>
          <w:color w:val="auto"/>
          <w:highlight w:val="none"/>
        </w:rPr>
        <w:t>.</w:t>
      </w:r>
      <w:r>
        <w:rPr>
          <w:rFonts w:hint="eastAsia" w:cs="Times New Roman"/>
          <w:color w:val="auto"/>
          <w:highlight w:val="none"/>
          <w:lang w:val="en-US" w:eastAsia="zh-CN"/>
        </w:rPr>
        <w:t>4</w:t>
      </w:r>
      <w:r>
        <w:rPr>
          <w:rFonts w:hint="default" w:ascii="Times New Roman" w:hAnsi="Times New Roman" w:eastAsia="仿宋_GB2312" w:cs="Times New Roman"/>
          <w:color w:val="auto"/>
          <w:highlight w:val="none"/>
        </w:rPr>
        <w:t xml:space="preserve"> </w:t>
      </w:r>
      <w:r>
        <w:rPr>
          <w:rFonts w:hint="eastAsia" w:cs="Times New Roman"/>
          <w:color w:val="auto"/>
          <w:highlight w:val="none"/>
          <w:lang w:eastAsia="zh-CN"/>
        </w:rPr>
        <w:t>施工生产生活区</w:t>
      </w:r>
      <w:r>
        <w:rPr>
          <w:rFonts w:hint="default" w:ascii="Times New Roman" w:hAnsi="Times New Roman" w:eastAsia="仿宋_GB2312" w:cs="Times New Roman"/>
          <w:color w:val="auto"/>
          <w:highlight w:val="none"/>
        </w:rPr>
        <w:t>（重复占地）</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1、工程措施</w:t>
      </w:r>
    </w:p>
    <w:p>
      <w:pPr>
        <w:pStyle w:val="55"/>
        <w:ind w:firstLine="480"/>
        <w:rPr>
          <w:rFonts w:hint="default" w:ascii="Times New Roman" w:hAnsi="Times New Roman" w:eastAsia="仿宋_GB2312" w:cs="Times New Roman"/>
          <w:color w:val="auto"/>
          <w:highlight w:val="none"/>
        </w:rPr>
      </w:pPr>
      <w:r>
        <w:rPr>
          <w:rFonts w:hint="eastAsia" w:ascii="Times New Roman" w:hAnsi="Times New Roman" w:cs="Times New Roman"/>
          <w:color w:val="auto"/>
          <w:highlight w:val="none"/>
          <w:lang w:eastAsia="zh-CN"/>
        </w:rPr>
        <w:t>①土地平整：</w:t>
      </w:r>
      <w:r>
        <w:rPr>
          <w:rFonts w:hint="default" w:ascii="Times New Roman" w:hAnsi="Times New Roman" w:eastAsia="仿宋_GB2312" w:cs="Times New Roman"/>
          <w:color w:val="auto"/>
          <w:highlight w:val="none"/>
        </w:rPr>
        <w:t>根据</w:t>
      </w:r>
      <w:r>
        <w:rPr>
          <w:rFonts w:hint="eastAsia" w:cs="Times New Roman"/>
          <w:color w:val="auto"/>
          <w:highlight w:val="none"/>
          <w:lang w:eastAsia="zh-CN"/>
        </w:rPr>
        <w:t>主体资料</w:t>
      </w:r>
      <w:r>
        <w:rPr>
          <w:rFonts w:hint="default" w:ascii="Times New Roman" w:hAnsi="Times New Roman" w:eastAsia="仿宋_GB2312" w:cs="Times New Roman"/>
          <w:color w:val="auto"/>
          <w:highlight w:val="none"/>
        </w:rPr>
        <w:t>，该区域施工</w:t>
      </w:r>
      <w:r>
        <w:rPr>
          <w:rFonts w:hint="eastAsia" w:ascii="Times New Roman" w:hAnsi="Times New Roman" w:cs="Times New Roman"/>
          <w:color w:val="auto"/>
          <w:highlight w:val="none"/>
          <w:lang w:eastAsia="zh-CN"/>
        </w:rPr>
        <w:t>后</w:t>
      </w:r>
      <w:r>
        <w:rPr>
          <w:rFonts w:hint="default" w:ascii="Times New Roman" w:hAnsi="Times New Roman" w:eastAsia="仿宋_GB2312" w:cs="Times New Roman"/>
          <w:color w:val="auto"/>
          <w:highlight w:val="none"/>
        </w:rPr>
        <w:t>需对</w:t>
      </w:r>
      <w:r>
        <w:rPr>
          <w:rFonts w:hint="eastAsia" w:ascii="Times New Roman" w:hAnsi="Times New Roman" w:cs="Times New Roman"/>
          <w:color w:val="auto"/>
          <w:highlight w:val="none"/>
          <w:lang w:eastAsia="zh-CN"/>
        </w:rPr>
        <w:t>施工生产生活区</w:t>
      </w:r>
      <w:r>
        <w:rPr>
          <w:rFonts w:hint="default" w:ascii="Times New Roman" w:hAnsi="Times New Roman" w:eastAsia="仿宋_GB2312" w:cs="Times New Roman"/>
          <w:color w:val="auto"/>
          <w:highlight w:val="none"/>
        </w:rPr>
        <w:t>进行</w:t>
      </w:r>
      <w:r>
        <w:rPr>
          <w:rFonts w:hint="eastAsia" w:cs="Times New Roman"/>
          <w:color w:val="auto"/>
          <w:highlight w:val="none"/>
          <w:lang w:eastAsia="zh-CN"/>
        </w:rPr>
        <w:t>土地平整</w:t>
      </w:r>
      <w:r>
        <w:rPr>
          <w:rFonts w:hint="default" w:ascii="Times New Roman" w:hAnsi="Times New Roman" w:eastAsia="仿宋_GB2312" w:cs="Times New Roman"/>
          <w:color w:val="auto"/>
          <w:highlight w:val="none"/>
        </w:rPr>
        <w:t>，提高土层抗风蚀能力，</w:t>
      </w:r>
      <w:r>
        <w:rPr>
          <w:rFonts w:hint="eastAsia" w:cs="Times New Roman"/>
          <w:color w:val="auto"/>
          <w:highlight w:val="none"/>
          <w:lang w:eastAsia="zh-CN"/>
        </w:rPr>
        <w:t>土地平整</w:t>
      </w:r>
      <w:r>
        <w:rPr>
          <w:rFonts w:hint="default" w:ascii="Times New Roman" w:hAnsi="Times New Roman" w:eastAsia="仿宋_GB2312" w:cs="Times New Roman"/>
          <w:color w:val="auto"/>
          <w:highlight w:val="none"/>
        </w:rPr>
        <w:t>措施共计</w:t>
      </w:r>
      <w:r>
        <w:rPr>
          <w:rFonts w:hint="eastAsia" w:cs="Times New Roman"/>
          <w:color w:val="auto"/>
          <w:highlight w:val="none"/>
          <w:lang w:val="en-US" w:eastAsia="zh-CN"/>
        </w:rPr>
        <w:t>0.02h</w:t>
      </w:r>
      <w:r>
        <w:rPr>
          <w:rFonts w:hint="eastAsia" w:cs="Times New Roman"/>
          <w:color w:val="auto"/>
          <w:highlight w:val="none"/>
          <w:lang w:eastAsia="zh-CN"/>
        </w:rPr>
        <w:t>m²</w:t>
      </w:r>
      <w:r>
        <w:rPr>
          <w:rFonts w:hint="default" w:ascii="Times New Roman" w:hAnsi="Times New Roman" w:eastAsia="仿宋_GB2312" w:cs="Times New Roman"/>
          <w:color w:val="auto"/>
          <w:highlight w:val="none"/>
        </w:rPr>
        <w:t>。</w:t>
      </w:r>
    </w:p>
    <w:p>
      <w:pPr>
        <w:pStyle w:val="55"/>
        <w:ind w:firstLine="480"/>
        <w:rPr>
          <w:rFonts w:hint="default" w:ascii="Times New Roman" w:hAnsi="Times New Roman" w:eastAsia="仿宋_GB2312" w:cs="Times New Roman"/>
          <w:color w:val="auto"/>
          <w:highlight w:val="none"/>
        </w:rPr>
      </w:pPr>
      <w:r>
        <w:rPr>
          <w:rFonts w:hint="eastAsia" w:cs="Times New Roman"/>
          <w:color w:val="auto"/>
          <w:highlight w:val="none"/>
          <w:lang w:val="en-US" w:eastAsia="zh-CN"/>
        </w:rPr>
        <w:t>2</w:t>
      </w:r>
      <w:r>
        <w:rPr>
          <w:rFonts w:hint="default" w:ascii="Times New Roman" w:hAnsi="Times New Roman" w:eastAsia="仿宋_GB2312" w:cs="Times New Roman"/>
          <w:color w:val="auto"/>
          <w:highlight w:val="none"/>
        </w:rPr>
        <w:t>、临时措施</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①洒水</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对主体在工程建设过程中在有风天气和干燥天气采取防尘洒水措施，抑制扬尘，以防止地表扰动产生的水土流失。采用8m³洒水车洒水，洒水面积</w:t>
      </w:r>
      <w:r>
        <w:rPr>
          <w:rFonts w:hint="eastAsia" w:cs="Times New Roman"/>
          <w:color w:val="auto"/>
          <w:highlight w:val="none"/>
          <w:lang w:val="en-US" w:eastAsia="zh-CN"/>
        </w:rPr>
        <w:t>150</w:t>
      </w:r>
      <w:r>
        <w:rPr>
          <w:rFonts w:hint="eastAsia" w:cs="Times New Roman"/>
          <w:color w:val="auto"/>
          <w:highlight w:val="none"/>
          <w:lang w:eastAsia="zh-CN"/>
        </w:rPr>
        <w:t>m²</w:t>
      </w:r>
      <w:r>
        <w:rPr>
          <w:rFonts w:hint="default" w:ascii="Times New Roman" w:hAnsi="Times New Roman" w:eastAsia="仿宋_GB2312" w:cs="Times New Roman"/>
          <w:color w:val="auto"/>
          <w:highlight w:val="none"/>
        </w:rPr>
        <w:t>，洒水30天，整个建设期共计洒水量约为</w:t>
      </w:r>
      <w:r>
        <w:rPr>
          <w:rFonts w:hint="eastAsia" w:ascii="Times New Roman" w:hAnsi="Times New Roman" w:cs="Times New Roman"/>
          <w:color w:val="auto"/>
          <w:highlight w:val="none"/>
          <w:lang w:val="en-US" w:eastAsia="zh-CN"/>
        </w:rPr>
        <w:t>100</w:t>
      </w:r>
      <w:r>
        <w:rPr>
          <w:rFonts w:hint="default" w:ascii="Times New Roman" w:hAnsi="Times New Roman" w:eastAsia="仿宋_GB2312" w:cs="Times New Roman"/>
          <w:color w:val="auto"/>
          <w:highlight w:val="none"/>
        </w:rPr>
        <w:t>m³。</w:t>
      </w:r>
    </w:p>
    <w:p>
      <w:pPr>
        <w:pStyle w:val="69"/>
        <w:bidi w:val="0"/>
        <w:ind w:firstLine="170"/>
        <w:rPr>
          <w:rFonts w:eastAsia="仿宋_GB2312"/>
          <w:highlight w:val="yellow"/>
          <w:lang w:eastAsia="zh-CN"/>
        </w:rPr>
      </w:pPr>
      <w:r>
        <w:t>5.</w:t>
      </w:r>
      <w:r>
        <w:rPr>
          <w:rFonts w:hint="eastAsia"/>
          <w:lang w:val="en-US" w:eastAsia="zh-CN"/>
        </w:rPr>
        <w:t>3</w:t>
      </w:r>
      <w:r>
        <w:t>.</w:t>
      </w:r>
      <w:r>
        <w:rPr>
          <w:rFonts w:hint="eastAsia"/>
          <w:lang w:val="en-US" w:eastAsia="zh-CN"/>
        </w:rPr>
        <w:t>5</w:t>
      </w:r>
      <w:r>
        <w:t xml:space="preserve"> 工程量汇总</w:t>
      </w:r>
    </w:p>
    <w:p>
      <w:pPr>
        <w:pStyle w:val="55"/>
        <w:bidi w:val="0"/>
        <w:ind w:firstLine="480" w:firstLineChars="200"/>
        <w:rPr>
          <w:rFonts w:eastAsia="仿宋_GB2312"/>
          <w:highlight w:val="yellow"/>
          <w:lang w:eastAsia="zh-CN"/>
        </w:rPr>
      </w:pPr>
      <w:r>
        <w:t>本项目水土保持措施工程量汇总见表5.4-1。</w:t>
      </w:r>
    </w:p>
    <w:p>
      <w:pPr>
        <w:pStyle w:val="76"/>
        <w:bidi w:val="0"/>
        <w:ind w:firstLine="0"/>
        <w:jc w:val="center"/>
        <w:rPr>
          <w:rFonts w:eastAsia="仿宋_GB2312"/>
          <w:highlight w:val="yellow"/>
          <w:lang w:eastAsia="zh-CN"/>
        </w:rPr>
      </w:pPr>
      <w:r>
        <w:t>表5.4-1各防治区水土保持措施工程量汇总表</w:t>
      </w:r>
    </w:p>
    <w:tbl>
      <w:tblPr>
        <w:tblStyle w:val="25"/>
        <w:tblW w:w="4997" w:type="pct"/>
        <w:tblInd w:w="0" w:type="dxa"/>
        <w:shd w:val="clear" w:color="auto" w:fill="auto"/>
        <w:tblLayout w:type="autofit"/>
        <w:tblCellMar>
          <w:top w:w="0" w:type="dxa"/>
          <w:left w:w="0" w:type="dxa"/>
          <w:bottom w:w="0" w:type="dxa"/>
          <w:right w:w="0" w:type="dxa"/>
        </w:tblCellMar>
      </w:tblPr>
      <w:tblGrid>
        <w:gridCol w:w="2047"/>
        <w:gridCol w:w="1316"/>
        <w:gridCol w:w="1328"/>
        <w:gridCol w:w="1020"/>
        <w:gridCol w:w="2027"/>
        <w:gridCol w:w="1125"/>
      </w:tblGrid>
      <w:tr>
        <w:tblPrEx>
          <w:shd w:val="clear" w:color="auto" w:fill="auto"/>
          <w:tblCellMar>
            <w:top w:w="0" w:type="dxa"/>
            <w:left w:w="0" w:type="dxa"/>
            <w:bottom w:w="0" w:type="dxa"/>
            <w:right w:w="0" w:type="dxa"/>
          </w:tblCellMar>
        </w:tblPrEx>
        <w:trPr>
          <w:trHeight w:val="369" w:hRule="exact"/>
        </w:trPr>
        <w:tc>
          <w:tcPr>
            <w:tcW w:w="11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防治分区</w:t>
            </w:r>
          </w:p>
        </w:tc>
        <w:tc>
          <w:tcPr>
            <w:tcW w:w="74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措施类型</w:t>
            </w:r>
          </w:p>
        </w:tc>
        <w:tc>
          <w:tcPr>
            <w:tcW w:w="74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名称</w:t>
            </w:r>
          </w:p>
        </w:tc>
        <w:tc>
          <w:tcPr>
            <w:tcW w:w="5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单位</w:t>
            </w:r>
          </w:p>
        </w:tc>
        <w:tc>
          <w:tcPr>
            <w:tcW w:w="11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数量</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备注</w:t>
            </w:r>
          </w:p>
        </w:tc>
      </w:tr>
      <w:tr>
        <w:tblPrEx>
          <w:tblCellMar>
            <w:top w:w="0" w:type="dxa"/>
            <w:left w:w="0" w:type="dxa"/>
            <w:bottom w:w="0" w:type="dxa"/>
            <w:right w:w="0" w:type="dxa"/>
          </w:tblCellMar>
        </w:tblPrEx>
        <w:trPr>
          <w:trHeight w:val="369" w:hRule="exact"/>
        </w:trPr>
        <w:tc>
          <w:tcPr>
            <w:tcW w:w="1154" w:type="pct"/>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p>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p>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p>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p>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建筑物区</w:t>
            </w:r>
          </w:p>
        </w:tc>
        <w:tc>
          <w:tcPr>
            <w:tcW w:w="742" w:type="pct"/>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cs="Times New Roman"/>
                <w:highlight w:val="none"/>
                <w:lang w:val="en-US" w:eastAsia="zh-CN"/>
              </w:rPr>
            </w:pPr>
          </w:p>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r>
              <w:rPr>
                <w:rFonts w:hint="eastAsia" w:cs="Times New Roman"/>
                <w:highlight w:val="none"/>
                <w:lang w:val="en-US" w:eastAsia="zh-CN"/>
              </w:rPr>
              <w:t>工程措施</w:t>
            </w:r>
          </w:p>
        </w:tc>
        <w:tc>
          <w:tcPr>
            <w:tcW w:w="74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r>
              <w:rPr>
                <w:rFonts w:hint="eastAsia" w:cs="Times New Roman"/>
                <w:highlight w:val="none"/>
                <w:lang w:val="en-US" w:eastAsia="zh-CN"/>
              </w:rPr>
              <w:t>土地平整</w:t>
            </w:r>
          </w:p>
        </w:tc>
        <w:tc>
          <w:tcPr>
            <w:tcW w:w="5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cs="Times New Roman"/>
                <w:highlight w:val="none"/>
                <w:lang w:val="en-US" w:eastAsia="zh-CN"/>
              </w:rPr>
            </w:pPr>
            <w:r>
              <w:rPr>
                <w:rFonts w:hint="eastAsia" w:ascii="Times New Roman" w:hAnsi="Times New Roman" w:cs="Times New Roman"/>
                <w:highlight w:val="none"/>
                <w:lang w:val="en-US" w:eastAsia="zh-CN"/>
              </w:rPr>
              <w:t>h</w:t>
            </w:r>
            <w:r>
              <w:rPr>
                <w:rFonts w:hint="eastAsia" w:cs="Times New Roman"/>
                <w:highlight w:val="none"/>
                <w:lang w:val="en-US" w:eastAsia="zh-CN"/>
              </w:rPr>
              <w:t>m²</w:t>
            </w:r>
          </w:p>
        </w:tc>
        <w:tc>
          <w:tcPr>
            <w:tcW w:w="11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cs="Times New Roman"/>
                <w:highlight w:val="none"/>
                <w:lang w:val="en-US" w:eastAsia="zh-CN"/>
              </w:rPr>
            </w:pPr>
            <w:r>
              <w:rPr>
                <w:rFonts w:hint="eastAsia" w:cs="Times New Roman"/>
                <w:highlight w:val="none"/>
                <w:lang w:val="en-US" w:eastAsia="zh-CN"/>
              </w:rPr>
              <w:t>0.08</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主体已列</w:t>
            </w:r>
          </w:p>
        </w:tc>
      </w:tr>
      <w:tr>
        <w:tblPrEx>
          <w:tblCellMar>
            <w:top w:w="0" w:type="dxa"/>
            <w:left w:w="0" w:type="dxa"/>
            <w:bottom w:w="0" w:type="dxa"/>
            <w:right w:w="0" w:type="dxa"/>
          </w:tblCellMar>
        </w:tblPrEx>
        <w:trPr>
          <w:trHeight w:val="369" w:hRule="exact"/>
        </w:trPr>
        <w:tc>
          <w:tcPr>
            <w:tcW w:w="1154" w:type="pct"/>
            <w:vMerge w:val="continue"/>
            <w:tcBorders>
              <w:left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p>
        </w:tc>
        <w:tc>
          <w:tcPr>
            <w:tcW w:w="742" w:type="pct"/>
            <w:vMerge w:val="continue"/>
            <w:tcBorders>
              <w:left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p>
        </w:tc>
        <w:tc>
          <w:tcPr>
            <w:tcW w:w="74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r>
              <w:rPr>
                <w:rFonts w:hint="eastAsia" w:cs="Times New Roman"/>
                <w:highlight w:val="none"/>
                <w:lang w:val="en-US" w:eastAsia="zh-CN"/>
              </w:rPr>
              <w:t>全面整地</w:t>
            </w:r>
          </w:p>
        </w:tc>
        <w:tc>
          <w:tcPr>
            <w:tcW w:w="5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cs="Times New Roman"/>
                <w:highlight w:val="none"/>
                <w:lang w:val="en-US" w:eastAsia="zh-CN"/>
              </w:rPr>
            </w:pPr>
            <w:r>
              <w:rPr>
                <w:rFonts w:hint="eastAsia" w:ascii="Times New Roman" w:hAnsi="Times New Roman" w:cs="Times New Roman"/>
                <w:highlight w:val="none"/>
                <w:lang w:val="en-US" w:eastAsia="zh-CN"/>
              </w:rPr>
              <w:t>h</w:t>
            </w:r>
            <w:r>
              <w:rPr>
                <w:rFonts w:hint="eastAsia" w:cs="Times New Roman"/>
                <w:highlight w:val="none"/>
                <w:lang w:val="en-US" w:eastAsia="zh-CN"/>
              </w:rPr>
              <w:t>m²</w:t>
            </w:r>
          </w:p>
        </w:tc>
        <w:tc>
          <w:tcPr>
            <w:tcW w:w="11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cs="Times New Roman"/>
                <w:highlight w:val="none"/>
                <w:lang w:val="en-US" w:eastAsia="zh-CN"/>
              </w:rPr>
            </w:pPr>
            <w:r>
              <w:rPr>
                <w:rFonts w:hint="eastAsia" w:cs="Times New Roman"/>
                <w:highlight w:val="none"/>
                <w:lang w:val="en-US" w:eastAsia="zh-CN"/>
              </w:rPr>
              <w:t>0.17</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主体已列</w:t>
            </w:r>
          </w:p>
        </w:tc>
      </w:tr>
      <w:tr>
        <w:tblPrEx>
          <w:tblCellMar>
            <w:top w:w="0" w:type="dxa"/>
            <w:left w:w="0" w:type="dxa"/>
            <w:bottom w:w="0" w:type="dxa"/>
            <w:right w:w="0" w:type="dxa"/>
          </w:tblCellMar>
        </w:tblPrEx>
        <w:trPr>
          <w:trHeight w:val="369" w:hRule="exact"/>
        </w:trPr>
        <w:tc>
          <w:tcPr>
            <w:tcW w:w="1154" w:type="pct"/>
            <w:vMerge w:val="continue"/>
            <w:tcBorders>
              <w:left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p>
        </w:tc>
        <w:tc>
          <w:tcPr>
            <w:tcW w:w="742" w:type="pct"/>
            <w:tcBorders>
              <w:top w:val="single" w:color="000000" w:sz="4" w:space="0"/>
              <w:left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r>
              <w:rPr>
                <w:rFonts w:hint="eastAsia" w:cs="Times New Roman"/>
                <w:highlight w:val="none"/>
                <w:lang w:val="en-US" w:eastAsia="zh-CN"/>
              </w:rPr>
              <w:t>植物措施</w:t>
            </w:r>
          </w:p>
        </w:tc>
        <w:tc>
          <w:tcPr>
            <w:tcW w:w="74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r>
              <w:rPr>
                <w:rFonts w:hint="eastAsia" w:cs="Times New Roman"/>
                <w:highlight w:val="none"/>
                <w:lang w:val="en-US" w:eastAsia="zh-CN"/>
              </w:rPr>
              <w:t>撒播草籽</w:t>
            </w:r>
          </w:p>
        </w:tc>
        <w:tc>
          <w:tcPr>
            <w:tcW w:w="5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cs="Times New Roman"/>
                <w:highlight w:val="none"/>
                <w:lang w:val="en-US" w:eastAsia="zh-CN"/>
              </w:rPr>
            </w:pPr>
            <w:r>
              <w:rPr>
                <w:rFonts w:hint="eastAsia" w:ascii="Times New Roman" w:hAnsi="Times New Roman" w:cs="Times New Roman"/>
                <w:highlight w:val="none"/>
                <w:lang w:val="en-US" w:eastAsia="zh-CN"/>
              </w:rPr>
              <w:t>h</w:t>
            </w:r>
            <w:r>
              <w:rPr>
                <w:rFonts w:hint="eastAsia" w:cs="Times New Roman"/>
                <w:highlight w:val="none"/>
                <w:lang w:val="en-US" w:eastAsia="zh-CN"/>
              </w:rPr>
              <w:t>m²</w:t>
            </w:r>
          </w:p>
        </w:tc>
        <w:tc>
          <w:tcPr>
            <w:tcW w:w="11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cs="Times New Roman"/>
                <w:highlight w:val="none"/>
                <w:lang w:val="en-US" w:eastAsia="zh-CN"/>
              </w:rPr>
            </w:pPr>
            <w:r>
              <w:rPr>
                <w:rFonts w:hint="eastAsia" w:cs="Times New Roman"/>
                <w:highlight w:val="none"/>
                <w:lang w:val="en-US" w:eastAsia="zh-CN"/>
              </w:rPr>
              <w:t>0.17</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主体已列</w:t>
            </w:r>
          </w:p>
        </w:tc>
      </w:tr>
      <w:tr>
        <w:tblPrEx>
          <w:tblCellMar>
            <w:top w:w="0" w:type="dxa"/>
            <w:left w:w="0" w:type="dxa"/>
            <w:bottom w:w="0" w:type="dxa"/>
            <w:right w:w="0" w:type="dxa"/>
          </w:tblCellMar>
        </w:tblPrEx>
        <w:trPr>
          <w:trHeight w:val="369" w:hRule="exact"/>
        </w:trPr>
        <w:tc>
          <w:tcPr>
            <w:tcW w:w="1154" w:type="pct"/>
            <w:vMerge w:val="continue"/>
            <w:tcBorders>
              <w:left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p>
        </w:tc>
        <w:tc>
          <w:tcPr>
            <w:tcW w:w="742" w:type="pct"/>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p>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临时措施</w:t>
            </w:r>
          </w:p>
        </w:tc>
        <w:tc>
          <w:tcPr>
            <w:tcW w:w="74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防尘网苫盖</w:t>
            </w:r>
          </w:p>
        </w:tc>
        <w:tc>
          <w:tcPr>
            <w:tcW w:w="5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ascii="Times New Roman" w:hAnsi="Times New Roman" w:eastAsia="仿宋_GB2312" w:cs="Times New Roman"/>
                <w:highlight w:val="none"/>
                <w:lang w:eastAsia="zh-CN"/>
              </w:rPr>
            </w:pPr>
            <w:r>
              <w:rPr>
                <w:rFonts w:hint="eastAsia" w:cs="Times New Roman"/>
                <w:highlight w:val="none"/>
                <w:lang w:val="en-US" w:eastAsia="zh-CN"/>
              </w:rPr>
              <w:t>m²</w:t>
            </w:r>
          </w:p>
        </w:tc>
        <w:tc>
          <w:tcPr>
            <w:tcW w:w="11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ascii="Times New Roman" w:hAnsi="Times New Roman" w:eastAsia="仿宋_GB2312" w:cs="Times New Roman"/>
                <w:highlight w:val="none"/>
                <w:lang w:val="en-US" w:eastAsia="zh-CN"/>
              </w:rPr>
            </w:pPr>
            <w:r>
              <w:rPr>
                <w:rFonts w:hint="eastAsia" w:cs="Times New Roman"/>
                <w:highlight w:val="none"/>
                <w:lang w:val="en-US" w:eastAsia="zh-CN"/>
              </w:rPr>
              <w:t>400</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方案新增</w:t>
            </w:r>
          </w:p>
        </w:tc>
      </w:tr>
      <w:tr>
        <w:tblPrEx>
          <w:tblCellMar>
            <w:top w:w="0" w:type="dxa"/>
            <w:left w:w="0" w:type="dxa"/>
            <w:bottom w:w="0" w:type="dxa"/>
            <w:right w:w="0" w:type="dxa"/>
          </w:tblCellMar>
        </w:tblPrEx>
        <w:trPr>
          <w:trHeight w:val="369" w:hRule="exact"/>
        </w:trPr>
        <w:tc>
          <w:tcPr>
            <w:tcW w:w="1154" w:type="pct"/>
            <w:vMerge w:val="continue"/>
            <w:tcBorders>
              <w:left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p>
        </w:tc>
        <w:tc>
          <w:tcPr>
            <w:tcW w:w="742" w:type="pct"/>
            <w:vMerge w:val="continue"/>
            <w:tcBorders>
              <w:left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p>
        </w:tc>
        <w:tc>
          <w:tcPr>
            <w:tcW w:w="74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洒水</w:t>
            </w:r>
          </w:p>
        </w:tc>
        <w:tc>
          <w:tcPr>
            <w:tcW w:w="5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ascii="Times New Roman" w:hAnsi="Times New Roman" w:eastAsia="仿宋_GB2312" w:cs="Times New Roman"/>
                <w:highlight w:val="none"/>
                <w:lang w:eastAsia="zh-CN"/>
              </w:rPr>
            </w:pPr>
            <w:r>
              <w:rPr>
                <w:rFonts w:hint="default" w:ascii="Times New Roman" w:hAnsi="Times New Roman" w:eastAsia="仿宋_GB2312" w:cs="Times New Roman"/>
                <w:highlight w:val="none"/>
                <w:lang w:val="en-US" w:eastAsia="zh-CN"/>
              </w:rPr>
              <w:t>m³</w:t>
            </w:r>
          </w:p>
        </w:tc>
        <w:tc>
          <w:tcPr>
            <w:tcW w:w="11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ascii="Times New Roman" w:hAnsi="Times New Roman" w:eastAsia="仿宋_GB2312" w:cs="Times New Roman"/>
                <w:highlight w:val="none"/>
                <w:lang w:val="en-US" w:eastAsia="zh-CN"/>
              </w:rPr>
            </w:pPr>
            <w:r>
              <w:rPr>
                <w:rFonts w:hint="eastAsia" w:cs="Times New Roman"/>
                <w:highlight w:val="none"/>
                <w:lang w:val="en-US" w:eastAsia="zh-CN"/>
              </w:rPr>
              <w:t>800</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方案新增</w:t>
            </w:r>
          </w:p>
        </w:tc>
      </w:tr>
      <w:tr>
        <w:tblPrEx>
          <w:tblCellMar>
            <w:top w:w="0" w:type="dxa"/>
            <w:left w:w="0" w:type="dxa"/>
            <w:bottom w:w="0" w:type="dxa"/>
            <w:right w:w="0" w:type="dxa"/>
          </w:tblCellMar>
        </w:tblPrEx>
        <w:trPr>
          <w:trHeight w:val="369" w:hRule="exact"/>
        </w:trPr>
        <w:tc>
          <w:tcPr>
            <w:tcW w:w="1154" w:type="pct"/>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p>
        </w:tc>
        <w:tc>
          <w:tcPr>
            <w:tcW w:w="742" w:type="pct"/>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p>
        </w:tc>
        <w:tc>
          <w:tcPr>
            <w:tcW w:w="74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r>
              <w:rPr>
                <w:rFonts w:hint="eastAsia" w:cs="Times New Roman"/>
                <w:highlight w:val="none"/>
                <w:lang w:val="en-US" w:eastAsia="zh-CN"/>
              </w:rPr>
              <w:t>彩钢板围挡</w:t>
            </w:r>
          </w:p>
        </w:tc>
        <w:tc>
          <w:tcPr>
            <w:tcW w:w="5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ascii="Times New Roman" w:hAnsi="Times New Roman" w:eastAsia="仿宋_GB2312" w:cs="Times New Roman"/>
                <w:highlight w:val="none"/>
                <w:lang w:val="en-US" w:eastAsia="zh-CN"/>
              </w:rPr>
            </w:pPr>
            <w:r>
              <w:rPr>
                <w:rFonts w:hint="eastAsia" w:cs="Times New Roman"/>
                <w:highlight w:val="none"/>
                <w:lang w:val="en-US" w:eastAsia="zh-CN"/>
              </w:rPr>
              <w:t>m</w:t>
            </w:r>
          </w:p>
        </w:tc>
        <w:tc>
          <w:tcPr>
            <w:tcW w:w="11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ascii="Times New Roman" w:hAnsi="Times New Roman" w:eastAsia="仿宋_GB2312" w:cs="Times New Roman"/>
                <w:highlight w:val="none"/>
                <w:lang w:val="en-US" w:eastAsia="zh-CN"/>
              </w:rPr>
            </w:pPr>
            <w:r>
              <w:rPr>
                <w:rFonts w:hint="eastAsia" w:cs="Times New Roman"/>
                <w:highlight w:val="none"/>
                <w:lang w:val="en-US" w:eastAsia="zh-CN"/>
              </w:rPr>
              <w:t>260</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方案新增</w:t>
            </w:r>
          </w:p>
        </w:tc>
      </w:tr>
      <w:tr>
        <w:tblPrEx>
          <w:tblCellMar>
            <w:top w:w="0" w:type="dxa"/>
            <w:left w:w="0" w:type="dxa"/>
            <w:bottom w:w="0" w:type="dxa"/>
            <w:right w:w="0" w:type="dxa"/>
          </w:tblCellMar>
        </w:tblPrEx>
        <w:trPr>
          <w:trHeight w:val="369" w:hRule="exact"/>
        </w:trPr>
        <w:tc>
          <w:tcPr>
            <w:tcW w:w="1154" w:type="pct"/>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cs="Times New Roman"/>
                <w:highlight w:val="none"/>
                <w:lang w:val="en-US" w:eastAsia="zh-CN"/>
              </w:rPr>
            </w:pPr>
          </w:p>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cs="Times New Roman"/>
                <w:highlight w:val="none"/>
                <w:lang w:val="en-US" w:eastAsia="zh-CN"/>
              </w:rPr>
              <w:t>管线工程区</w:t>
            </w:r>
          </w:p>
        </w:tc>
        <w:tc>
          <w:tcPr>
            <w:tcW w:w="7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r>
              <w:rPr>
                <w:rFonts w:hint="eastAsia" w:cs="Times New Roman"/>
                <w:highlight w:val="none"/>
                <w:lang w:val="en-US" w:eastAsia="zh-CN"/>
              </w:rPr>
              <w:t>工程措施</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r>
              <w:rPr>
                <w:rFonts w:hint="eastAsia" w:cs="Times New Roman"/>
                <w:highlight w:val="none"/>
                <w:lang w:val="en-US" w:eastAsia="zh-CN"/>
              </w:rPr>
              <w:t>土地平整</w:t>
            </w:r>
          </w:p>
        </w:tc>
        <w:tc>
          <w:tcPr>
            <w:tcW w:w="5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ascii="Times New Roman" w:hAnsi="Times New Roman" w:eastAsia="仿宋_GB2312" w:cs="Times New Roman"/>
                <w:highlight w:val="none"/>
                <w:lang w:val="en-US" w:eastAsia="zh-CN"/>
              </w:rPr>
            </w:pPr>
            <w:r>
              <w:rPr>
                <w:rFonts w:hint="eastAsia" w:ascii="Times New Roman" w:hAnsi="Times New Roman" w:cs="Times New Roman"/>
                <w:highlight w:val="none"/>
                <w:lang w:val="en-US" w:eastAsia="zh-CN"/>
              </w:rPr>
              <w:t>h</w:t>
            </w:r>
            <w:r>
              <w:rPr>
                <w:rFonts w:hint="eastAsia" w:cs="Times New Roman"/>
                <w:highlight w:val="none"/>
                <w:lang w:val="en-US" w:eastAsia="zh-CN"/>
              </w:rPr>
              <w:t>m²</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ascii="Times New Roman" w:hAnsi="Times New Roman" w:cs="Times New Roman"/>
                <w:highlight w:val="none"/>
                <w:lang w:val="en-US" w:eastAsia="zh-CN"/>
              </w:rPr>
            </w:pPr>
            <w:r>
              <w:rPr>
                <w:rFonts w:hint="eastAsia" w:cs="Times New Roman"/>
                <w:highlight w:val="none"/>
                <w:lang w:val="en-US" w:eastAsia="zh-CN"/>
              </w:rPr>
              <w:t>0.02</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主体已列</w:t>
            </w:r>
          </w:p>
        </w:tc>
      </w:tr>
      <w:tr>
        <w:tblPrEx>
          <w:tblCellMar>
            <w:top w:w="0" w:type="dxa"/>
            <w:left w:w="0" w:type="dxa"/>
            <w:bottom w:w="0" w:type="dxa"/>
            <w:right w:w="0" w:type="dxa"/>
          </w:tblCellMar>
        </w:tblPrEx>
        <w:trPr>
          <w:trHeight w:val="369" w:hRule="exact"/>
        </w:trPr>
        <w:tc>
          <w:tcPr>
            <w:tcW w:w="1154" w:type="pct"/>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临时措施</w:t>
            </w:r>
          </w:p>
        </w:tc>
        <w:tc>
          <w:tcPr>
            <w:tcW w:w="749"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防尘网苫盖</w:t>
            </w:r>
          </w:p>
        </w:tc>
        <w:tc>
          <w:tcPr>
            <w:tcW w:w="5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eastAsia="仿宋_GB2312" w:cs="Times New Roman"/>
                <w:highlight w:val="none"/>
                <w:lang w:eastAsia="zh-CN"/>
              </w:rPr>
            </w:pPr>
            <w:r>
              <w:rPr>
                <w:rFonts w:hint="eastAsia" w:cs="Times New Roman"/>
                <w:highlight w:val="none"/>
                <w:lang w:val="en-US" w:eastAsia="zh-CN"/>
              </w:rPr>
              <w:t>m²</w:t>
            </w:r>
          </w:p>
        </w:tc>
        <w:tc>
          <w:tcPr>
            <w:tcW w:w="1143"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ascii="Times New Roman" w:hAnsi="Times New Roman" w:eastAsia="仿宋_GB2312" w:cs="Times New Roman"/>
                <w:highlight w:val="none"/>
                <w:lang w:val="en-US" w:eastAsia="zh-CN"/>
              </w:rPr>
            </w:pPr>
            <w:r>
              <w:rPr>
                <w:rFonts w:hint="eastAsia" w:cs="Times New Roman"/>
                <w:highlight w:val="none"/>
                <w:lang w:val="en-US" w:eastAsia="zh-CN"/>
              </w:rPr>
              <w:t>100</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方案新增</w:t>
            </w:r>
          </w:p>
        </w:tc>
      </w:tr>
      <w:tr>
        <w:tblPrEx>
          <w:tblCellMar>
            <w:top w:w="0" w:type="dxa"/>
            <w:left w:w="0" w:type="dxa"/>
            <w:bottom w:w="0" w:type="dxa"/>
            <w:right w:w="0" w:type="dxa"/>
          </w:tblCellMar>
        </w:tblPrEx>
        <w:trPr>
          <w:trHeight w:val="369" w:hRule="exact"/>
        </w:trPr>
        <w:tc>
          <w:tcPr>
            <w:tcW w:w="115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cs="Times New Roman"/>
                <w:highlight w:val="none"/>
                <w:lang w:val="en-US" w:eastAsia="zh-CN"/>
              </w:rPr>
              <w:t>道路及硬化区</w:t>
            </w:r>
          </w:p>
        </w:tc>
        <w:tc>
          <w:tcPr>
            <w:tcW w:w="74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临时措施</w:t>
            </w:r>
          </w:p>
        </w:tc>
        <w:tc>
          <w:tcPr>
            <w:tcW w:w="74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洒水</w:t>
            </w:r>
          </w:p>
        </w:tc>
        <w:tc>
          <w:tcPr>
            <w:tcW w:w="5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eastAsia="仿宋_GB2312" w:cs="Times New Roman"/>
                <w:highlight w:val="none"/>
                <w:lang w:eastAsia="zh-CN"/>
              </w:rPr>
            </w:pPr>
            <w:r>
              <w:rPr>
                <w:rFonts w:hint="default" w:ascii="Times New Roman" w:hAnsi="Times New Roman" w:eastAsia="仿宋_GB2312" w:cs="Times New Roman"/>
                <w:highlight w:val="none"/>
                <w:lang w:val="en-US" w:eastAsia="zh-CN"/>
              </w:rPr>
              <w:t>m³</w:t>
            </w:r>
          </w:p>
        </w:tc>
        <w:tc>
          <w:tcPr>
            <w:tcW w:w="11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eastAsia="仿宋_GB2312" w:cs="Times New Roman"/>
                <w:highlight w:val="none"/>
                <w:lang w:val="en-US" w:eastAsia="zh-CN"/>
              </w:rPr>
            </w:pPr>
            <w:r>
              <w:rPr>
                <w:rFonts w:hint="eastAsia" w:ascii="Times New Roman" w:hAnsi="Times New Roman" w:cs="Times New Roman"/>
                <w:highlight w:val="none"/>
                <w:lang w:val="en-US" w:eastAsia="zh-CN"/>
              </w:rPr>
              <w:t>500</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主体新增</w:t>
            </w:r>
          </w:p>
        </w:tc>
      </w:tr>
      <w:tr>
        <w:tblPrEx>
          <w:tblCellMar>
            <w:top w:w="0" w:type="dxa"/>
            <w:left w:w="0" w:type="dxa"/>
            <w:bottom w:w="0" w:type="dxa"/>
            <w:right w:w="0" w:type="dxa"/>
          </w:tblCellMar>
        </w:tblPrEx>
        <w:trPr>
          <w:trHeight w:val="369" w:hRule="exact"/>
        </w:trPr>
        <w:tc>
          <w:tcPr>
            <w:tcW w:w="1154" w:type="pct"/>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p>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施工生产生活区</w:t>
            </w:r>
          </w:p>
        </w:tc>
        <w:tc>
          <w:tcPr>
            <w:tcW w:w="74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r>
              <w:rPr>
                <w:rFonts w:hint="eastAsia" w:cs="Times New Roman"/>
                <w:highlight w:val="none"/>
                <w:lang w:val="en-US" w:eastAsia="zh-CN"/>
              </w:rPr>
              <w:t>工程措施</w:t>
            </w:r>
          </w:p>
        </w:tc>
        <w:tc>
          <w:tcPr>
            <w:tcW w:w="74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pStyle w:val="84"/>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eastAsia="仿宋_GB2312" w:cs="Times New Roman"/>
                <w:spacing w:val="-2"/>
                <w:kern w:val="0"/>
                <w:sz w:val="21"/>
                <w:szCs w:val="21"/>
                <w:highlight w:val="none"/>
                <w:lang w:val="en-US" w:eastAsia="zh-CN" w:bidi="ar-SA"/>
              </w:rPr>
            </w:pPr>
            <w:r>
              <w:rPr>
                <w:rFonts w:hint="eastAsia" w:cs="Times New Roman"/>
                <w:highlight w:val="none"/>
                <w:lang w:val="en-US" w:eastAsia="zh-CN"/>
              </w:rPr>
              <w:t>土地平整</w:t>
            </w:r>
          </w:p>
        </w:tc>
        <w:tc>
          <w:tcPr>
            <w:tcW w:w="5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eastAsia="仿宋_GB2312" w:cs="Times New Roman"/>
                <w:spacing w:val="-2"/>
                <w:kern w:val="0"/>
                <w:sz w:val="21"/>
                <w:szCs w:val="21"/>
                <w:highlight w:val="none"/>
                <w:lang w:val="en-US" w:eastAsia="zh-CN" w:bidi="ar-SA"/>
              </w:rPr>
            </w:pPr>
            <w:r>
              <w:rPr>
                <w:rFonts w:hint="eastAsia" w:ascii="Times New Roman" w:hAnsi="Times New Roman" w:cs="Times New Roman"/>
                <w:highlight w:val="none"/>
                <w:lang w:val="en-US" w:eastAsia="zh-CN"/>
              </w:rPr>
              <w:t>h</w:t>
            </w:r>
            <w:r>
              <w:rPr>
                <w:rFonts w:hint="eastAsia" w:cs="Times New Roman"/>
                <w:highlight w:val="none"/>
                <w:lang w:val="en-US" w:eastAsia="zh-CN"/>
              </w:rPr>
              <w:t>m²</w:t>
            </w:r>
          </w:p>
        </w:tc>
        <w:tc>
          <w:tcPr>
            <w:tcW w:w="11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ascii="Times New Roman" w:hAnsi="Times New Roman" w:cs="Times New Roman"/>
                <w:highlight w:val="none"/>
                <w:lang w:val="en-US" w:eastAsia="zh-CN"/>
              </w:rPr>
            </w:pPr>
            <w:r>
              <w:rPr>
                <w:rFonts w:hint="eastAsia" w:cs="Times New Roman"/>
                <w:highlight w:val="none"/>
                <w:lang w:val="en-US" w:eastAsia="zh-CN"/>
              </w:rPr>
              <w:t>0.02</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主体已列</w:t>
            </w:r>
          </w:p>
        </w:tc>
      </w:tr>
      <w:tr>
        <w:tblPrEx>
          <w:tblCellMar>
            <w:top w:w="0" w:type="dxa"/>
            <w:left w:w="0" w:type="dxa"/>
            <w:bottom w:w="0" w:type="dxa"/>
            <w:right w:w="0" w:type="dxa"/>
          </w:tblCellMar>
        </w:tblPrEx>
        <w:trPr>
          <w:trHeight w:val="369" w:hRule="exact"/>
        </w:trPr>
        <w:tc>
          <w:tcPr>
            <w:tcW w:w="1154" w:type="pct"/>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p>
        </w:tc>
        <w:tc>
          <w:tcPr>
            <w:tcW w:w="74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临时措施</w:t>
            </w:r>
          </w:p>
        </w:tc>
        <w:tc>
          <w:tcPr>
            <w:tcW w:w="749"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洒水</w:t>
            </w:r>
          </w:p>
        </w:tc>
        <w:tc>
          <w:tcPr>
            <w:tcW w:w="5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ascii="Times New Roman" w:hAnsi="Times New Roman" w:eastAsia="仿宋_GB2312" w:cs="Times New Roman"/>
                <w:highlight w:val="none"/>
                <w:lang w:eastAsia="zh-CN"/>
              </w:rPr>
            </w:pPr>
            <w:r>
              <w:rPr>
                <w:rFonts w:hint="default" w:ascii="Times New Roman" w:hAnsi="Times New Roman" w:eastAsia="仿宋_GB2312" w:cs="Times New Roman"/>
                <w:highlight w:val="none"/>
                <w:lang w:val="en-US" w:eastAsia="zh-CN"/>
              </w:rPr>
              <w:t>m³</w:t>
            </w:r>
          </w:p>
        </w:tc>
        <w:tc>
          <w:tcPr>
            <w:tcW w:w="1143"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ascii="Times New Roman" w:hAnsi="Times New Roman" w:eastAsia="仿宋_GB2312" w:cs="Times New Roman"/>
                <w:highlight w:val="none"/>
                <w:lang w:val="en-US" w:eastAsia="zh-CN"/>
              </w:rPr>
            </w:pPr>
            <w:r>
              <w:rPr>
                <w:rFonts w:hint="eastAsia" w:ascii="Times New Roman" w:hAnsi="Times New Roman" w:cs="Times New Roman"/>
                <w:highlight w:val="none"/>
                <w:lang w:val="en-US" w:eastAsia="zh-CN"/>
              </w:rPr>
              <w:t>1</w:t>
            </w:r>
            <w:r>
              <w:rPr>
                <w:rFonts w:hint="eastAsia" w:cs="Times New Roman"/>
                <w:highlight w:val="none"/>
                <w:lang w:val="en-US" w:eastAsia="zh-CN"/>
              </w:rPr>
              <w:t>0</w:t>
            </w:r>
            <w:r>
              <w:rPr>
                <w:rFonts w:hint="eastAsia" w:ascii="Times New Roman" w:hAnsi="Times New Roman" w:cs="Times New Roman"/>
                <w:highlight w:val="none"/>
                <w:lang w:val="en-US" w:eastAsia="zh-CN"/>
              </w:rPr>
              <w:t>0</w:t>
            </w:r>
          </w:p>
        </w:tc>
        <w:tc>
          <w:tcPr>
            <w:tcW w:w="63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pPr>
              <w:pStyle w:val="84"/>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eastAsia" w:ascii="Times New Roman" w:hAnsi="Times New Roman" w:eastAsia="仿宋_GB2312" w:cs="Times New Roman"/>
                <w:highlight w:val="none"/>
                <w:lang w:eastAsia="zh-CN"/>
              </w:rPr>
            </w:pPr>
            <w:r>
              <w:rPr>
                <w:rFonts w:hint="eastAsia" w:ascii="Times New Roman" w:hAnsi="Times New Roman" w:eastAsia="仿宋_GB2312" w:cs="Times New Roman"/>
                <w:highlight w:val="none"/>
                <w:lang w:val="en-US" w:eastAsia="zh-CN"/>
              </w:rPr>
              <w:t>主体新增</w:t>
            </w:r>
          </w:p>
        </w:tc>
      </w:tr>
    </w:tbl>
    <w:p>
      <w:pPr>
        <w:pStyle w:val="69"/>
        <w:bidi w:val="0"/>
        <w:ind w:firstLine="170"/>
        <w:rPr>
          <w:rFonts w:eastAsia="仿宋_GB2312"/>
          <w:highlight w:val="yellow"/>
          <w:lang w:eastAsia="zh-CN"/>
        </w:rPr>
      </w:pPr>
      <w:r>
        <w:t>5.</w:t>
      </w:r>
      <w:r>
        <w:rPr>
          <w:rFonts w:hint="eastAsia"/>
          <w:lang w:val="en-US" w:eastAsia="zh-CN"/>
        </w:rPr>
        <w:t>3</w:t>
      </w:r>
      <w:r>
        <w:t>.</w:t>
      </w:r>
      <w:r>
        <w:rPr>
          <w:rFonts w:hint="eastAsia"/>
          <w:lang w:val="en-US" w:eastAsia="zh-CN"/>
        </w:rPr>
        <w:t>6</w:t>
      </w:r>
      <w:r>
        <w:t xml:space="preserve"> 后续运行期间措施及管理要求</w:t>
      </w:r>
    </w:p>
    <w:p>
      <w:pPr>
        <w:pStyle w:val="55"/>
        <w:bidi w:val="0"/>
        <w:ind w:firstLine="480" w:firstLineChars="200"/>
        <w:rPr>
          <w:rFonts w:eastAsia="仿宋_GB2312"/>
          <w:highlight w:val="yellow"/>
          <w:lang w:eastAsia="zh-CN"/>
        </w:rPr>
      </w:pPr>
      <w:r>
        <w:t>根据项目实际情况及设计水平年确定，本方案各措施不包括后续运行期间措施，因此仅提出相关定性要求，要求如下：</w:t>
      </w:r>
    </w:p>
    <w:p>
      <w:pPr>
        <w:pStyle w:val="55"/>
        <w:bidi w:val="0"/>
        <w:ind w:firstLine="480" w:firstLineChars="200"/>
        <w:rPr>
          <w:rFonts w:eastAsia="仿宋_GB2312"/>
          <w:highlight w:val="yellow"/>
          <w:lang w:eastAsia="zh-CN"/>
        </w:rPr>
      </w:pPr>
      <w:r>
        <w:t>1）后续运行期间，建设单位需对车辆碾压区域采取洒水降尘，并在无降雨期间保证每天至少一次洒水，并对</w:t>
      </w:r>
      <w:r>
        <w:rPr>
          <w:lang w:eastAsia="zh-CN"/>
        </w:rPr>
        <w:t>临时堆土区</w:t>
      </w:r>
      <w:r>
        <w:t>临时堆置原料有序堆放，堆置在彩钢板围栏区域，细颗粒原料严禁露天裸露堆置。同时在生产期间需保证各区域平整，无堆土。砂石料等原料运输期间做好苫盖等工作，严禁路途中沿途撒漏，对周边造成影响。</w:t>
      </w:r>
    </w:p>
    <w:p>
      <w:pPr>
        <w:pStyle w:val="55"/>
        <w:bidi w:val="0"/>
        <w:ind w:firstLine="480" w:firstLineChars="200"/>
        <w:rPr>
          <w:rFonts w:eastAsia="仿宋_GB2312"/>
          <w:highlight w:val="yellow"/>
          <w:lang w:eastAsia="zh-CN"/>
        </w:rPr>
      </w:pPr>
      <w:r>
        <w:t>2）对项目绿化区域植被做好后续养护管理工作，及时浇水补植。</w:t>
      </w:r>
    </w:p>
    <w:p>
      <w:pPr>
        <w:pStyle w:val="55"/>
        <w:ind w:firstLine="480"/>
        <w:rPr>
          <w:rFonts w:hint="default" w:ascii="Times New Roman" w:hAnsi="Times New Roman" w:eastAsia="仿宋_GB2312" w:cs="Times New Roman"/>
          <w:color w:val="auto"/>
          <w:highlight w:val="none"/>
        </w:rPr>
      </w:pPr>
      <w:r>
        <w:t>3）购买砂砾石等原材料时，需确定供货单位的合法性，严禁私自开挖取料，在违法料场购买原料</w:t>
      </w:r>
      <w:r>
        <w:rPr>
          <w:rFonts w:hint="default" w:ascii="Times New Roman" w:hAnsi="Times New Roman" w:eastAsia="仿宋_GB2312" w:cs="Times New Roman"/>
          <w:color w:val="auto"/>
          <w:highlight w:val="none"/>
        </w:rPr>
        <w:t>。</w:t>
      </w:r>
    </w:p>
    <w:p>
      <w:pPr>
        <w:pStyle w:val="66"/>
        <w:ind w:firstLine="148"/>
        <w:rPr>
          <w:rFonts w:hint="default" w:ascii="Times New Roman" w:hAnsi="Times New Roman" w:eastAsia="仿宋_GB2312" w:cs="Times New Roman"/>
          <w:color w:val="auto"/>
          <w:highlight w:val="none"/>
        </w:rPr>
      </w:pPr>
      <w:bookmarkStart w:id="135" w:name="_Toc4690"/>
      <w:r>
        <w:rPr>
          <w:rFonts w:hint="default" w:ascii="Times New Roman" w:hAnsi="Times New Roman" w:eastAsia="仿宋_GB2312" w:cs="Times New Roman"/>
          <w:color w:val="auto"/>
          <w:highlight w:val="none"/>
        </w:rPr>
        <w:t xml:space="preserve">5.4 </w:t>
      </w:r>
      <w:bookmarkEnd w:id="133"/>
      <w:bookmarkEnd w:id="134"/>
      <w:r>
        <w:rPr>
          <w:rFonts w:hint="default" w:ascii="Times New Roman" w:hAnsi="Times New Roman" w:eastAsia="仿宋_GB2312" w:cs="Times New Roman"/>
          <w:color w:val="auto"/>
          <w:highlight w:val="none"/>
        </w:rPr>
        <w:t>施工要求</w:t>
      </w:r>
      <w:bookmarkEnd w:id="135"/>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5.4.1 施工方法</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（1）工程措施</w:t>
      </w:r>
    </w:p>
    <w:p>
      <w:pPr>
        <w:pStyle w:val="55"/>
        <w:ind w:firstLine="720" w:firstLineChars="3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①</w:t>
      </w:r>
      <w:r>
        <w:rPr>
          <w:rFonts w:hint="eastAsia" w:cs="Times New Roman"/>
          <w:color w:val="auto"/>
          <w:highlight w:val="none"/>
          <w:lang w:eastAsia="zh-CN"/>
        </w:rPr>
        <w:t>土地平整</w:t>
      </w:r>
      <w:r>
        <w:rPr>
          <w:rFonts w:hint="default" w:ascii="Times New Roman" w:hAnsi="Times New Roman" w:eastAsia="仿宋_GB2312" w:cs="Times New Roman"/>
          <w:color w:val="auto"/>
          <w:highlight w:val="none"/>
        </w:rPr>
        <w:t>：采用机械施工和人工施工相结合的方法，机械以74kw推土机为主，人工则配合机械进行零星场地或边角地区的平整。</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（2）植物措施</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撒播草籽：严格按杂物清运、</w:t>
      </w:r>
      <w:r>
        <w:rPr>
          <w:rFonts w:hint="eastAsia" w:cs="Times New Roman"/>
          <w:color w:val="auto"/>
          <w:highlight w:val="none"/>
          <w:lang w:eastAsia="zh-CN"/>
        </w:rPr>
        <w:t>土地平整</w:t>
      </w:r>
      <w:r>
        <w:rPr>
          <w:rFonts w:hint="default" w:ascii="Times New Roman" w:hAnsi="Times New Roman" w:eastAsia="仿宋_GB2312" w:cs="Times New Roman"/>
          <w:color w:val="auto"/>
          <w:highlight w:val="none"/>
        </w:rPr>
        <w:t>、浇水、坪床、施入底肥、机械撒播、镇压覆盖、浇水、清理现场等施工工序进行施工。</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（3）临时措施</w:t>
      </w:r>
    </w:p>
    <w:p>
      <w:pPr>
        <w:pStyle w:val="55"/>
        <w:ind w:firstLine="720" w:firstLineChars="3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①洒水：为减少项目区内施工场地扬尘、在工程施工过程中，对道路及硬化区进行临时洒水防护措施，采用8万m³洒水车洒水。水源利用主体水源。</w:t>
      </w:r>
    </w:p>
    <w:p>
      <w:pPr>
        <w:pStyle w:val="55"/>
        <w:ind w:firstLine="720" w:firstLineChars="3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②防尘网苫盖：临时堆放的细颗粒砂料，为了避免裸露，采用防尘网苫盖进行防护。人工将1.5×4.0米的防尘网边缘用18号细铁丝缝合连接在一起，然后运输到施工现场。将缝合好的防护网进行摊铺苫盖，之后用马蹄钉固定，马蹄钉按50～60cm的间距固定。马蹄钉采用14号钢筋制作，总长60cm。防尘网拆除时，先用钢钎将马蹄钉拆除，分片折网，叠好后回收待用。</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5.4.2 施工进度</w:t>
      </w:r>
    </w:p>
    <w:p>
      <w:pPr>
        <w:pStyle w:val="55"/>
        <w:bidi w:val="0"/>
        <w:ind w:firstLine="480" w:firstLineChars="200"/>
        <w:rPr>
          <w:rFonts w:eastAsia="仿宋_GB2312"/>
          <w:highlight w:val="yellow"/>
          <w:lang w:eastAsia="zh-CN"/>
        </w:rPr>
      </w:pPr>
      <w:r>
        <w:t>水土保持工程要求与主体工程同时设计、同时施工、同时验收。为达到防治水土流失的目的，应把握好施工工序和时机。实施过程中可结合主体工程及其施工特点和本地区的气候特点，利用主体工程的施工条件布设水土保持措施，合理使用资金、劳力、材料和机械设备，保证水土保持工程的施工进度和工程质量。</w:t>
      </w:r>
    </w:p>
    <w:p>
      <w:pPr>
        <w:pStyle w:val="55"/>
        <w:bidi w:val="0"/>
        <w:ind w:firstLine="480" w:firstLineChars="200"/>
        <w:rPr>
          <w:rFonts w:eastAsia="仿宋_GB2312"/>
          <w:highlight w:val="yellow"/>
          <w:lang w:eastAsia="zh-CN"/>
        </w:rPr>
      </w:pPr>
      <w:r>
        <w:t>（1）施工进度安排原则</w:t>
      </w:r>
    </w:p>
    <w:p>
      <w:pPr>
        <w:pStyle w:val="55"/>
        <w:bidi w:val="0"/>
        <w:ind w:firstLine="0"/>
        <w:rPr>
          <w:rFonts w:eastAsia="仿宋_GB2312"/>
          <w:highlight w:val="yellow"/>
          <w:lang w:eastAsia="zh-CN"/>
        </w:rPr>
      </w:pPr>
      <w:r>
        <w:t>1）根据水土保持与主体工程同步实施的原则，参照工程施工进度，各项水土保持措施的实施进度与相应的工程进度衔接，同时保证重点，又点面结合。</w:t>
      </w:r>
    </w:p>
    <w:p>
      <w:pPr>
        <w:pStyle w:val="55"/>
        <w:bidi w:val="0"/>
        <w:ind w:firstLine="0"/>
        <w:rPr>
          <w:rFonts w:eastAsia="仿宋_GB2312"/>
          <w:highlight w:val="yellow"/>
          <w:lang w:eastAsia="zh-CN"/>
        </w:rPr>
      </w:pPr>
      <w:r>
        <w:t>2）在生态效益优先的基础上，考虑经济效益。年度投资平衡和工程量平衡综合考虑，合理安排各项水土保持措施的实施进度。</w:t>
      </w:r>
    </w:p>
    <w:p>
      <w:pPr>
        <w:pStyle w:val="55"/>
        <w:bidi w:val="0"/>
        <w:ind w:firstLine="0"/>
        <w:rPr>
          <w:rFonts w:eastAsia="仿宋_GB2312"/>
          <w:highlight w:val="yellow"/>
          <w:lang w:eastAsia="zh-CN"/>
        </w:rPr>
      </w:pPr>
      <w:r>
        <w:t>3）合理安排水土保持工程实施进度，力争主体工程完成后完成所有水土保持措施。</w:t>
      </w:r>
    </w:p>
    <w:p>
      <w:pPr>
        <w:pStyle w:val="55"/>
        <w:bidi w:val="0"/>
        <w:ind w:firstLine="480" w:firstLineChars="200"/>
        <w:rPr>
          <w:rFonts w:eastAsia="仿宋_GB2312"/>
          <w:highlight w:val="yellow"/>
          <w:lang w:eastAsia="zh-CN"/>
        </w:rPr>
      </w:pPr>
      <w:r>
        <w:t>（2）水土保持工程实施进度</w:t>
      </w:r>
    </w:p>
    <w:p>
      <w:pPr>
        <w:pStyle w:val="55"/>
        <w:bidi w:val="0"/>
        <w:ind w:firstLine="0"/>
        <w:rPr>
          <w:rFonts w:eastAsia="仿宋_GB2312"/>
          <w:highlight w:val="yellow"/>
          <w:lang w:eastAsia="zh-CN"/>
        </w:rPr>
      </w:pPr>
      <w:r>
        <w:t>按照主体工程施工组织设计建设工期，以水土保持分区布设措施，施工季节、施工顺序，分期实施，合理安排。主体工程于20</w:t>
      </w:r>
      <w:r>
        <w:rPr>
          <w:lang w:val="en-US" w:eastAsia="zh-CN"/>
        </w:rPr>
        <w:t>21</w:t>
      </w:r>
      <w:r>
        <w:t>年</w:t>
      </w:r>
      <w:r>
        <w:rPr>
          <w:rFonts w:hint="eastAsia"/>
          <w:lang w:val="en-US" w:eastAsia="zh-CN"/>
        </w:rPr>
        <w:t>8</w:t>
      </w:r>
      <w:r>
        <w:t>月开工建设，于20</w:t>
      </w:r>
      <w:r>
        <w:rPr>
          <w:lang w:val="en-US" w:eastAsia="zh-CN"/>
        </w:rPr>
        <w:t>21</w:t>
      </w:r>
      <w:r>
        <w:t>年</w:t>
      </w:r>
      <w:r>
        <w:rPr>
          <w:lang w:val="en-US" w:eastAsia="zh-CN"/>
        </w:rPr>
        <w:t>9</w:t>
      </w:r>
      <w:r>
        <w:t>月建设完成，总工期</w:t>
      </w:r>
      <w:r>
        <w:rPr>
          <w:rFonts w:hint="eastAsia"/>
          <w:lang w:val="en-US" w:eastAsia="zh-CN"/>
        </w:rPr>
        <w:t>11</w:t>
      </w:r>
      <w:r>
        <w:t>个月。本项目水土保持工程于20</w:t>
      </w:r>
      <w:r>
        <w:rPr>
          <w:lang w:val="en-US" w:eastAsia="zh-CN"/>
        </w:rPr>
        <w:t>21</w:t>
      </w:r>
      <w:r>
        <w:t>年</w:t>
      </w:r>
      <w:r>
        <w:rPr>
          <w:rFonts w:hint="eastAsia"/>
          <w:lang w:val="en-US" w:eastAsia="zh-CN"/>
        </w:rPr>
        <w:t>8</w:t>
      </w:r>
      <w:r>
        <w:t>月开始实施，与主体工程同时完工。</w:t>
      </w:r>
    </w:p>
    <w:p>
      <w:pPr>
        <w:pStyle w:val="55"/>
        <w:bidi w:val="0"/>
        <w:ind w:firstLine="0"/>
        <w:rPr>
          <w:rFonts w:eastAsia="仿宋_GB2312"/>
          <w:highlight w:val="yellow"/>
          <w:lang w:eastAsia="zh-CN"/>
        </w:rPr>
      </w:pPr>
      <w:r>
        <w:t>本项目水土保持措施施工进度表，见表5.5-1。</w:t>
      </w:r>
    </w:p>
    <w:p>
      <w:pPr>
        <w:pStyle w:val="76"/>
        <w:bidi w:val="0"/>
        <w:ind w:firstLine="0"/>
      </w:pPr>
      <w:r>
        <w:t>表5.5-1水土保持措施实施进度表</w:t>
      </w:r>
    </w:p>
    <w:p>
      <w:pPr>
        <w:pStyle w:val="55"/>
        <w:bidi w:val="0"/>
        <w:ind w:left="0" w:leftChars="0" w:firstLine="0" w:firstLineChars="0"/>
        <w:jc w:val="center"/>
        <w:rPr>
          <w:rFonts w:hint="eastAsia" w:eastAsia="仿宋_GB2312"/>
          <w:sz w:val="22"/>
          <w:lang w:eastAsia="zh-CN"/>
        </w:rPr>
      </w:pPr>
      <w:r>
        <w:rPr>
          <w:rFonts w:hint="eastAsia" w:eastAsia="仿宋_GB2312"/>
          <w:sz w:val="22"/>
          <w:lang w:eastAsia="zh-CN"/>
        </w:rPr>
        <w:drawing>
          <wp:inline distT="0" distB="0" distL="114300" distR="114300">
            <wp:extent cx="5350510" cy="2059305"/>
            <wp:effectExtent l="0" t="0" r="2540" b="17145"/>
            <wp:docPr id="25" name="图片 25" descr="第五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第五章"/>
                    <pic:cNvPicPr>
                      <a:picLocks noChangeAspect="1"/>
                    </pic:cNvPicPr>
                  </pic:nvPicPr>
                  <pic:blipFill>
                    <a:blip r:embed="rId42"/>
                    <a:stretch>
                      <a:fillRect/>
                    </a:stretch>
                  </pic:blipFill>
                  <pic:spPr>
                    <a:xfrm>
                      <a:off x="0" y="0"/>
                      <a:ext cx="5350510" cy="2059305"/>
                    </a:xfrm>
                    <a:prstGeom prst="rect">
                      <a:avLst/>
                    </a:prstGeom>
                  </pic:spPr>
                </pic:pic>
              </a:graphicData>
            </a:graphic>
          </wp:inline>
        </w:drawing>
      </w:r>
    </w:p>
    <w:p>
      <w:pPr>
        <w:pStyle w:val="55"/>
        <w:ind w:firstLine="440"/>
        <w:rPr>
          <w:rFonts w:hint="default" w:ascii="Times New Roman" w:hAnsi="Times New Roman" w:eastAsia="仿宋_GB2312" w:cs="Times New Roman"/>
          <w:color w:val="auto"/>
          <w:highlight w:val="none"/>
        </w:rPr>
      </w:pPr>
      <w:r>
        <w:rPr>
          <w:sz w:val="22"/>
        </w:rPr>
        <mc:AlternateContent>
          <mc:Choice Requires="wps">
            <w:drawing>
              <wp:anchor distT="0" distB="0" distL="114300" distR="114300" simplePos="0" relativeHeight="251661312" behindDoc="0" locked="0" layoutInCell="1" allowOverlap="1">
                <wp:simplePos x="0" y="0"/>
                <wp:positionH relativeFrom="column">
                  <wp:posOffset>1210310</wp:posOffset>
                </wp:positionH>
                <wp:positionV relativeFrom="paragraph">
                  <wp:posOffset>97155</wp:posOffset>
                </wp:positionV>
                <wp:extent cx="718185" cy="5080"/>
                <wp:effectExtent l="0" t="0" r="0" b="0"/>
                <wp:wrapNone/>
                <wp:docPr id="16" name="直接连接符 16"/>
                <wp:cNvGraphicFramePr/>
                <a:graphic xmlns:a="http://schemas.openxmlformats.org/drawingml/2006/main">
                  <a:graphicData uri="http://schemas.microsoft.com/office/word/2010/wordprocessingShape">
                    <wps:wsp>
                      <wps:cNvCnPr/>
                      <wps:spPr>
                        <a:xfrm>
                          <a:off x="2174240" y="3169285"/>
                          <a:ext cx="718185" cy="508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_x0000_s1026" o:spid="_x0000_s1026" o:spt="20" style="position:absolute;left:0pt;margin-left:95.3pt;margin-top:7.65pt;height:0.4pt;width:56.55pt;z-index:251661312;mso-width-relative:page;mso-height-relative:page;" filled="f" stroked="t" coordsize="21600,21600" o:gfxdata="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Z3OmNcAAAAJAQAADwAAAAAAAAABACAAAAAiAAAAZHJzL2Rvd25y&#10;ZXYueG1sUEsBAhQAFAAAAAgAh07iQD0P2Ao4AgAAVwQAAA4AAAAAAAAAAQAgAAAAJgEAAGRycy9l&#10;Mm9Eb2MueG1sUEsFBgAAAAAGAAYAWQEAANAFAAAAAA==&#10;">
                <v:fill on="f" focussize="0,0"/>
                <v:stroke weight="3pt" color="#F79646 [3209]" joinstyle="round"/>
                <v:imagedata o:title=""/>
                <o:lock v:ext="edit" aspectratio="f"/>
                <v:shadow on="t" color="#000000" opacity="22937f" offset="0pt,1.81102362204724pt" origin="0f,32768f" matrix="65536f,0f,0f,65536f"/>
              </v:line>
            </w:pict>
          </mc:Fallback>
        </mc:AlternateContent>
      </w:r>
      <w:r>
        <w:rPr>
          <w:sz w:val="22"/>
        </w:rPr>
        <mc:AlternateContent>
          <mc:Choice Requires="wps">
            <w:drawing>
              <wp:anchor distT="0" distB="0" distL="114300" distR="114300" simplePos="0" relativeHeight="251662336" behindDoc="0" locked="0" layoutInCell="1" allowOverlap="1">
                <wp:simplePos x="0" y="0"/>
                <wp:positionH relativeFrom="column">
                  <wp:posOffset>3137535</wp:posOffset>
                </wp:positionH>
                <wp:positionV relativeFrom="paragraph">
                  <wp:posOffset>99060</wp:posOffset>
                </wp:positionV>
                <wp:extent cx="784225" cy="0"/>
                <wp:effectExtent l="0" t="0" r="0" b="0"/>
                <wp:wrapNone/>
                <wp:docPr id="17" name="直接连接符 17"/>
                <wp:cNvGraphicFramePr/>
                <a:graphic xmlns:a="http://schemas.openxmlformats.org/drawingml/2006/main">
                  <a:graphicData uri="http://schemas.microsoft.com/office/word/2010/wordprocessingShape">
                    <wps:wsp>
                      <wps:cNvCnPr/>
                      <wps:spPr>
                        <a:xfrm>
                          <a:off x="4109720" y="3138805"/>
                          <a:ext cx="7842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47.05pt;margin-top:7.8pt;height:0pt;width:61.75pt;z-index:251662336;mso-width-relative:page;mso-height-relative:page;" filled="f" stroked="t" coordsize="21600,21600" o:gfxdata="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UC9+y1QAAAAkBAAAPAAAAAAAAAAEAIAAAACIAAABkcnMvZG93bnJldi54bWxQSwEC&#10;FAAUAAAACACHTuJAKMJhOzACAABUBAAADgAAAAAAAAABACAAAAAkAQAAZHJzL2Uyb0RvYy54bWxQ&#10;SwUGAAAAAAYABgBZAQAAxgUAAAAA&#10;">
                <v:fill on="f" focussize="0,0"/>
                <v:stroke weight="3pt" color="#000000 [3200]" joinstyle="round"/>
                <v:imagedata o:title=""/>
                <o:lock v:ext="edit" aspectratio="f"/>
                <v:shadow on="t" color="#000000" opacity="22937f" offset="0pt,1.81102362204724pt" origin="0f,32768f" matrix="65536f,0f,0f,65536f"/>
              </v:line>
            </w:pict>
          </mc:Fallback>
        </mc:AlternateContent>
      </w:r>
      <w:r>
        <w:rPr>
          <w:rFonts w:hint="default" w:ascii="Times New Roman" w:hAnsi="Times New Roman" w:eastAsia="仿宋_GB2312" w:cs="Times New Roman"/>
          <w:color w:val="auto"/>
          <w:sz w:val="22"/>
          <w:highlight w:val="none"/>
        </w:rPr>
        <w:t>注：主体工程“           ”； 水土保持措施“            ”</w:t>
      </w:r>
    </w:p>
    <w:p>
      <w:pPr>
        <w:ind w:firstLine="480"/>
        <w:rPr>
          <w:rFonts w:hint="default" w:ascii="Times New Roman" w:hAnsi="Times New Roman" w:eastAsia="仿宋_GB2312" w:cs="Times New Roman"/>
          <w:color w:val="auto"/>
          <w:highlight w:val="none"/>
        </w:rPr>
        <w:sectPr>
          <w:headerReference r:id="rId26"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26" w:charSpace="0"/>
        </w:sectPr>
      </w:pPr>
    </w:p>
    <w:p>
      <w:pPr>
        <w:pStyle w:val="65"/>
        <w:rPr>
          <w:rFonts w:hint="default" w:ascii="Times New Roman" w:hAnsi="Times New Roman" w:eastAsia="仿宋_GB2312" w:cs="Times New Roman"/>
          <w:color w:val="auto"/>
          <w:highlight w:val="none"/>
        </w:rPr>
      </w:pPr>
      <w:bookmarkStart w:id="136" w:name="_Toc407014560"/>
      <w:bookmarkStart w:id="137" w:name="_Toc417412345"/>
      <w:bookmarkStart w:id="138" w:name="_Toc15562"/>
      <w:r>
        <w:rPr>
          <w:rFonts w:hint="default" w:ascii="Times New Roman" w:hAnsi="Times New Roman" w:eastAsia="仿宋_GB2312" w:cs="Times New Roman"/>
          <w:color w:val="auto"/>
          <w:highlight w:val="none"/>
        </w:rPr>
        <w:t>6 水土保持监测</w:t>
      </w:r>
      <w:bookmarkEnd w:id="136"/>
      <w:bookmarkEnd w:id="137"/>
      <w:bookmarkEnd w:id="138"/>
    </w:p>
    <w:p>
      <w:pPr>
        <w:pStyle w:val="55"/>
        <w:ind w:firstLine="480"/>
        <w:rPr>
          <w:rFonts w:hint="default" w:ascii="Times New Roman" w:hAnsi="Times New Roman" w:eastAsia="仿宋_GB2312" w:cs="Times New Roman"/>
          <w:color w:val="auto"/>
          <w:highlight w:val="none"/>
        </w:rPr>
      </w:pPr>
      <w:bookmarkStart w:id="139" w:name="_Toc407014562"/>
      <w:bookmarkStart w:id="140" w:name="_Toc417412347"/>
      <w:r>
        <w:rPr>
          <w:rFonts w:hint="default" w:ascii="Times New Roman" w:hAnsi="Times New Roman" w:eastAsia="仿宋_GB2312" w:cs="Times New Roman"/>
          <w:color w:val="auto"/>
          <w:highlight w:val="none"/>
        </w:rPr>
        <w:t>根据《新疆维吾尔自治区实施&lt;中华人民共和国水土保持法&gt;办法》（2013年7月31日修订，2013年10月1日实施）第二十四条规定，依法应当编制水土保持方案报告书的生产建设项目，生产建设单位应当自行或者委托具备相应水土保持监测技术能力机构进行监测。本项目为占地面积不满五万平方米且挖、填土石方总量不满五万立方米，应编制水土保持方案报告表，不在规定的应当进行水土保持监测的生产建设项目范围内。因此，本项目水土保持监测工作由建设单位自行安排，不作具体设计要求。</w:t>
      </w:r>
    </w:p>
    <w:bookmarkEnd w:id="139"/>
    <w:bookmarkEnd w:id="140"/>
    <w:p>
      <w:pPr>
        <w:pStyle w:val="55"/>
        <w:ind w:firstLine="480"/>
        <w:rPr>
          <w:rFonts w:hint="default" w:ascii="Times New Roman" w:hAnsi="Times New Roman" w:eastAsia="仿宋_GB2312" w:cs="Times New Roman"/>
          <w:color w:val="auto"/>
          <w:highlight w:val="none"/>
        </w:rPr>
      </w:pPr>
    </w:p>
    <w:p>
      <w:pPr>
        <w:pStyle w:val="55"/>
        <w:ind w:firstLine="480"/>
        <w:rPr>
          <w:rFonts w:hint="default" w:ascii="Times New Roman" w:hAnsi="Times New Roman" w:eastAsia="仿宋_GB2312" w:cs="Times New Roman"/>
          <w:color w:val="auto"/>
          <w:highlight w:val="none"/>
        </w:rPr>
      </w:pPr>
    </w:p>
    <w:p>
      <w:pPr>
        <w:pStyle w:val="55"/>
        <w:ind w:firstLine="480"/>
        <w:rPr>
          <w:rFonts w:hint="default" w:ascii="Times New Roman" w:hAnsi="Times New Roman" w:eastAsia="仿宋_GB2312" w:cs="Times New Roman"/>
          <w:color w:val="auto"/>
          <w:highlight w:val="none"/>
        </w:rPr>
      </w:pPr>
    </w:p>
    <w:p>
      <w:pPr>
        <w:pStyle w:val="55"/>
        <w:ind w:firstLine="480"/>
        <w:rPr>
          <w:rFonts w:hint="default" w:ascii="Times New Roman" w:hAnsi="Times New Roman" w:eastAsia="仿宋_GB2312" w:cs="Times New Roman"/>
          <w:color w:val="auto"/>
          <w:highlight w:val="none"/>
        </w:rPr>
        <w:sectPr>
          <w:headerReference r:id="rId27"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p>
      <w:pPr>
        <w:pStyle w:val="65"/>
        <w:rPr>
          <w:rFonts w:hint="default" w:ascii="Times New Roman" w:hAnsi="Times New Roman" w:eastAsia="仿宋_GB2312" w:cs="Times New Roman"/>
          <w:color w:val="auto"/>
          <w:highlight w:val="none"/>
        </w:rPr>
      </w:pPr>
      <w:bookmarkStart w:id="141" w:name="_Toc18044"/>
      <w:r>
        <w:rPr>
          <w:rFonts w:hint="default" w:ascii="Times New Roman" w:hAnsi="Times New Roman" w:eastAsia="仿宋_GB2312" w:cs="Times New Roman"/>
          <w:color w:val="auto"/>
          <w:highlight w:val="none"/>
        </w:rPr>
        <w:t>7 水土保持投资概算及效益分析</w:t>
      </w:r>
      <w:bookmarkEnd w:id="141"/>
    </w:p>
    <w:p>
      <w:pPr>
        <w:pStyle w:val="66"/>
        <w:ind w:firstLine="148"/>
        <w:rPr>
          <w:rFonts w:hint="default" w:ascii="Times New Roman" w:hAnsi="Times New Roman" w:eastAsia="仿宋_GB2312" w:cs="Times New Roman"/>
          <w:color w:val="auto"/>
          <w:highlight w:val="none"/>
        </w:rPr>
      </w:pPr>
      <w:bookmarkStart w:id="142" w:name="_Toc21515"/>
      <w:r>
        <w:rPr>
          <w:rFonts w:hint="default" w:ascii="Times New Roman" w:hAnsi="Times New Roman" w:eastAsia="仿宋_GB2312" w:cs="Times New Roman"/>
          <w:color w:val="auto"/>
          <w:highlight w:val="none"/>
        </w:rPr>
        <w:t>7.1 投资概算</w:t>
      </w:r>
      <w:bookmarkEnd w:id="142"/>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7.1.1 编制原则及依据</w:t>
      </w:r>
    </w:p>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7.1.1.1 编制原则</w:t>
      </w:r>
    </w:p>
    <w:p>
      <w:pPr>
        <w:pStyle w:val="55"/>
        <w:numPr>
          <w:ilvl w:val="0"/>
          <w:numId w:val="7"/>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方案水土保持投资概算的编制依据、编制定额、价格水平年与基础单价、主要工程单价中的相关费率等与主体工程相一致；主体工程中没有明确规定的，采用水利部《开发建设项目水土保持工程投资概(估)算编制规定》(水总[2003]67号)及相关行业、地方标准和当地现行价。水土保持投资费用构成按《开发建设项目水土保持工程概(估)算编制规定》执行。</w:t>
      </w:r>
    </w:p>
    <w:p>
      <w:pPr>
        <w:pStyle w:val="55"/>
        <w:numPr>
          <w:ilvl w:val="0"/>
          <w:numId w:val="7"/>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水土保持投资概算总表按工程措施、植物措施、临时工程和独立费用、预备费等5部分计列。分部工程概算表按照防治分区计列上述各项投资。</w:t>
      </w:r>
    </w:p>
    <w:p>
      <w:pPr>
        <w:pStyle w:val="55"/>
        <w:numPr>
          <w:ilvl w:val="0"/>
          <w:numId w:val="7"/>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水土保持工程总投资由工程措施投资、植物措施投资、临时措施投资、独立费用及基本预备费五部分组成。</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（4）考虑到本项目已开工建设，投资概算价格中主体已列措施均利用主体单价计算，因此主体已实施措施价格水平年同主体一致。水土保持投资概算价格水平年为202</w:t>
      </w:r>
      <w:r>
        <w:rPr>
          <w:rFonts w:hint="eastAsia" w:cs="Times New Roman"/>
          <w:color w:val="auto"/>
          <w:highlight w:val="none"/>
          <w:lang w:val="en-US" w:eastAsia="zh-CN"/>
        </w:rPr>
        <w:t>1</w:t>
      </w:r>
      <w:r>
        <w:rPr>
          <w:rFonts w:hint="default" w:ascii="Times New Roman" w:hAnsi="Times New Roman" w:eastAsia="仿宋_GB2312" w:cs="Times New Roman"/>
          <w:color w:val="auto"/>
          <w:highlight w:val="none"/>
        </w:rPr>
        <w:t>年第二季度。</w:t>
      </w:r>
    </w:p>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7.1.1.2 编制依据</w:t>
      </w:r>
    </w:p>
    <w:p>
      <w:pPr>
        <w:pStyle w:val="55"/>
        <w:numPr>
          <w:ilvl w:val="0"/>
          <w:numId w:val="8"/>
        </w:numPr>
        <w:ind w:firstLineChars="0"/>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《开发建设项目水土保持工程投资概(估)算编制规定》、《开发建设项目水土保持工程概算定额》、《开发建设项目水土保持工程施工机械台时费定额》(水利部水总〔2003〕67号)；</w:t>
      </w:r>
    </w:p>
    <w:p>
      <w:pPr>
        <w:pStyle w:val="55"/>
        <w:numPr>
          <w:ilvl w:val="0"/>
          <w:numId w:val="8"/>
        </w:numPr>
        <w:ind w:firstLineChars="0"/>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《水土保持工程概(估)算费编制规定及定额》(水利部[2003]67号)；</w:t>
      </w:r>
    </w:p>
    <w:p>
      <w:pPr>
        <w:pStyle w:val="55"/>
        <w:numPr>
          <w:ilvl w:val="0"/>
          <w:numId w:val="8"/>
        </w:numPr>
        <w:ind w:firstLineChars="0"/>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《关于公布取消和停止征收100项行政事业性收费项目的通知》(财政部、国家发展改革委，财综[2008]78号)；</w:t>
      </w:r>
    </w:p>
    <w:p>
      <w:pPr>
        <w:pStyle w:val="55"/>
        <w:numPr>
          <w:ilvl w:val="0"/>
          <w:numId w:val="8"/>
        </w:numPr>
        <w:ind w:firstLineChars="0"/>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《关于印发《水土保持补偿费征收使用管理办法》的通知》，财政部国家发展改革委水利部中国人民银行，财综[2014]8号；</w:t>
      </w:r>
    </w:p>
    <w:p>
      <w:pPr>
        <w:pStyle w:val="55"/>
        <w:numPr>
          <w:ilvl w:val="0"/>
          <w:numId w:val="8"/>
        </w:numPr>
        <w:ind w:firstLineChars="0"/>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关于水土保持补偿费收费标准(试行)的通知》，国家发展改革委财政部水利部，发改价格[2014]886号；主体工程涉及的新疆物价局、财政厅、水利厅颁发的各省(区)“水土保持设施补尝费收取与管理办法”的有关文件；</w:t>
      </w:r>
    </w:p>
    <w:p>
      <w:pPr>
        <w:pStyle w:val="55"/>
        <w:numPr>
          <w:ilvl w:val="0"/>
          <w:numId w:val="8"/>
        </w:numPr>
        <w:ind w:firstLineChars="0"/>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《新疆维吾尔自治区水土保持设施补偿费、水土流失防治费收缴使用管理暂行规定》新政发(2000)45号；</w:t>
      </w:r>
    </w:p>
    <w:p>
      <w:pPr>
        <w:pStyle w:val="55"/>
        <w:numPr>
          <w:ilvl w:val="0"/>
          <w:numId w:val="8"/>
        </w:numPr>
        <w:ind w:firstLineChars="0"/>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highlight w:val="none"/>
        </w:rPr>
        <w:t>新建造[2011]3号文《关于调整自治区建设工程税金和税率的通知》；</w:t>
      </w:r>
    </w:p>
    <w:p>
      <w:pPr>
        <w:pStyle w:val="55"/>
        <w:numPr>
          <w:ilvl w:val="0"/>
          <w:numId w:val="8"/>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《新疆维吾尔自治区水土保持补偿费征收使用管理办法》(新财非税[2015]10号)；</w:t>
      </w:r>
    </w:p>
    <w:p>
      <w:pPr>
        <w:pStyle w:val="55"/>
        <w:numPr>
          <w:ilvl w:val="0"/>
          <w:numId w:val="8"/>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《关于印发水利工程营业税改增值税计价依据调整办法的通知》(水利部办公厅，办水总[2016]132号，2016年7月5日)；</w:t>
      </w:r>
    </w:p>
    <w:p>
      <w:pPr>
        <w:pStyle w:val="55"/>
        <w:numPr>
          <w:ilvl w:val="0"/>
          <w:numId w:val="8"/>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《建设工程监理与相关服务收费管理规定》（国家发改委670号文）；</w:t>
      </w:r>
    </w:p>
    <w:p>
      <w:pPr>
        <w:pStyle w:val="55"/>
        <w:numPr>
          <w:ilvl w:val="0"/>
          <w:numId w:val="8"/>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财政部税务总局关于调整增值税税率的通知（财税〔2018〕32号）；</w:t>
      </w:r>
    </w:p>
    <w:p>
      <w:pPr>
        <w:pStyle w:val="55"/>
        <w:numPr>
          <w:ilvl w:val="0"/>
          <w:numId w:val="8"/>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水利部办公厅关于调整水利工程计价依据增值税计算标准的通知（办财务函[2019]448号）；</w:t>
      </w:r>
    </w:p>
    <w:p>
      <w:pPr>
        <w:pStyle w:val="55"/>
        <w:numPr>
          <w:ilvl w:val="0"/>
          <w:numId w:val="8"/>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新疆维吾尔自治区住房和城乡建设厅关于实施《建筑业增值税新税率调整建设工程计价依据的通知》（新建标〔2018〕6号）</w:t>
      </w:r>
    </w:p>
    <w:p>
      <w:pPr>
        <w:pStyle w:val="55"/>
        <w:numPr>
          <w:ilvl w:val="0"/>
          <w:numId w:val="8"/>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《水利工程计价依据增值税计算标准的通知》办财务函[2019]448号；</w:t>
      </w:r>
    </w:p>
    <w:p>
      <w:pPr>
        <w:pStyle w:val="55"/>
        <w:numPr>
          <w:ilvl w:val="0"/>
          <w:numId w:val="8"/>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主体工程设计资料；</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7.1.2 编制说明与概算成果</w:t>
      </w:r>
    </w:p>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7.1.2.1 编制说明</w:t>
      </w:r>
    </w:p>
    <w:p>
      <w:pPr>
        <w:pStyle w:val="55"/>
        <w:ind w:firstLine="482"/>
        <w:rPr>
          <w:rFonts w:hint="default" w:ascii="Times New Roman" w:hAnsi="Times New Roman" w:eastAsia="仿宋_GB2312" w:cs="Times New Roman"/>
          <w:b/>
          <w:color w:val="auto"/>
          <w:highlight w:val="none"/>
        </w:rPr>
      </w:pPr>
      <w:r>
        <w:rPr>
          <w:rFonts w:hint="default" w:ascii="Times New Roman" w:hAnsi="Times New Roman" w:eastAsia="仿宋_GB2312" w:cs="Times New Roman"/>
          <w:b/>
          <w:color w:val="auto"/>
          <w:highlight w:val="none"/>
        </w:rPr>
        <w:t>（1）基础单价</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1）人工单价</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水保工程的单价采取主体工程中的单价，不足的部分采取水利部水总[2003]67号文颁发的《开发建设项目水土保持工程概（估）算编制规定》。本工程采用的人工预算单价、主要工程单价、取费费率与主体工程一致，不足部分参考相关规定。本工程参考主体工程人工单价，为</w:t>
      </w:r>
      <w:r>
        <w:rPr>
          <w:rFonts w:hint="eastAsia" w:cs="Times New Roman"/>
          <w:color w:val="auto"/>
          <w:highlight w:val="none"/>
          <w:lang w:val="en-US" w:eastAsia="zh-CN"/>
        </w:rPr>
        <w:t>11.76</w:t>
      </w:r>
      <w:r>
        <w:rPr>
          <w:rFonts w:hint="default" w:ascii="Times New Roman" w:hAnsi="Times New Roman" w:eastAsia="仿宋_GB2312" w:cs="Times New Roman"/>
          <w:color w:val="auto"/>
          <w:highlight w:val="none"/>
        </w:rPr>
        <w:t>元/h。</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2）主要材料价格</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根据本工程地理位置及施工组织设计确定主要材料：防尘网从</w:t>
      </w:r>
      <w:r>
        <w:rPr>
          <w:rFonts w:hint="eastAsia" w:cs="Times New Roman"/>
          <w:color w:val="auto"/>
          <w:highlight w:val="none"/>
          <w:lang w:eastAsia="zh-CN"/>
        </w:rPr>
        <w:t>策勒县</w:t>
      </w:r>
      <w:r>
        <w:rPr>
          <w:rFonts w:hint="default" w:ascii="Times New Roman" w:hAnsi="Times New Roman" w:eastAsia="仿宋_GB2312" w:cs="Times New Roman"/>
          <w:color w:val="auto"/>
          <w:highlight w:val="none"/>
        </w:rPr>
        <w:t>购买，汽车运到工地，本工程不计运输保险费，采购及保管费按1~2.3%计取。</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3）水、电价格</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施工用电参考主体工程单价：平均电价0.</w:t>
      </w:r>
      <w:r>
        <w:rPr>
          <w:rFonts w:hint="eastAsia" w:cs="Times New Roman"/>
          <w:color w:val="auto"/>
          <w:highlight w:val="none"/>
          <w:lang w:val="en-US" w:eastAsia="zh-CN"/>
        </w:rPr>
        <w:t>52</w:t>
      </w:r>
      <w:r>
        <w:rPr>
          <w:rFonts w:hint="default" w:ascii="Times New Roman" w:hAnsi="Times New Roman" w:eastAsia="仿宋_GB2312" w:cs="Times New Roman"/>
          <w:color w:val="auto"/>
          <w:highlight w:val="none"/>
        </w:rPr>
        <w:t>元/kW.h。</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施工用水参考主体工程单价：水价为</w:t>
      </w:r>
      <w:r>
        <w:rPr>
          <w:rFonts w:hint="eastAsia" w:cs="Times New Roman"/>
          <w:color w:val="auto"/>
          <w:highlight w:val="none"/>
          <w:lang w:val="en-US" w:eastAsia="zh-CN"/>
        </w:rPr>
        <w:t>1.50</w:t>
      </w:r>
      <w:r>
        <w:rPr>
          <w:rFonts w:hint="default" w:ascii="Times New Roman" w:hAnsi="Times New Roman" w:eastAsia="仿宋_GB2312" w:cs="Times New Roman"/>
          <w:color w:val="auto"/>
          <w:highlight w:val="none"/>
        </w:rPr>
        <w:t>元/m³。</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4）施工机械台时费</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主要施工机械台时费与主体工程保持一致，不足部分按照《施工机械台时费定额》编制。</w:t>
      </w:r>
    </w:p>
    <w:p>
      <w:pPr>
        <w:pStyle w:val="55"/>
        <w:ind w:firstLine="482"/>
        <w:rPr>
          <w:rFonts w:hint="default" w:ascii="Times New Roman" w:hAnsi="Times New Roman" w:eastAsia="仿宋_GB2312" w:cs="Times New Roman"/>
          <w:b/>
          <w:color w:val="auto"/>
          <w:highlight w:val="none"/>
        </w:rPr>
      </w:pPr>
      <w:r>
        <w:rPr>
          <w:rFonts w:hint="default" w:ascii="Times New Roman" w:hAnsi="Times New Roman" w:eastAsia="仿宋_GB2312" w:cs="Times New Roman"/>
          <w:b/>
          <w:color w:val="auto"/>
          <w:highlight w:val="none"/>
        </w:rPr>
        <w:t>（2）工程单价</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工程单价采用主体工程单价，不足部分采用《水土保持工程概算定额》编制。单价中费率采用主体工程的费率，主体工程概算中未明确的采用《开发建设项目水土保持工程概（估）算编制规定》。</w:t>
      </w:r>
    </w:p>
    <w:p>
      <w:pPr>
        <w:pStyle w:val="55"/>
        <w:ind w:firstLine="482"/>
        <w:rPr>
          <w:rFonts w:hint="default" w:ascii="Times New Roman" w:hAnsi="Times New Roman" w:eastAsia="仿宋_GB2312" w:cs="Times New Roman"/>
          <w:b/>
          <w:color w:val="auto"/>
          <w:highlight w:val="none"/>
        </w:rPr>
      </w:pPr>
      <w:r>
        <w:rPr>
          <w:rFonts w:hint="default" w:ascii="Times New Roman" w:hAnsi="Times New Roman" w:eastAsia="仿宋_GB2312" w:cs="Times New Roman"/>
          <w:b/>
          <w:color w:val="auto"/>
          <w:highlight w:val="none"/>
        </w:rPr>
        <w:t>（3）费率标准</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工程措施单价根据《水土保持工程概（估）算编制规定》规定，由直接工程费（包括直接费、其他直接费、现场经费）、间接费、企业利润、税金和扩大系数构成。</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措施费率表，见表7.1-1。</w:t>
      </w: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表7.1-1措施费率汇总表</w:t>
      </w:r>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9"/>
        <w:gridCol w:w="1294"/>
        <w:gridCol w:w="3271"/>
        <w:gridCol w:w="1305"/>
        <w:gridCol w:w="1154"/>
        <w:gridCol w:w="135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序号</w:t>
            </w:r>
          </w:p>
        </w:tc>
        <w:tc>
          <w:tcPr>
            <w:tcW w:w="1294"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工程类别</w:t>
            </w:r>
          </w:p>
        </w:tc>
        <w:tc>
          <w:tcPr>
            <w:tcW w:w="3271"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计算基础</w:t>
            </w:r>
          </w:p>
        </w:tc>
        <w:tc>
          <w:tcPr>
            <w:tcW w:w="1305"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土石方工程</w:t>
            </w:r>
          </w:p>
        </w:tc>
        <w:tc>
          <w:tcPr>
            <w:tcW w:w="1154"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植物措施</w:t>
            </w:r>
          </w:p>
        </w:tc>
        <w:tc>
          <w:tcPr>
            <w:tcW w:w="1357"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其他工程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一</w:t>
            </w:r>
          </w:p>
        </w:tc>
        <w:tc>
          <w:tcPr>
            <w:tcW w:w="1294"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其他直接费</w:t>
            </w:r>
          </w:p>
        </w:tc>
        <w:tc>
          <w:tcPr>
            <w:tcW w:w="3271"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直接费</w:t>
            </w:r>
          </w:p>
        </w:tc>
        <w:tc>
          <w:tcPr>
            <w:tcW w:w="1305" w:type="dxa"/>
            <w:vAlign w:val="center"/>
          </w:tcPr>
          <w:p>
            <w:pPr>
              <w:pStyle w:val="84"/>
              <w:rPr>
                <w:rFonts w:hint="default" w:ascii="Times New Roman" w:hAnsi="Times New Roman" w:eastAsia="仿宋_GB2312" w:cs="Times New Roman"/>
                <w:snapToGrid w:val="0"/>
                <w:color w:val="auto"/>
                <w:kern w:val="24"/>
                <w:highlight w:val="none"/>
                <w:lang w:val="en-US" w:eastAsia="zh-CN"/>
              </w:rPr>
            </w:pPr>
            <w:r>
              <w:rPr>
                <w:rFonts w:hint="eastAsia" w:cs="Times New Roman"/>
                <w:snapToGrid w:val="0"/>
                <w:color w:val="auto"/>
                <w:kern w:val="24"/>
                <w:highlight w:val="none"/>
                <w:lang w:val="en-US" w:eastAsia="zh-CN"/>
              </w:rPr>
              <w:t>0.5%</w:t>
            </w:r>
          </w:p>
        </w:tc>
        <w:tc>
          <w:tcPr>
            <w:tcW w:w="1154" w:type="dxa"/>
            <w:vAlign w:val="center"/>
          </w:tcPr>
          <w:p>
            <w:pPr>
              <w:pStyle w:val="84"/>
              <w:rPr>
                <w:rFonts w:hint="default" w:ascii="Times New Roman" w:hAnsi="Times New Roman" w:eastAsia="仿宋_GB2312" w:cs="Times New Roman"/>
                <w:snapToGrid w:val="0"/>
                <w:color w:val="auto"/>
                <w:kern w:val="24"/>
                <w:highlight w:val="none"/>
                <w:lang w:val="en-US" w:eastAsia="zh-CN"/>
              </w:rPr>
            </w:pPr>
            <w:r>
              <w:rPr>
                <w:rFonts w:hint="eastAsia" w:cs="Times New Roman"/>
                <w:snapToGrid w:val="0"/>
                <w:color w:val="auto"/>
                <w:kern w:val="24"/>
                <w:highlight w:val="none"/>
                <w:lang w:val="en-US" w:eastAsia="zh-CN"/>
              </w:rPr>
              <w:t>0.5%</w:t>
            </w:r>
          </w:p>
        </w:tc>
        <w:tc>
          <w:tcPr>
            <w:tcW w:w="1357" w:type="dxa"/>
            <w:vAlign w:val="center"/>
          </w:tcPr>
          <w:p>
            <w:pPr>
              <w:pStyle w:val="84"/>
              <w:rPr>
                <w:rFonts w:hint="eastAsia" w:ascii="Times New Roman" w:hAnsi="Times New Roman" w:eastAsia="仿宋_GB2312" w:cs="Times New Roman"/>
                <w:snapToGrid w:val="0"/>
                <w:color w:val="auto"/>
                <w:kern w:val="24"/>
                <w:highlight w:val="none"/>
                <w:lang w:eastAsia="zh-CN"/>
              </w:rPr>
            </w:pPr>
            <w:r>
              <w:rPr>
                <w:rFonts w:hint="eastAsia" w:cs="Times New Roman"/>
                <w:snapToGrid w:val="0"/>
                <w:color w:val="auto"/>
                <w:kern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二</w:t>
            </w:r>
          </w:p>
        </w:tc>
        <w:tc>
          <w:tcPr>
            <w:tcW w:w="1294"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现场经费</w:t>
            </w:r>
          </w:p>
        </w:tc>
        <w:tc>
          <w:tcPr>
            <w:tcW w:w="3271"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直接费</w:t>
            </w:r>
          </w:p>
        </w:tc>
        <w:tc>
          <w:tcPr>
            <w:tcW w:w="1305" w:type="dxa"/>
            <w:vAlign w:val="center"/>
          </w:tcPr>
          <w:p>
            <w:pPr>
              <w:pStyle w:val="84"/>
              <w:rPr>
                <w:rFonts w:hint="eastAsia" w:ascii="Times New Roman" w:hAnsi="Times New Roman" w:eastAsia="仿宋_GB2312" w:cs="Times New Roman"/>
                <w:snapToGrid w:val="0"/>
                <w:color w:val="auto"/>
                <w:kern w:val="24"/>
                <w:highlight w:val="none"/>
                <w:lang w:eastAsia="zh-CN"/>
              </w:rPr>
            </w:pPr>
            <w:r>
              <w:rPr>
                <w:rFonts w:hint="eastAsia" w:cs="Times New Roman"/>
                <w:snapToGrid w:val="0"/>
                <w:color w:val="auto"/>
                <w:kern w:val="24"/>
                <w:highlight w:val="none"/>
                <w:lang w:val="en-US" w:eastAsia="zh-CN"/>
              </w:rPr>
              <w:t>3%</w:t>
            </w:r>
          </w:p>
        </w:tc>
        <w:tc>
          <w:tcPr>
            <w:tcW w:w="1154"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4.0</w:t>
            </w:r>
            <w:r>
              <w:rPr>
                <w:rFonts w:hint="eastAsia" w:cs="Times New Roman"/>
                <w:snapToGrid w:val="0"/>
                <w:color w:val="auto"/>
                <w:kern w:val="24"/>
                <w:highlight w:val="none"/>
                <w:lang w:val="en-US" w:eastAsia="zh-CN"/>
              </w:rPr>
              <w:t>%</w:t>
            </w:r>
          </w:p>
        </w:tc>
        <w:tc>
          <w:tcPr>
            <w:tcW w:w="1357"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5</w:t>
            </w:r>
            <w:r>
              <w:rPr>
                <w:rFonts w:hint="eastAsia" w:cs="Times New Roman"/>
                <w:snapToGrid w:val="0"/>
                <w:color w:val="auto"/>
                <w:kern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三</w:t>
            </w:r>
          </w:p>
        </w:tc>
        <w:tc>
          <w:tcPr>
            <w:tcW w:w="1294"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间接费</w:t>
            </w:r>
          </w:p>
        </w:tc>
        <w:tc>
          <w:tcPr>
            <w:tcW w:w="3271"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直接工程费</w:t>
            </w:r>
          </w:p>
        </w:tc>
        <w:tc>
          <w:tcPr>
            <w:tcW w:w="1305" w:type="dxa"/>
            <w:vAlign w:val="center"/>
          </w:tcPr>
          <w:p>
            <w:pPr>
              <w:pStyle w:val="84"/>
              <w:rPr>
                <w:rFonts w:hint="default" w:ascii="Times New Roman" w:hAnsi="Times New Roman" w:eastAsia="仿宋_GB2312" w:cs="Times New Roman"/>
                <w:snapToGrid w:val="0"/>
                <w:color w:val="auto"/>
                <w:kern w:val="24"/>
                <w:highlight w:val="none"/>
              </w:rPr>
            </w:pPr>
            <w:r>
              <w:rPr>
                <w:rFonts w:hint="eastAsia" w:cs="Times New Roman"/>
                <w:snapToGrid w:val="0"/>
                <w:color w:val="auto"/>
                <w:kern w:val="24"/>
                <w:highlight w:val="none"/>
                <w:lang w:val="en-US" w:eastAsia="zh-CN"/>
              </w:rPr>
              <w:t>3.3%</w:t>
            </w:r>
          </w:p>
        </w:tc>
        <w:tc>
          <w:tcPr>
            <w:tcW w:w="1154"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3.3</w:t>
            </w:r>
            <w:r>
              <w:rPr>
                <w:rFonts w:hint="eastAsia" w:cs="Times New Roman"/>
                <w:snapToGrid w:val="0"/>
                <w:color w:val="auto"/>
                <w:kern w:val="24"/>
                <w:highlight w:val="none"/>
                <w:lang w:val="en-US" w:eastAsia="zh-CN"/>
              </w:rPr>
              <w:t>%</w:t>
            </w:r>
          </w:p>
        </w:tc>
        <w:tc>
          <w:tcPr>
            <w:tcW w:w="1357"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4.4</w:t>
            </w:r>
            <w:r>
              <w:rPr>
                <w:rFonts w:hint="eastAsia" w:cs="Times New Roman"/>
                <w:snapToGrid w:val="0"/>
                <w:color w:val="auto"/>
                <w:kern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四</w:t>
            </w:r>
          </w:p>
        </w:tc>
        <w:tc>
          <w:tcPr>
            <w:tcW w:w="1294"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企业利润</w:t>
            </w:r>
          </w:p>
        </w:tc>
        <w:tc>
          <w:tcPr>
            <w:tcW w:w="3271"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直工程接费+间接费</w:t>
            </w:r>
          </w:p>
        </w:tc>
        <w:tc>
          <w:tcPr>
            <w:tcW w:w="1305"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7</w:t>
            </w:r>
            <w:r>
              <w:rPr>
                <w:rFonts w:hint="eastAsia" w:cs="Times New Roman"/>
                <w:snapToGrid w:val="0"/>
                <w:color w:val="auto"/>
                <w:kern w:val="24"/>
                <w:highlight w:val="none"/>
                <w:lang w:val="en-US" w:eastAsia="zh-CN"/>
              </w:rPr>
              <w:t>%</w:t>
            </w:r>
          </w:p>
        </w:tc>
        <w:tc>
          <w:tcPr>
            <w:tcW w:w="1154"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5</w:t>
            </w:r>
            <w:r>
              <w:rPr>
                <w:rFonts w:hint="eastAsia" w:cs="Times New Roman"/>
                <w:snapToGrid w:val="0"/>
                <w:color w:val="auto"/>
                <w:kern w:val="24"/>
                <w:highlight w:val="none"/>
                <w:lang w:val="en-US" w:eastAsia="zh-CN"/>
              </w:rPr>
              <w:t>%</w:t>
            </w:r>
          </w:p>
        </w:tc>
        <w:tc>
          <w:tcPr>
            <w:tcW w:w="1357"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7</w:t>
            </w:r>
            <w:r>
              <w:rPr>
                <w:rFonts w:hint="eastAsia" w:cs="Times New Roman"/>
                <w:snapToGrid w:val="0"/>
                <w:color w:val="auto"/>
                <w:kern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五</w:t>
            </w:r>
          </w:p>
        </w:tc>
        <w:tc>
          <w:tcPr>
            <w:tcW w:w="1294"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税金</w:t>
            </w:r>
          </w:p>
        </w:tc>
        <w:tc>
          <w:tcPr>
            <w:tcW w:w="3271"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直接费工程费+间接费+企业利润</w:t>
            </w:r>
          </w:p>
        </w:tc>
        <w:tc>
          <w:tcPr>
            <w:tcW w:w="1305"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9</w:t>
            </w:r>
            <w:r>
              <w:rPr>
                <w:rFonts w:hint="eastAsia" w:cs="Times New Roman"/>
                <w:snapToGrid w:val="0"/>
                <w:color w:val="auto"/>
                <w:kern w:val="24"/>
                <w:highlight w:val="none"/>
                <w:lang w:val="en-US" w:eastAsia="zh-CN"/>
              </w:rPr>
              <w:t>%</w:t>
            </w:r>
          </w:p>
        </w:tc>
        <w:tc>
          <w:tcPr>
            <w:tcW w:w="1154"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9</w:t>
            </w:r>
            <w:r>
              <w:rPr>
                <w:rFonts w:hint="eastAsia" w:cs="Times New Roman"/>
                <w:snapToGrid w:val="0"/>
                <w:color w:val="auto"/>
                <w:kern w:val="24"/>
                <w:highlight w:val="none"/>
                <w:lang w:val="en-US" w:eastAsia="zh-CN"/>
              </w:rPr>
              <w:t>%</w:t>
            </w:r>
          </w:p>
        </w:tc>
        <w:tc>
          <w:tcPr>
            <w:tcW w:w="1357"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9</w:t>
            </w:r>
            <w:r>
              <w:rPr>
                <w:rFonts w:hint="eastAsia" w:cs="Times New Roman"/>
                <w:snapToGrid w:val="0"/>
                <w:color w:val="auto"/>
                <w:kern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exact"/>
          <w:jc w:val="center"/>
        </w:trPr>
        <w:tc>
          <w:tcPr>
            <w:tcW w:w="679"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六</w:t>
            </w:r>
          </w:p>
        </w:tc>
        <w:tc>
          <w:tcPr>
            <w:tcW w:w="1294" w:type="dxa"/>
            <w:vAlign w:val="center"/>
          </w:tcPr>
          <w:p>
            <w:pPr>
              <w:pStyle w:val="84"/>
              <w:rPr>
                <w:rFonts w:hint="default" w:ascii="Times New Roman" w:hAnsi="Times New Roman" w:eastAsia="仿宋_GB2312" w:cs="Times New Roman"/>
                <w:snapToGrid w:val="0"/>
                <w:color w:val="auto"/>
                <w:kern w:val="24"/>
                <w:highlight w:val="none"/>
              </w:rPr>
            </w:pPr>
            <w:r>
              <w:rPr>
                <w:rFonts w:hint="default" w:ascii="Times New Roman" w:hAnsi="Times New Roman" w:eastAsia="仿宋_GB2312" w:cs="Times New Roman"/>
                <w:snapToGrid w:val="0"/>
                <w:color w:val="auto"/>
                <w:kern w:val="24"/>
                <w:highlight w:val="none"/>
              </w:rPr>
              <w:t>扩大</w:t>
            </w:r>
          </w:p>
        </w:tc>
        <w:tc>
          <w:tcPr>
            <w:tcW w:w="3271" w:type="dxa"/>
            <w:vAlign w:val="center"/>
          </w:tcPr>
          <w:p>
            <w:pPr>
              <w:pStyle w:val="84"/>
              <w:rPr>
                <w:rFonts w:hint="default" w:ascii="Times New Roman" w:hAnsi="Times New Roman" w:eastAsia="仿宋_GB2312" w:cs="Times New Roman"/>
                <w:snapToGrid w:val="0"/>
                <w:color w:val="auto"/>
                <w:kern w:val="24"/>
                <w:highlight w:val="none"/>
              </w:rPr>
            </w:pPr>
          </w:p>
        </w:tc>
        <w:tc>
          <w:tcPr>
            <w:tcW w:w="1305" w:type="dxa"/>
            <w:vAlign w:val="center"/>
          </w:tcPr>
          <w:p>
            <w:pPr>
              <w:pStyle w:val="84"/>
              <w:rPr>
                <w:rFonts w:hint="default" w:ascii="Times New Roman" w:hAnsi="Times New Roman" w:eastAsia="仿宋_GB2312" w:cs="Times New Roman"/>
                <w:snapToGrid w:val="0"/>
                <w:color w:val="auto"/>
                <w:kern w:val="24"/>
                <w:highlight w:val="none"/>
                <w:lang w:val="en-US" w:eastAsia="zh-CN"/>
              </w:rPr>
            </w:pPr>
            <w:r>
              <w:rPr>
                <w:rFonts w:hint="eastAsia" w:cs="Times New Roman"/>
                <w:snapToGrid w:val="0"/>
                <w:color w:val="auto"/>
                <w:kern w:val="24"/>
                <w:highlight w:val="none"/>
                <w:lang w:val="en-US" w:eastAsia="zh-CN"/>
              </w:rPr>
              <w:t>10%</w:t>
            </w:r>
          </w:p>
        </w:tc>
        <w:tc>
          <w:tcPr>
            <w:tcW w:w="1154" w:type="dxa"/>
            <w:vAlign w:val="center"/>
          </w:tcPr>
          <w:p>
            <w:pPr>
              <w:pStyle w:val="84"/>
              <w:rPr>
                <w:rFonts w:hint="default" w:ascii="Times New Roman" w:hAnsi="Times New Roman" w:eastAsia="仿宋_GB2312" w:cs="Times New Roman"/>
                <w:snapToGrid w:val="0"/>
                <w:color w:val="auto"/>
                <w:kern w:val="24"/>
                <w:highlight w:val="none"/>
                <w:lang w:val="en-US" w:eastAsia="zh-CN"/>
              </w:rPr>
            </w:pPr>
            <w:r>
              <w:rPr>
                <w:rFonts w:hint="eastAsia" w:cs="Times New Roman"/>
                <w:snapToGrid w:val="0"/>
                <w:color w:val="auto"/>
                <w:kern w:val="24"/>
                <w:highlight w:val="none"/>
                <w:lang w:val="en-US" w:eastAsia="zh-CN"/>
              </w:rPr>
              <w:t>10%</w:t>
            </w:r>
          </w:p>
        </w:tc>
        <w:tc>
          <w:tcPr>
            <w:tcW w:w="1357" w:type="dxa"/>
            <w:vAlign w:val="center"/>
          </w:tcPr>
          <w:p>
            <w:pPr>
              <w:pStyle w:val="84"/>
              <w:rPr>
                <w:rFonts w:hint="default" w:ascii="Times New Roman" w:hAnsi="Times New Roman" w:eastAsia="仿宋_GB2312" w:cs="Times New Roman"/>
                <w:snapToGrid w:val="0"/>
                <w:color w:val="auto"/>
                <w:kern w:val="24"/>
                <w:highlight w:val="none"/>
                <w:lang w:val="en-US" w:eastAsia="zh-CN"/>
              </w:rPr>
            </w:pPr>
            <w:r>
              <w:rPr>
                <w:rFonts w:hint="eastAsia" w:cs="Times New Roman"/>
                <w:snapToGrid w:val="0"/>
                <w:color w:val="auto"/>
                <w:kern w:val="24"/>
                <w:highlight w:val="none"/>
                <w:lang w:val="en-US" w:eastAsia="zh-CN"/>
              </w:rPr>
              <w:t>10%</w:t>
            </w:r>
          </w:p>
        </w:tc>
      </w:tr>
    </w:tbl>
    <w:p>
      <w:pPr>
        <w:pStyle w:val="55"/>
        <w:ind w:firstLine="482"/>
        <w:rPr>
          <w:rFonts w:hint="default" w:ascii="Times New Roman" w:hAnsi="Times New Roman" w:eastAsia="仿宋_GB2312" w:cs="Times New Roman"/>
          <w:b/>
          <w:color w:val="auto"/>
          <w:highlight w:val="none"/>
        </w:rPr>
      </w:pPr>
      <w:r>
        <w:rPr>
          <w:rFonts w:hint="default" w:ascii="Times New Roman" w:hAnsi="Times New Roman" w:eastAsia="仿宋_GB2312" w:cs="Times New Roman"/>
          <w:b/>
          <w:color w:val="auto"/>
          <w:highlight w:val="none"/>
        </w:rPr>
        <w:t>（4）临时工程</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临时防护设施按设计工程量计算投资，其他临时工程投资按前两部分建安工作量之和的2％计算。</w:t>
      </w:r>
    </w:p>
    <w:p>
      <w:pPr>
        <w:pStyle w:val="55"/>
        <w:ind w:firstLine="482"/>
        <w:rPr>
          <w:rFonts w:hint="default" w:ascii="Times New Roman" w:hAnsi="Times New Roman" w:eastAsia="仿宋_GB2312" w:cs="Times New Roman"/>
          <w:b/>
          <w:color w:val="auto"/>
          <w:highlight w:val="none"/>
        </w:rPr>
      </w:pPr>
      <w:r>
        <w:rPr>
          <w:rFonts w:hint="default" w:ascii="Times New Roman" w:hAnsi="Times New Roman" w:eastAsia="仿宋_GB2312" w:cs="Times New Roman"/>
          <w:b/>
          <w:color w:val="auto"/>
          <w:highlight w:val="none"/>
        </w:rPr>
        <w:t>（5）独立费用</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独立费用包括建设管理费、水土保持工程监理费、科研勘测设计费、水土保持监测费、水土保持设施验收报告编制费。独立费用计算，详见表7.1-2。</w:t>
      </w:r>
    </w:p>
    <w:p>
      <w:pPr>
        <w:pStyle w:val="55"/>
        <w:ind w:firstLine="480"/>
        <w:rPr>
          <w:rFonts w:hint="default" w:ascii="Times New Roman" w:hAnsi="Times New Roman" w:eastAsia="仿宋_GB2312" w:cs="Times New Roman"/>
          <w:color w:val="auto"/>
          <w:highlight w:val="none"/>
        </w:rPr>
      </w:pPr>
    </w:p>
    <w:p>
      <w:pPr>
        <w:pStyle w:val="55"/>
        <w:ind w:firstLine="480"/>
        <w:rPr>
          <w:rFonts w:hint="default" w:ascii="Times New Roman" w:hAnsi="Times New Roman" w:eastAsia="仿宋_GB2312" w:cs="Times New Roman"/>
          <w:color w:val="auto"/>
          <w:highlight w:val="none"/>
        </w:rPr>
      </w:pPr>
    </w:p>
    <w:p>
      <w:pPr>
        <w:pStyle w:val="55"/>
        <w:ind w:firstLine="480"/>
        <w:rPr>
          <w:rFonts w:hint="default" w:ascii="Times New Roman" w:hAnsi="Times New Roman" w:eastAsia="仿宋_GB2312" w:cs="Times New Roman"/>
          <w:color w:val="auto"/>
          <w:highlight w:val="none"/>
        </w:rPr>
      </w:pPr>
    </w:p>
    <w:p>
      <w:pPr>
        <w:pStyle w:val="55"/>
        <w:ind w:firstLine="480"/>
        <w:rPr>
          <w:rFonts w:hint="default" w:ascii="Times New Roman" w:hAnsi="Times New Roman" w:eastAsia="仿宋_GB2312" w:cs="Times New Roman"/>
          <w:color w:val="auto"/>
          <w:highlight w:val="none"/>
        </w:rPr>
      </w:pPr>
    </w:p>
    <w:p>
      <w:pPr>
        <w:pStyle w:val="55"/>
        <w:ind w:firstLine="480"/>
        <w:rPr>
          <w:rFonts w:hint="default" w:ascii="Times New Roman" w:hAnsi="Times New Roman" w:eastAsia="仿宋_GB2312" w:cs="Times New Roman"/>
          <w:color w:val="auto"/>
          <w:highlight w:val="none"/>
        </w:rPr>
      </w:pPr>
    </w:p>
    <w:p>
      <w:pPr>
        <w:pStyle w:val="55"/>
        <w:ind w:firstLine="480"/>
        <w:rPr>
          <w:rFonts w:hint="default" w:ascii="Times New Roman" w:hAnsi="Times New Roman" w:eastAsia="仿宋_GB2312" w:cs="Times New Roman"/>
          <w:color w:val="auto"/>
          <w:highlight w:val="none"/>
        </w:rPr>
      </w:pPr>
    </w:p>
    <w:p>
      <w:pPr>
        <w:pStyle w:val="55"/>
        <w:ind w:firstLine="480"/>
        <w:rPr>
          <w:rFonts w:hint="default" w:ascii="Times New Roman" w:hAnsi="Times New Roman" w:eastAsia="仿宋_GB2312" w:cs="Times New Roman"/>
          <w:color w:val="auto"/>
          <w:highlight w:val="none"/>
        </w:rPr>
      </w:pPr>
    </w:p>
    <w:p>
      <w:pPr>
        <w:pStyle w:val="76"/>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rPr>
        <w:t>表7.1-2独立费用计算表</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22"/>
        <w:gridCol w:w="1267"/>
        <w:gridCol w:w="4651"/>
        <w:gridCol w:w="27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17" w:type="pct"/>
            <w:gridSpan w:val="2"/>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项目名称</w:t>
            </w:r>
          </w:p>
        </w:tc>
        <w:tc>
          <w:tcPr>
            <w:tcW w:w="2574"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编制依据</w:t>
            </w:r>
          </w:p>
        </w:tc>
        <w:tc>
          <w:tcPr>
            <w:tcW w:w="1507"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计算公式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 w:type="pct"/>
            <w:vMerge w:val="restar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独立费用</w:t>
            </w:r>
          </w:p>
        </w:tc>
        <w:tc>
          <w:tcPr>
            <w:tcW w:w="707"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建设管理费</w:t>
            </w:r>
          </w:p>
        </w:tc>
        <w:tc>
          <w:tcPr>
            <w:tcW w:w="2574"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《开发建设项目水土保持工程概（估）算编制规定》67号文水利部。此项费用与主体工程合并使用</w:t>
            </w:r>
          </w:p>
        </w:tc>
        <w:tc>
          <w:tcPr>
            <w:tcW w:w="1507"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新增措施投资×2.0%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 w:type="pct"/>
            <w:vMerge w:val="continue"/>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rPr>
            </w:pPr>
          </w:p>
        </w:tc>
        <w:tc>
          <w:tcPr>
            <w:tcW w:w="707"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水土保持监理费</w:t>
            </w:r>
          </w:p>
        </w:tc>
        <w:tc>
          <w:tcPr>
            <w:tcW w:w="2574"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国家发展与改革委员会办公厅、建设部办公厅《关于印发修订建设监理与咨询服务费收费标准的工作方案的通知》（发改办价格[2007]670号）</w:t>
            </w:r>
          </w:p>
        </w:tc>
        <w:tc>
          <w:tcPr>
            <w:tcW w:w="1507"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结合水土保持监理费取费依据及项目建设实际情况确定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 w:type="pct"/>
            <w:vMerge w:val="continue"/>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rPr>
            </w:pPr>
          </w:p>
        </w:tc>
        <w:tc>
          <w:tcPr>
            <w:tcW w:w="707"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水土保持方案编制费</w:t>
            </w:r>
          </w:p>
        </w:tc>
        <w:tc>
          <w:tcPr>
            <w:tcW w:w="2574"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根据建设部[2002]10号文，为方案编制费+勘测设计费</w:t>
            </w:r>
          </w:p>
        </w:tc>
        <w:tc>
          <w:tcPr>
            <w:tcW w:w="1507"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勘测设计费不计列，方案编制费根据实际合同额确定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 w:type="pct"/>
            <w:vMerge w:val="continue"/>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rPr>
            </w:pPr>
          </w:p>
        </w:tc>
        <w:tc>
          <w:tcPr>
            <w:tcW w:w="707"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水土保持监测费</w:t>
            </w:r>
          </w:p>
        </w:tc>
        <w:tc>
          <w:tcPr>
            <w:tcW w:w="2574"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水土保持监测费：包括监测人员费、土建设施费、消耗性材料费和监测设备折旧费这四部分费用，其中监测人员费按监测单位制定收费计取。</w:t>
            </w:r>
          </w:p>
        </w:tc>
        <w:tc>
          <w:tcPr>
            <w:tcW w:w="1507"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根据相关文件确定，报告表对水土保持监测不做要求。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10" w:type="pct"/>
            <w:vMerge w:val="continue"/>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rPr>
            </w:pPr>
          </w:p>
        </w:tc>
        <w:tc>
          <w:tcPr>
            <w:tcW w:w="707"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水土保持验收费</w:t>
            </w:r>
          </w:p>
        </w:tc>
        <w:tc>
          <w:tcPr>
            <w:tcW w:w="2574"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w:t>
            </w:r>
          </w:p>
        </w:tc>
        <w:tc>
          <w:tcPr>
            <w:tcW w:w="1507" w:type="pct"/>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根据项目建设实际情况确定</w:t>
            </w:r>
          </w:p>
        </w:tc>
      </w:tr>
    </w:tbl>
    <w:p>
      <w:pPr>
        <w:pStyle w:val="55"/>
        <w:ind w:firstLine="482"/>
        <w:rPr>
          <w:rFonts w:hint="default" w:ascii="Times New Roman" w:hAnsi="Times New Roman" w:eastAsia="仿宋_GB2312" w:cs="Times New Roman"/>
          <w:b/>
          <w:color w:val="auto"/>
          <w:highlight w:val="none"/>
        </w:rPr>
      </w:pPr>
      <w:r>
        <w:rPr>
          <w:rFonts w:hint="default" w:ascii="Times New Roman" w:hAnsi="Times New Roman" w:eastAsia="仿宋_GB2312" w:cs="Times New Roman"/>
          <w:b/>
          <w:color w:val="auto"/>
          <w:highlight w:val="none"/>
        </w:rPr>
        <w:t>（6）基本预备费</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本项目基本预备费按工程措施、植物措施、施工临时工程、独立费用之和</w:t>
      </w:r>
      <w:r>
        <w:rPr>
          <w:rFonts w:hint="eastAsia" w:cs="Times New Roman"/>
          <w:color w:val="auto"/>
          <w:highlight w:val="none"/>
          <w:lang w:val="en-US" w:eastAsia="zh-CN"/>
        </w:rPr>
        <w:t>6</w:t>
      </w:r>
      <w:r>
        <w:rPr>
          <w:rFonts w:hint="default" w:ascii="Times New Roman" w:hAnsi="Times New Roman" w:eastAsia="仿宋_GB2312" w:cs="Times New Roman"/>
          <w:color w:val="auto"/>
          <w:highlight w:val="none"/>
        </w:rPr>
        <w:t>％计算。</w:t>
      </w:r>
    </w:p>
    <w:p>
      <w:pPr>
        <w:pStyle w:val="55"/>
        <w:ind w:firstLine="482"/>
        <w:rPr>
          <w:rFonts w:hint="default" w:ascii="Times New Roman" w:hAnsi="Times New Roman" w:eastAsia="仿宋_GB2312" w:cs="Times New Roman"/>
          <w:b/>
          <w:color w:val="auto"/>
          <w:highlight w:val="none"/>
        </w:rPr>
      </w:pPr>
      <w:r>
        <w:rPr>
          <w:rFonts w:hint="default" w:ascii="Times New Roman" w:hAnsi="Times New Roman" w:eastAsia="仿宋_GB2312" w:cs="Times New Roman"/>
          <w:b/>
          <w:color w:val="auto"/>
          <w:highlight w:val="none"/>
        </w:rPr>
        <w:t>（7）水土保持补偿费</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新疆维吾尔自治区水土保持设施补偿费、水土流失防治费收缴使用管理暂行规定》新政发(2000)45号和《新疆维吾尔自治区水土保持补偿费征收使用管理办法》新财非税〔2015〕10号，本工程按每平方米按1.0元计取，本项目占地面积共计</w:t>
      </w:r>
      <w:r>
        <w:rPr>
          <w:rFonts w:hint="eastAsia" w:cs="Times New Roman"/>
          <w:color w:val="auto"/>
          <w:highlight w:val="none"/>
          <w:lang w:val="en-US" w:eastAsia="zh-CN"/>
        </w:rPr>
        <w:t>4479</w:t>
      </w:r>
      <w:r>
        <w:rPr>
          <w:rFonts w:hint="default" w:ascii="Times New Roman" w:hAnsi="Times New Roman" w:eastAsia="仿宋_GB2312" w:cs="Times New Roman"/>
          <w:color w:val="auto"/>
          <w:highlight w:val="none"/>
        </w:rPr>
        <w:t>m²，应缴纳水土保持补偿费0.</w:t>
      </w:r>
      <w:r>
        <w:rPr>
          <w:rFonts w:hint="eastAsia" w:cs="Times New Roman"/>
          <w:color w:val="auto"/>
          <w:highlight w:val="none"/>
          <w:lang w:val="en-US" w:eastAsia="zh-CN"/>
        </w:rPr>
        <w:t>4479</w:t>
      </w:r>
      <w:r>
        <w:rPr>
          <w:rFonts w:hint="default" w:ascii="Times New Roman" w:hAnsi="Times New Roman" w:eastAsia="仿宋_GB2312" w:cs="Times New Roman"/>
          <w:color w:val="auto"/>
          <w:highlight w:val="none"/>
        </w:rPr>
        <w:t>万元</w:t>
      </w:r>
      <w:r>
        <w:rPr>
          <w:rFonts w:hint="default" w:ascii="Times New Roman" w:hAnsi="Times New Roman" w:eastAsia="仿宋_GB2312" w:cs="Times New Roman"/>
          <w:bCs/>
          <w:color w:val="auto"/>
          <w:highlight w:val="none"/>
        </w:rPr>
        <w:t>。</w:t>
      </w:r>
    </w:p>
    <w:p>
      <w:pPr>
        <w:pStyle w:val="7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7.1.2.2 概算成果</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本项目水土保持总投资为</w:t>
      </w:r>
      <w:r>
        <w:rPr>
          <w:rFonts w:hint="eastAsia" w:cs="Times New Roman"/>
          <w:color w:val="auto"/>
          <w:highlight w:val="none"/>
          <w:lang w:val="en-US" w:eastAsia="zh-CN"/>
        </w:rPr>
        <w:t>13.81</w:t>
      </w:r>
      <w:r>
        <w:rPr>
          <w:rFonts w:hint="default" w:ascii="Times New Roman" w:hAnsi="Times New Roman" w:eastAsia="仿宋_GB2312" w:cs="Times New Roman"/>
          <w:color w:val="auto"/>
          <w:highlight w:val="none"/>
        </w:rPr>
        <w:t>万元，主体已列水土保持总投资为</w:t>
      </w:r>
      <w:r>
        <w:rPr>
          <w:rFonts w:hint="eastAsia" w:cs="Times New Roman"/>
          <w:color w:val="auto"/>
          <w:highlight w:val="none"/>
          <w:lang w:val="en-US" w:eastAsia="zh-CN"/>
        </w:rPr>
        <w:t>0.04</w:t>
      </w:r>
      <w:r>
        <w:rPr>
          <w:rFonts w:hint="default" w:ascii="Times New Roman" w:hAnsi="Times New Roman" w:eastAsia="仿宋_GB2312" w:cs="Times New Roman"/>
          <w:color w:val="auto"/>
          <w:highlight w:val="none"/>
        </w:rPr>
        <w:t>万元，新增水土保持总投资为</w:t>
      </w:r>
      <w:r>
        <w:rPr>
          <w:rFonts w:hint="eastAsia" w:cs="Times New Roman"/>
          <w:color w:val="auto"/>
          <w:highlight w:val="none"/>
          <w:lang w:val="en-US" w:eastAsia="zh-CN"/>
        </w:rPr>
        <w:t>8.26</w:t>
      </w:r>
      <w:r>
        <w:rPr>
          <w:rFonts w:hint="default" w:ascii="Times New Roman" w:hAnsi="Times New Roman" w:eastAsia="仿宋_GB2312" w:cs="Times New Roman"/>
          <w:color w:val="auto"/>
          <w:highlight w:val="none"/>
        </w:rPr>
        <w:t>万元。水土保持总投资中工程措施投资</w:t>
      </w:r>
      <w:r>
        <w:rPr>
          <w:rFonts w:hint="eastAsia" w:cs="Times New Roman"/>
          <w:color w:val="auto"/>
          <w:highlight w:val="none"/>
          <w:lang w:val="en-US" w:eastAsia="zh-CN"/>
        </w:rPr>
        <w:t>0.02</w:t>
      </w:r>
      <w:r>
        <w:rPr>
          <w:rFonts w:hint="default" w:ascii="Times New Roman" w:hAnsi="Times New Roman" w:eastAsia="仿宋_GB2312" w:cs="Times New Roman"/>
          <w:color w:val="auto"/>
          <w:highlight w:val="none"/>
        </w:rPr>
        <w:t>万元，植物措施投资0.0</w:t>
      </w:r>
      <w:r>
        <w:rPr>
          <w:rFonts w:hint="eastAsia" w:cs="Times New Roman"/>
          <w:color w:val="auto"/>
          <w:highlight w:val="none"/>
          <w:lang w:val="en-US" w:eastAsia="zh-CN"/>
        </w:rPr>
        <w:t>1</w:t>
      </w:r>
      <w:r>
        <w:rPr>
          <w:rFonts w:hint="default" w:ascii="Times New Roman" w:hAnsi="Times New Roman" w:eastAsia="仿宋_GB2312" w:cs="Times New Roman"/>
          <w:color w:val="auto"/>
          <w:highlight w:val="none"/>
        </w:rPr>
        <w:t>万元，临时措施投资</w:t>
      </w:r>
      <w:r>
        <w:rPr>
          <w:rFonts w:hint="eastAsia" w:cs="Times New Roman"/>
          <w:color w:val="auto"/>
          <w:highlight w:val="none"/>
          <w:lang w:val="en-US" w:eastAsia="zh-CN"/>
        </w:rPr>
        <w:t>8.26</w:t>
      </w:r>
      <w:r>
        <w:rPr>
          <w:rFonts w:hint="default" w:ascii="Times New Roman" w:hAnsi="Times New Roman" w:eastAsia="仿宋_GB2312" w:cs="Times New Roman"/>
          <w:color w:val="auto"/>
          <w:highlight w:val="none"/>
        </w:rPr>
        <w:t>万元，独立费用</w:t>
      </w:r>
      <w:r>
        <w:rPr>
          <w:rFonts w:hint="eastAsia" w:cs="Times New Roman"/>
          <w:color w:val="auto"/>
          <w:highlight w:val="none"/>
          <w:lang w:val="en-US" w:eastAsia="zh-CN"/>
        </w:rPr>
        <w:t>5.07</w:t>
      </w:r>
      <w:r>
        <w:rPr>
          <w:rFonts w:hint="default" w:ascii="Times New Roman" w:hAnsi="Times New Roman" w:eastAsia="仿宋_GB2312" w:cs="Times New Roman"/>
          <w:color w:val="auto"/>
          <w:highlight w:val="none"/>
        </w:rPr>
        <w:t>万元，基本预备费</w:t>
      </w:r>
      <w:r>
        <w:rPr>
          <w:rFonts w:hint="eastAsia" w:cs="Times New Roman"/>
          <w:color w:val="auto"/>
          <w:highlight w:val="none"/>
          <w:lang w:val="en-US" w:eastAsia="zh-CN"/>
        </w:rPr>
        <w:t>0.80</w:t>
      </w:r>
      <w:r>
        <w:rPr>
          <w:rFonts w:hint="default" w:ascii="Times New Roman" w:hAnsi="Times New Roman" w:eastAsia="仿宋_GB2312" w:cs="Times New Roman"/>
          <w:color w:val="auto"/>
          <w:highlight w:val="none"/>
        </w:rPr>
        <w:t>万元，水土保持补偿费0.</w:t>
      </w:r>
      <w:r>
        <w:rPr>
          <w:rFonts w:hint="eastAsia" w:cs="Times New Roman"/>
          <w:color w:val="auto"/>
          <w:highlight w:val="none"/>
          <w:lang w:val="en-US" w:eastAsia="zh-CN"/>
        </w:rPr>
        <w:t>45</w:t>
      </w:r>
      <w:r>
        <w:rPr>
          <w:rFonts w:hint="default" w:ascii="Times New Roman" w:hAnsi="Times New Roman" w:eastAsia="仿宋_GB2312" w:cs="Times New Roman"/>
          <w:color w:val="auto"/>
          <w:highlight w:val="none"/>
        </w:rPr>
        <w:t>万元。</w:t>
      </w:r>
    </w:p>
    <w:p>
      <w:pPr>
        <w:widowControl/>
        <w:adjustRightInd/>
        <w:snapToGrid/>
        <w:spacing w:line="240" w:lineRule="auto"/>
        <w:ind w:firstLine="0" w:firstLineChars="0"/>
        <w:jc w:val="left"/>
        <w:rPr>
          <w:rFonts w:hint="default" w:ascii="Times New Roman" w:hAnsi="Times New Roman" w:eastAsia="仿宋_GB2312" w:cs="Times New Roman"/>
          <w:snapToGrid w:val="0"/>
          <w:color w:val="auto"/>
          <w:kern w:val="24"/>
          <w:szCs w:val="24"/>
          <w:highlight w:val="none"/>
        </w:rPr>
      </w:pPr>
      <w:r>
        <w:rPr>
          <w:rFonts w:hint="default" w:ascii="Times New Roman" w:hAnsi="Times New Roman" w:eastAsia="仿宋_GB2312" w:cs="Times New Roman"/>
          <w:color w:val="auto"/>
          <w:highlight w:val="none"/>
        </w:rPr>
        <w:br w:type="page"/>
      </w:r>
    </w:p>
    <w:p>
      <w:pPr>
        <w:pStyle w:val="76"/>
        <w:jc w:val="center"/>
        <w:rPr>
          <w:rFonts w:hint="eastAsia"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rPr>
        <w:t>表7.1-3水土保持投资概算总表</w:t>
      </w:r>
    </w:p>
    <w:tbl>
      <w:tblPr>
        <w:tblStyle w:val="25"/>
        <w:tblW w:w="4997" w:type="pct"/>
        <w:tblInd w:w="0" w:type="dxa"/>
        <w:shd w:val="clear" w:color="auto" w:fill="auto"/>
        <w:tblLayout w:type="autofit"/>
        <w:tblCellMar>
          <w:top w:w="0" w:type="dxa"/>
          <w:left w:w="0" w:type="dxa"/>
          <w:bottom w:w="0" w:type="dxa"/>
          <w:right w:w="0" w:type="dxa"/>
        </w:tblCellMar>
      </w:tblPr>
      <w:tblGrid>
        <w:gridCol w:w="499"/>
        <w:gridCol w:w="1812"/>
        <w:gridCol w:w="728"/>
        <w:gridCol w:w="713"/>
        <w:gridCol w:w="500"/>
        <w:gridCol w:w="891"/>
        <w:gridCol w:w="1239"/>
        <w:gridCol w:w="1627"/>
        <w:gridCol w:w="860"/>
      </w:tblGrid>
      <w:tr>
        <w:tblPrEx>
          <w:shd w:val="clear" w:color="auto" w:fill="auto"/>
          <w:tblCellMar>
            <w:top w:w="0" w:type="dxa"/>
            <w:left w:w="0" w:type="dxa"/>
            <w:bottom w:w="0" w:type="dxa"/>
            <w:right w:w="0" w:type="dxa"/>
          </w:tblCellMar>
        </w:tblPrEx>
        <w:trPr>
          <w:trHeight w:val="369" w:hRule="atLeast"/>
        </w:trPr>
        <w:tc>
          <w:tcPr>
            <w:tcW w:w="28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序号</w:t>
            </w:r>
          </w:p>
        </w:tc>
        <w:tc>
          <w:tcPr>
            <w:tcW w:w="102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工程或费用名称</w:t>
            </w:r>
          </w:p>
        </w:tc>
        <w:tc>
          <w:tcPr>
            <w:tcW w:w="4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建安工程费</w:t>
            </w:r>
          </w:p>
        </w:tc>
        <w:tc>
          <w:tcPr>
            <w:tcW w:w="684"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林草工程费</w:t>
            </w:r>
          </w:p>
        </w:tc>
        <w:tc>
          <w:tcPr>
            <w:tcW w:w="5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独立费用</w:t>
            </w:r>
          </w:p>
        </w:tc>
        <w:tc>
          <w:tcPr>
            <w:tcW w:w="69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主体已列投资</w:t>
            </w:r>
          </w:p>
        </w:tc>
        <w:tc>
          <w:tcPr>
            <w:tcW w:w="91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水保方案新增投资</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总投资（万元）</w:t>
            </w:r>
          </w:p>
        </w:tc>
      </w:tr>
      <w:tr>
        <w:tblPrEx>
          <w:tblCellMar>
            <w:top w:w="0" w:type="dxa"/>
            <w:left w:w="0" w:type="dxa"/>
            <w:bottom w:w="0" w:type="dxa"/>
            <w:right w:w="0" w:type="dxa"/>
          </w:tblCellMar>
        </w:tblPrEx>
        <w:trPr>
          <w:trHeight w:val="369" w:hRule="atLeast"/>
        </w:trPr>
        <w:tc>
          <w:tcPr>
            <w:tcW w:w="28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10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栽植费</w:t>
            </w:r>
          </w:p>
        </w:tc>
        <w:tc>
          <w:tcPr>
            <w:tcW w:w="28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林草及种子费</w:t>
            </w:r>
          </w:p>
        </w:tc>
        <w:tc>
          <w:tcPr>
            <w:tcW w:w="5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91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r>
      <w:tr>
        <w:tblPrEx>
          <w:tblCellMar>
            <w:top w:w="0" w:type="dxa"/>
            <w:left w:w="0" w:type="dxa"/>
            <w:bottom w:w="0" w:type="dxa"/>
            <w:right w:w="0" w:type="dxa"/>
          </w:tblCellMar>
        </w:tblPrEx>
        <w:trPr>
          <w:trHeight w:val="369" w:hRule="atLeast"/>
        </w:trPr>
        <w:tc>
          <w:tcPr>
            <w:tcW w:w="28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10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4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28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50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91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r>
      <w:tr>
        <w:tblPrEx>
          <w:tblCellMar>
            <w:top w:w="0" w:type="dxa"/>
            <w:left w:w="0" w:type="dxa"/>
            <w:bottom w:w="0" w:type="dxa"/>
            <w:right w:w="0" w:type="dxa"/>
          </w:tblCellMar>
        </w:tblPrEx>
        <w:trPr>
          <w:trHeight w:val="369" w:hRule="atLeast"/>
        </w:trPr>
        <w:tc>
          <w:tcPr>
            <w:tcW w:w="1302"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第一部分</w:t>
            </w:r>
            <w:r>
              <w:rPr>
                <w:rFonts w:hint="default" w:ascii="Times New Roman" w:hAnsi="Times New Roman" w:eastAsia="仿宋_GB2312" w:cs="Times New Roman"/>
                <w:i w:val="0"/>
                <w:color w:val="000000"/>
                <w:kern w:val="0"/>
                <w:sz w:val="21"/>
                <w:szCs w:val="21"/>
                <w:u w:val="none"/>
                <w:lang w:val="en-US" w:eastAsia="zh-CN" w:bidi="ar"/>
              </w:rPr>
              <w:t xml:space="preserve"> </w:t>
            </w:r>
            <w:r>
              <w:rPr>
                <w:rFonts w:hint="default" w:ascii="仿宋_GB2312" w:hAnsi="宋体" w:eastAsia="仿宋_GB2312" w:cs="仿宋_GB2312"/>
                <w:i w:val="0"/>
                <w:color w:val="000000"/>
                <w:kern w:val="0"/>
                <w:sz w:val="21"/>
                <w:szCs w:val="21"/>
                <w:u w:val="none"/>
                <w:lang w:val="en-US" w:eastAsia="zh-CN" w:bidi="ar"/>
              </w:rPr>
              <w:t>工程措施</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0.02 </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0.022 </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0.02 </w:t>
            </w:r>
          </w:p>
        </w:tc>
      </w:tr>
      <w:tr>
        <w:tblPrEx>
          <w:tblCellMar>
            <w:top w:w="0" w:type="dxa"/>
            <w:left w:w="0" w:type="dxa"/>
            <w:bottom w:w="0" w:type="dxa"/>
            <w:right w:w="0" w:type="dxa"/>
          </w:tblCellMar>
        </w:tblPrEx>
        <w:trPr>
          <w:trHeight w:val="369"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建筑物区</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0.02 </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0.02 </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0.02 </w:t>
            </w:r>
          </w:p>
        </w:tc>
      </w:tr>
      <w:tr>
        <w:tblPrEx>
          <w:tblCellMar>
            <w:top w:w="0" w:type="dxa"/>
            <w:left w:w="0" w:type="dxa"/>
            <w:bottom w:w="0" w:type="dxa"/>
            <w:right w:w="0" w:type="dxa"/>
          </w:tblCellMar>
        </w:tblPrEx>
        <w:trPr>
          <w:trHeight w:val="369"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管线工程区</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0.00 </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0.00 </w:t>
            </w:r>
          </w:p>
        </w:tc>
      </w:tr>
      <w:tr>
        <w:tblPrEx>
          <w:tblCellMar>
            <w:top w:w="0" w:type="dxa"/>
            <w:left w:w="0" w:type="dxa"/>
            <w:bottom w:w="0" w:type="dxa"/>
            <w:right w:w="0" w:type="dxa"/>
          </w:tblCellMar>
        </w:tblPrEx>
        <w:trPr>
          <w:trHeight w:val="369"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施工生产生活区</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0.000 </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0.00 </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0.00 </w:t>
            </w:r>
          </w:p>
        </w:tc>
      </w:tr>
      <w:tr>
        <w:tblPrEx>
          <w:tblCellMar>
            <w:top w:w="0" w:type="dxa"/>
            <w:left w:w="0" w:type="dxa"/>
            <w:bottom w:w="0" w:type="dxa"/>
            <w:right w:w="0" w:type="dxa"/>
          </w:tblCellMar>
        </w:tblPrEx>
        <w:trPr>
          <w:trHeight w:val="369" w:hRule="atLeast"/>
        </w:trPr>
        <w:tc>
          <w:tcPr>
            <w:tcW w:w="1302"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第二部分</w:t>
            </w:r>
            <w:r>
              <w:rPr>
                <w:rFonts w:hint="default" w:ascii="Times New Roman" w:hAnsi="Times New Roman" w:eastAsia="仿宋_GB2312" w:cs="Times New Roman"/>
                <w:i w:val="0"/>
                <w:color w:val="000000"/>
                <w:kern w:val="0"/>
                <w:sz w:val="21"/>
                <w:szCs w:val="21"/>
                <w:u w:val="none"/>
                <w:lang w:val="en-US" w:eastAsia="zh-CN" w:bidi="ar"/>
              </w:rPr>
              <w:t xml:space="preserve"> </w:t>
            </w:r>
            <w:r>
              <w:rPr>
                <w:rFonts w:hint="default" w:ascii="仿宋_GB2312" w:hAnsi="宋体" w:eastAsia="仿宋_GB2312" w:cs="仿宋_GB2312"/>
                <w:i w:val="0"/>
                <w:color w:val="000000"/>
                <w:kern w:val="0"/>
                <w:sz w:val="21"/>
                <w:szCs w:val="21"/>
                <w:u w:val="none"/>
                <w:lang w:val="en-US" w:eastAsia="zh-CN" w:bidi="ar"/>
              </w:rPr>
              <w:t>植物措施</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0.01 </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0.01 </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0.01 </w:t>
            </w:r>
          </w:p>
        </w:tc>
      </w:tr>
      <w:tr>
        <w:tblPrEx>
          <w:tblCellMar>
            <w:top w:w="0" w:type="dxa"/>
            <w:left w:w="0" w:type="dxa"/>
            <w:bottom w:w="0" w:type="dxa"/>
            <w:right w:w="0" w:type="dxa"/>
          </w:tblCellMar>
        </w:tblPrEx>
        <w:trPr>
          <w:trHeight w:val="369"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1</w:t>
            </w: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建筑物区</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0.01 </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0.01 </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0.01 </w:t>
            </w:r>
          </w:p>
        </w:tc>
      </w:tr>
      <w:tr>
        <w:tblPrEx>
          <w:tblCellMar>
            <w:top w:w="0" w:type="dxa"/>
            <w:left w:w="0" w:type="dxa"/>
            <w:bottom w:w="0" w:type="dxa"/>
            <w:right w:w="0" w:type="dxa"/>
          </w:tblCellMar>
        </w:tblPrEx>
        <w:trPr>
          <w:trHeight w:val="369" w:hRule="atLeast"/>
        </w:trPr>
        <w:tc>
          <w:tcPr>
            <w:tcW w:w="1302"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第三部分</w:t>
            </w:r>
            <w:r>
              <w:rPr>
                <w:rFonts w:hint="default" w:ascii="Times New Roman" w:hAnsi="Times New Roman" w:eastAsia="仿宋_GB2312" w:cs="Times New Roman"/>
                <w:i w:val="0"/>
                <w:color w:val="000000"/>
                <w:kern w:val="0"/>
                <w:sz w:val="21"/>
                <w:szCs w:val="21"/>
                <w:u w:val="none"/>
                <w:lang w:val="en-US" w:eastAsia="zh-CN" w:bidi="ar"/>
              </w:rPr>
              <w:t xml:space="preserve"> </w:t>
            </w:r>
            <w:r>
              <w:rPr>
                <w:rFonts w:hint="default" w:ascii="仿宋_GB2312" w:hAnsi="宋体" w:eastAsia="仿宋_GB2312" w:cs="仿宋_GB2312"/>
                <w:i w:val="0"/>
                <w:color w:val="000000"/>
                <w:kern w:val="0"/>
                <w:sz w:val="21"/>
                <w:szCs w:val="21"/>
                <w:u w:val="none"/>
                <w:lang w:val="en-US" w:eastAsia="zh-CN" w:bidi="ar"/>
              </w:rPr>
              <w:t>临时措施</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8.26 </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仿宋_GB2312" w:hAnsi="宋体" w:eastAsia="仿宋_GB2312" w:cs="仿宋_GB2312"/>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 </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8.26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8.26 </w:t>
            </w:r>
          </w:p>
        </w:tc>
      </w:tr>
      <w:tr>
        <w:tblPrEx>
          <w:tblCellMar>
            <w:top w:w="0" w:type="dxa"/>
            <w:left w:w="0" w:type="dxa"/>
            <w:bottom w:w="0" w:type="dxa"/>
            <w:right w:w="0" w:type="dxa"/>
          </w:tblCellMar>
        </w:tblPrEx>
        <w:trPr>
          <w:trHeight w:val="369"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建筑物区</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7.42 </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7.42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7.42 </w:t>
            </w:r>
          </w:p>
        </w:tc>
      </w:tr>
      <w:tr>
        <w:tblPrEx>
          <w:tblCellMar>
            <w:top w:w="0" w:type="dxa"/>
            <w:left w:w="0" w:type="dxa"/>
            <w:bottom w:w="0" w:type="dxa"/>
            <w:right w:w="0" w:type="dxa"/>
          </w:tblCellMar>
        </w:tblPrEx>
        <w:trPr>
          <w:trHeight w:val="369"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管线工程区</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0.08 </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0.08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0.08 </w:t>
            </w:r>
          </w:p>
        </w:tc>
      </w:tr>
      <w:tr>
        <w:tblPrEx>
          <w:tblCellMar>
            <w:top w:w="0" w:type="dxa"/>
            <w:left w:w="0" w:type="dxa"/>
            <w:bottom w:w="0" w:type="dxa"/>
            <w:right w:w="0" w:type="dxa"/>
          </w:tblCellMar>
        </w:tblPrEx>
        <w:trPr>
          <w:trHeight w:val="369"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道路及硬化区</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0.63 </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0.63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0.63 </w:t>
            </w:r>
          </w:p>
        </w:tc>
      </w:tr>
      <w:tr>
        <w:tblPrEx>
          <w:tblCellMar>
            <w:top w:w="0" w:type="dxa"/>
            <w:left w:w="0" w:type="dxa"/>
            <w:bottom w:w="0" w:type="dxa"/>
            <w:right w:w="0" w:type="dxa"/>
          </w:tblCellMar>
        </w:tblPrEx>
        <w:trPr>
          <w:trHeight w:val="369"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施工生产生活区</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0.13 </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0.13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0.13 </w:t>
            </w:r>
          </w:p>
        </w:tc>
      </w:tr>
      <w:tr>
        <w:tblPrEx>
          <w:tblCellMar>
            <w:top w:w="0" w:type="dxa"/>
            <w:left w:w="0" w:type="dxa"/>
            <w:bottom w:w="0" w:type="dxa"/>
            <w:right w:w="0" w:type="dxa"/>
          </w:tblCellMar>
        </w:tblPrEx>
        <w:trPr>
          <w:trHeight w:val="369"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w:t>
            </w: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其它临时防护措施</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0.001 </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0.00 </w:t>
            </w:r>
          </w:p>
        </w:tc>
      </w:tr>
      <w:tr>
        <w:tblPrEx>
          <w:tblCellMar>
            <w:top w:w="0" w:type="dxa"/>
            <w:left w:w="0" w:type="dxa"/>
            <w:bottom w:w="0" w:type="dxa"/>
            <w:right w:w="0" w:type="dxa"/>
          </w:tblCellMar>
        </w:tblPrEx>
        <w:trPr>
          <w:trHeight w:val="369" w:hRule="atLeast"/>
        </w:trPr>
        <w:tc>
          <w:tcPr>
            <w:tcW w:w="1302"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一至三部分合计</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8.30 </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 </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0.04 </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8.26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8.30 </w:t>
            </w:r>
          </w:p>
        </w:tc>
      </w:tr>
      <w:tr>
        <w:tblPrEx>
          <w:tblCellMar>
            <w:top w:w="0" w:type="dxa"/>
            <w:left w:w="0" w:type="dxa"/>
            <w:bottom w:w="0" w:type="dxa"/>
            <w:right w:w="0" w:type="dxa"/>
          </w:tblCellMar>
        </w:tblPrEx>
        <w:trPr>
          <w:trHeight w:val="369" w:hRule="atLeast"/>
        </w:trPr>
        <w:tc>
          <w:tcPr>
            <w:tcW w:w="1302"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第四部分</w:t>
            </w:r>
            <w:r>
              <w:rPr>
                <w:rFonts w:hint="default" w:ascii="Times New Roman" w:hAnsi="Times New Roman" w:eastAsia="仿宋_GB2312" w:cs="Times New Roman"/>
                <w:i w:val="0"/>
                <w:color w:val="000000"/>
                <w:kern w:val="0"/>
                <w:sz w:val="21"/>
                <w:szCs w:val="21"/>
                <w:u w:val="none"/>
                <w:lang w:val="en-US" w:eastAsia="zh-CN" w:bidi="ar"/>
              </w:rPr>
              <w:t xml:space="preserve"> </w:t>
            </w:r>
            <w:r>
              <w:rPr>
                <w:rFonts w:hint="default" w:ascii="仿宋_GB2312" w:hAnsi="宋体" w:eastAsia="仿宋_GB2312" w:cs="仿宋_GB2312"/>
                <w:i w:val="0"/>
                <w:color w:val="000000"/>
                <w:kern w:val="0"/>
                <w:sz w:val="21"/>
                <w:szCs w:val="21"/>
                <w:u w:val="none"/>
                <w:lang w:val="en-US" w:eastAsia="zh-CN" w:bidi="ar"/>
              </w:rPr>
              <w:t>独立费用</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5.07 </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5.07 </w:t>
            </w:r>
          </w:p>
        </w:tc>
      </w:tr>
      <w:tr>
        <w:tblPrEx>
          <w:tblCellMar>
            <w:top w:w="0" w:type="dxa"/>
            <w:left w:w="0" w:type="dxa"/>
            <w:bottom w:w="0" w:type="dxa"/>
            <w:right w:w="0" w:type="dxa"/>
          </w:tblCellMar>
        </w:tblPrEx>
        <w:trPr>
          <w:trHeight w:val="369"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建设管理费</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0.17 </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0.17 </w:t>
            </w:r>
          </w:p>
        </w:tc>
      </w:tr>
      <w:tr>
        <w:tblPrEx>
          <w:tblCellMar>
            <w:top w:w="0" w:type="dxa"/>
            <w:left w:w="0" w:type="dxa"/>
            <w:bottom w:w="0" w:type="dxa"/>
            <w:right w:w="0" w:type="dxa"/>
          </w:tblCellMar>
        </w:tblPrEx>
        <w:trPr>
          <w:trHeight w:val="369"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w:t>
            </w: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工程建设监理费</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 </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1.00 </w:t>
            </w:r>
          </w:p>
        </w:tc>
      </w:tr>
      <w:tr>
        <w:tblPrEx>
          <w:tblCellMar>
            <w:top w:w="0" w:type="dxa"/>
            <w:left w:w="0" w:type="dxa"/>
            <w:bottom w:w="0" w:type="dxa"/>
            <w:right w:w="0" w:type="dxa"/>
          </w:tblCellMar>
        </w:tblPrEx>
        <w:trPr>
          <w:trHeight w:val="369"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w:t>
            </w: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科研勘测设计费</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1.40 </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1.40 </w:t>
            </w:r>
          </w:p>
        </w:tc>
      </w:tr>
      <w:tr>
        <w:tblPrEx>
          <w:tblCellMar>
            <w:top w:w="0" w:type="dxa"/>
            <w:left w:w="0" w:type="dxa"/>
            <w:bottom w:w="0" w:type="dxa"/>
            <w:right w:w="0" w:type="dxa"/>
          </w:tblCellMar>
        </w:tblPrEx>
        <w:trPr>
          <w:trHeight w:val="369"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w:t>
            </w:r>
          </w:p>
        </w:tc>
        <w:tc>
          <w:tcPr>
            <w:tcW w:w="10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水土保持监测费</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 </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0.00 </w:t>
            </w:r>
          </w:p>
        </w:tc>
      </w:tr>
      <w:tr>
        <w:tblPrEx>
          <w:tblCellMar>
            <w:top w:w="0" w:type="dxa"/>
            <w:left w:w="0" w:type="dxa"/>
            <w:bottom w:w="0" w:type="dxa"/>
            <w:right w:w="0" w:type="dxa"/>
          </w:tblCellMar>
        </w:tblPrEx>
        <w:trPr>
          <w:trHeight w:val="369"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w:t>
            </w:r>
          </w:p>
        </w:tc>
        <w:tc>
          <w:tcPr>
            <w:tcW w:w="10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水土保持设施验收报告编制费</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2.50 </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2.50 </w:t>
            </w:r>
          </w:p>
        </w:tc>
      </w:tr>
      <w:tr>
        <w:tblPrEx>
          <w:tblCellMar>
            <w:top w:w="0" w:type="dxa"/>
            <w:left w:w="0" w:type="dxa"/>
            <w:bottom w:w="0" w:type="dxa"/>
            <w:right w:w="0" w:type="dxa"/>
          </w:tblCellMar>
        </w:tblPrEx>
        <w:trPr>
          <w:trHeight w:val="369" w:hRule="atLeast"/>
        </w:trPr>
        <w:tc>
          <w:tcPr>
            <w:tcW w:w="1302"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一至四部分合计</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5.07 </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0.04 </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8.26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13.36 </w:t>
            </w:r>
          </w:p>
        </w:tc>
      </w:tr>
      <w:tr>
        <w:tblPrEx>
          <w:tblCellMar>
            <w:top w:w="0" w:type="dxa"/>
            <w:left w:w="0" w:type="dxa"/>
            <w:bottom w:w="0" w:type="dxa"/>
            <w:right w:w="0" w:type="dxa"/>
          </w:tblCellMar>
        </w:tblPrEx>
        <w:trPr>
          <w:trHeight w:val="369" w:hRule="atLeast"/>
        </w:trPr>
        <w:tc>
          <w:tcPr>
            <w:tcW w:w="1302"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基本预备费</w:t>
            </w:r>
            <w:r>
              <w:rPr>
                <w:rFonts w:hint="default" w:ascii="Times New Roman" w:hAnsi="Times New Roman" w:eastAsia="仿宋_GB2312" w:cs="Times New Roman"/>
                <w:i w:val="0"/>
                <w:color w:val="000000"/>
                <w:kern w:val="0"/>
                <w:sz w:val="21"/>
                <w:szCs w:val="21"/>
                <w:u w:val="none"/>
                <w:lang w:val="en-US" w:eastAsia="zh-CN" w:bidi="ar"/>
              </w:rPr>
              <w:t>6%</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 </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0.80 </w:t>
            </w:r>
          </w:p>
        </w:tc>
      </w:tr>
      <w:tr>
        <w:tblPrEx>
          <w:tblCellMar>
            <w:top w:w="0" w:type="dxa"/>
            <w:left w:w="0" w:type="dxa"/>
            <w:bottom w:w="0" w:type="dxa"/>
            <w:right w:w="0" w:type="dxa"/>
          </w:tblCellMar>
        </w:tblPrEx>
        <w:trPr>
          <w:trHeight w:val="369" w:hRule="atLeast"/>
        </w:trPr>
        <w:tc>
          <w:tcPr>
            <w:tcW w:w="1302"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水土保持补偿费</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0.45 </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0.45 </w:t>
            </w:r>
          </w:p>
        </w:tc>
      </w:tr>
      <w:tr>
        <w:tblPrEx>
          <w:tblCellMar>
            <w:top w:w="0" w:type="dxa"/>
            <w:left w:w="0" w:type="dxa"/>
            <w:bottom w:w="0" w:type="dxa"/>
            <w:right w:w="0" w:type="dxa"/>
          </w:tblCellMar>
        </w:tblPrEx>
        <w:trPr>
          <w:trHeight w:val="369" w:hRule="atLeast"/>
        </w:trPr>
        <w:tc>
          <w:tcPr>
            <w:tcW w:w="1302"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仿宋_GB2312" w:hAnsi="宋体" w:eastAsia="仿宋_GB2312" w:cs="仿宋_GB2312"/>
                <w:i w:val="0"/>
                <w:color w:val="000000"/>
                <w:sz w:val="21"/>
                <w:szCs w:val="21"/>
                <w:u w:val="none"/>
              </w:rPr>
            </w:pPr>
            <w:r>
              <w:rPr>
                <w:rFonts w:hint="default" w:ascii="仿宋_GB2312" w:hAnsi="宋体" w:eastAsia="仿宋_GB2312" w:cs="仿宋_GB2312"/>
                <w:i w:val="0"/>
                <w:color w:val="000000"/>
                <w:kern w:val="0"/>
                <w:sz w:val="21"/>
                <w:szCs w:val="21"/>
                <w:u w:val="none"/>
                <w:lang w:val="en-US" w:eastAsia="zh-CN" w:bidi="ar"/>
              </w:rPr>
              <w:t>工程总投资</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color w:val="000000"/>
                <w:sz w:val="21"/>
                <w:szCs w:val="21"/>
                <w:u w:val="none"/>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5.51 </w:t>
            </w: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0.04 </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8.26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 xml:space="preserve">13.81 </w:t>
            </w:r>
          </w:p>
        </w:tc>
      </w:tr>
    </w:tbl>
    <w:p>
      <w:pPr>
        <w:pStyle w:val="76"/>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br w:type="page"/>
      </w:r>
      <w:r>
        <w:rPr>
          <w:rFonts w:hint="default" w:ascii="Times New Roman" w:hAnsi="Times New Roman" w:eastAsia="仿宋_GB2312" w:cs="Times New Roman"/>
          <w:color w:val="auto"/>
          <w:highlight w:val="none"/>
        </w:rPr>
        <w:t>表7.1-4分部工程投资概算表</w:t>
      </w:r>
    </w:p>
    <w:tbl>
      <w:tblPr>
        <w:tblStyle w:val="25"/>
        <w:tblW w:w="4996" w:type="pct"/>
        <w:tblInd w:w="0" w:type="dxa"/>
        <w:shd w:val="clear" w:color="auto" w:fill="auto"/>
        <w:tblLayout w:type="autofit"/>
        <w:tblCellMar>
          <w:top w:w="0" w:type="dxa"/>
          <w:left w:w="0" w:type="dxa"/>
          <w:bottom w:w="0" w:type="dxa"/>
          <w:right w:w="0" w:type="dxa"/>
        </w:tblCellMar>
      </w:tblPr>
      <w:tblGrid>
        <w:gridCol w:w="660"/>
        <w:gridCol w:w="1710"/>
        <w:gridCol w:w="608"/>
        <w:gridCol w:w="646"/>
        <w:gridCol w:w="1133"/>
        <w:gridCol w:w="870"/>
        <w:gridCol w:w="870"/>
        <w:gridCol w:w="1080"/>
        <w:gridCol w:w="1290"/>
      </w:tblGrid>
      <w:tr>
        <w:tblPrEx>
          <w:shd w:val="clear" w:color="auto" w:fill="auto"/>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序号</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项目</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单位</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数量</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单价（元）</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方案新增</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主体已有</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合计（元）</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合计（万元）</w:t>
            </w:r>
          </w:p>
        </w:tc>
      </w:tr>
      <w:tr>
        <w:tblPrEx>
          <w:tblCellMar>
            <w:top w:w="0" w:type="dxa"/>
            <w:left w:w="0" w:type="dxa"/>
            <w:bottom w:w="0" w:type="dxa"/>
            <w:right w:w="0" w:type="dxa"/>
          </w:tblCellMar>
        </w:tblPrEx>
        <w:trPr>
          <w:trHeight w:val="369" w:hRule="atLeast"/>
        </w:trPr>
        <w:tc>
          <w:tcPr>
            <w:tcW w:w="124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第一部分 工程措施</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217.68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217.68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0.02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（一）</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建筑物区</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212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212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0.02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土地平整</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1hm²</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0.08 </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137.04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11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11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0.00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全面整地</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1hm²</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0.17 </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1183.76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201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201.24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0.02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（二）</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施工生产生活区</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2.74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2.74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0.00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土地平整</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1hm²</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0.02 </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137.04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2.74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2.74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0.00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（三）</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管线工程区</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2.74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2.74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0.00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土地平整</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1hm²</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0.02 </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137.04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2.74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2.74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0.00 </w:t>
            </w:r>
          </w:p>
        </w:tc>
      </w:tr>
      <w:tr>
        <w:tblPrEx>
          <w:tblCellMar>
            <w:top w:w="0" w:type="dxa"/>
            <w:left w:w="0" w:type="dxa"/>
            <w:bottom w:w="0" w:type="dxa"/>
            <w:right w:w="0" w:type="dxa"/>
          </w:tblCellMar>
        </w:tblPrEx>
        <w:trPr>
          <w:trHeight w:val="369" w:hRule="atLeast"/>
        </w:trPr>
        <w:tc>
          <w:tcPr>
            <w:tcW w:w="124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第二部分 植物措施</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139.93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139.93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0.01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（一）</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建筑物区</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139.93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139.93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0.01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撒播草籽</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1hm²</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0.17 </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823.10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139.93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139.93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0.01 </w:t>
            </w:r>
          </w:p>
        </w:tc>
      </w:tr>
      <w:tr>
        <w:tblPrEx>
          <w:tblCellMar>
            <w:top w:w="0" w:type="dxa"/>
            <w:left w:w="0" w:type="dxa"/>
            <w:bottom w:w="0" w:type="dxa"/>
            <w:right w:w="0" w:type="dxa"/>
          </w:tblCellMar>
        </w:tblPrEx>
        <w:trPr>
          <w:trHeight w:val="369" w:hRule="atLeast"/>
        </w:trPr>
        <w:tc>
          <w:tcPr>
            <w:tcW w:w="124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第三部分 临时措施</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82559.4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82559.43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8.26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（一）</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建筑物区</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74230.6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13117.99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1.31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防尘网苫盖</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100㎡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4.00 </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758.41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3033.6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3033.64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0.30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2</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洒水</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100m³</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8.00 </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1260.54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10084.4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10084.35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1.01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彩钢板围挡</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100㎡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6.50 </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9401.94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61112.6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（二）</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管线工程区</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758.4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758.41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0.08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防尘网苫盖</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100㎡</w:t>
            </w:r>
          </w:p>
        </w:tc>
        <w:tc>
          <w:tcPr>
            <w:tcW w:w="492" w:type="pct"/>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758.41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758.4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758.41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0.08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（三）</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道路及硬化区</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6302.7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6302.72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0.63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洒水</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100m³</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5</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1260.544293</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6302.7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6302.72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0.63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（四）</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施工生产生活区</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1260.5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1260.54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0.13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洒水</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100m³</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1260.544293</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1260.5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1260.54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0.13 </w:t>
            </w:r>
          </w:p>
        </w:tc>
      </w:tr>
      <w:tr>
        <w:tblPrEx>
          <w:tblCellMar>
            <w:top w:w="0" w:type="dxa"/>
            <w:left w:w="0" w:type="dxa"/>
            <w:bottom w:w="0" w:type="dxa"/>
            <w:right w:w="0" w:type="dxa"/>
          </w:tblCellMar>
        </w:tblPrEx>
        <w:trPr>
          <w:trHeight w:val="369"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(七)</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其它临时防护措施</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2</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357.61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7.2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7.15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0.001 </w:t>
            </w:r>
          </w:p>
        </w:tc>
      </w:tr>
      <w:tr>
        <w:tblPrEx>
          <w:tblCellMar>
            <w:top w:w="0" w:type="dxa"/>
            <w:left w:w="0" w:type="dxa"/>
            <w:bottom w:w="0" w:type="dxa"/>
            <w:right w:w="0" w:type="dxa"/>
          </w:tblCellMar>
        </w:tblPrEx>
        <w:trPr>
          <w:trHeight w:val="369" w:hRule="atLeast"/>
        </w:trPr>
        <w:tc>
          <w:tcPr>
            <w:tcW w:w="124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合计</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82559.4 </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357.612 </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82924.19 </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 xml:space="preserve">8.29 </w:t>
            </w:r>
          </w:p>
        </w:tc>
      </w:tr>
    </w:tbl>
    <w:p>
      <w:pPr>
        <w:pStyle w:val="76"/>
        <w:keepNext w:val="0"/>
        <w:keepLines w:val="0"/>
        <w:pageBreakBefore w:val="0"/>
        <w:widowControl/>
        <w:kinsoku/>
        <w:wordWrap/>
        <w:overflowPunct/>
        <w:topLinePunct w:val="0"/>
        <w:autoSpaceDE/>
        <w:autoSpaceDN/>
        <w:bidi w:val="0"/>
        <w:adjustRightInd w:val="0"/>
        <w:snapToGrid w:val="0"/>
        <w:jc w:val="both"/>
        <w:textAlignment w:val="auto"/>
        <w:outlineLvl w:val="9"/>
        <w:rPr>
          <w:rFonts w:hint="default" w:ascii="Times New Roman" w:hAnsi="Times New Roman" w:eastAsia="仿宋_GB2312" w:cs="Times New Roman"/>
          <w:color w:val="auto"/>
          <w:highlight w:val="none"/>
        </w:rPr>
      </w:pPr>
    </w:p>
    <w:p>
      <w:pPr>
        <w:pStyle w:val="76"/>
        <w:keepNext w:val="0"/>
        <w:keepLines w:val="0"/>
        <w:pageBreakBefore w:val="0"/>
        <w:widowControl/>
        <w:kinsoku/>
        <w:wordWrap/>
        <w:overflowPunct/>
        <w:topLinePunct w:val="0"/>
        <w:autoSpaceDE/>
        <w:autoSpaceDN/>
        <w:bidi w:val="0"/>
        <w:textAlignment w:val="auto"/>
        <w:outlineLvl w:val="9"/>
        <w:rPr>
          <w:rFonts w:hint="default" w:ascii="Times New Roman" w:hAnsi="Times New Roman" w:eastAsia="仿宋_GB2312" w:cs="Times New Roman"/>
          <w:color w:val="auto"/>
          <w:highlight w:val="none"/>
        </w:rPr>
      </w:pPr>
    </w:p>
    <w:p>
      <w:pPr>
        <w:pStyle w:val="76"/>
        <w:keepNext w:val="0"/>
        <w:keepLines w:val="0"/>
        <w:pageBreakBefore w:val="0"/>
        <w:widowControl/>
        <w:kinsoku/>
        <w:wordWrap/>
        <w:overflowPunct/>
        <w:topLinePunct w:val="0"/>
        <w:autoSpaceDE/>
        <w:autoSpaceDN/>
        <w:bidi w:val="0"/>
        <w:textAlignment w:val="auto"/>
        <w:outlineLvl w:val="9"/>
        <w:rPr>
          <w:rFonts w:hint="default" w:ascii="Times New Roman" w:hAnsi="Times New Roman" w:eastAsia="仿宋_GB2312" w:cs="Times New Roman"/>
          <w:color w:val="auto"/>
          <w:highlight w:val="none"/>
        </w:rPr>
      </w:pPr>
    </w:p>
    <w:p>
      <w:pPr>
        <w:pStyle w:val="76"/>
        <w:keepNext w:val="0"/>
        <w:keepLines w:val="0"/>
        <w:pageBreakBefore w:val="0"/>
        <w:widowControl/>
        <w:kinsoku/>
        <w:wordWrap/>
        <w:overflowPunct/>
        <w:topLinePunct w:val="0"/>
        <w:autoSpaceDE/>
        <w:autoSpaceDN/>
        <w:bidi w:val="0"/>
        <w:textAlignment w:val="auto"/>
        <w:outlineLvl w:val="9"/>
        <w:rPr>
          <w:rFonts w:hint="default" w:ascii="Times New Roman" w:hAnsi="Times New Roman" w:eastAsia="仿宋_GB2312" w:cs="Times New Roman"/>
          <w:color w:val="auto"/>
          <w:highlight w:val="none"/>
        </w:rPr>
      </w:pP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color w:val="auto"/>
          <w:highlight w:val="none"/>
        </w:rPr>
        <w:br w:type="page"/>
      </w: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表7.1-5独立费用计算表</w:t>
      </w:r>
    </w:p>
    <w:tbl>
      <w:tblPr>
        <w:tblStyle w:val="25"/>
        <w:tblW w:w="4997" w:type="pct"/>
        <w:tblInd w:w="0" w:type="dxa"/>
        <w:tblBorders>
          <w:top w:val="none" w:color="auto" w:sz="4" w:space="0"/>
          <w:left w:val="none" w:color="auto" w:sz="4" w:space="0"/>
          <w:bottom w:val="none" w:color="auto" w:sz="0" w:space="0"/>
          <w:right w:val="none" w:color="auto" w:sz="4" w:space="0"/>
          <w:insideH w:val="none" w:color="auto" w:sz="4" w:space="0"/>
          <w:insideV w:val="none" w:color="auto" w:sz="4" w:space="0"/>
        </w:tblBorders>
        <w:shd w:val="clear" w:color="auto" w:fill="auto"/>
        <w:tblLayout w:type="autofit"/>
        <w:tblCellMar>
          <w:top w:w="0" w:type="dxa"/>
          <w:left w:w="108" w:type="dxa"/>
          <w:bottom w:w="0" w:type="dxa"/>
          <w:right w:w="108" w:type="dxa"/>
        </w:tblCellMar>
      </w:tblPr>
      <w:tblGrid>
        <w:gridCol w:w="1040"/>
        <w:gridCol w:w="2894"/>
        <w:gridCol w:w="3667"/>
        <w:gridCol w:w="1454"/>
      </w:tblGrid>
      <w:tr>
        <w:tblPrEx>
          <w:tblBorders>
            <w:top w:val="none" w:color="auto" w:sz="4" w:space="0"/>
            <w:left w:val="none" w:color="auto" w:sz="4" w:space="0"/>
            <w:bottom w:val="none" w:color="auto" w:sz="0" w:space="0"/>
            <w:right w:val="non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369" w:hRule="atLeast"/>
        </w:trPr>
        <w:tc>
          <w:tcPr>
            <w:tcW w:w="2172"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项目名称</w:t>
            </w:r>
          </w:p>
        </w:tc>
        <w:tc>
          <w:tcPr>
            <w:tcW w:w="2025" w:type="pct"/>
            <w:tcBorders>
              <w:top w:val="single" w:color="000000" w:sz="4" w:space="0"/>
              <w:left w:val="single" w:color="000000" w:sz="4" w:space="0"/>
              <w:bottom w:val="single" w:color="auto" w:sz="4" w:space="0"/>
              <w:right w:val="single" w:color="000000"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计算公式</w:t>
            </w:r>
          </w:p>
        </w:tc>
        <w:tc>
          <w:tcPr>
            <w:tcW w:w="801"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金额（万元）</w:t>
            </w:r>
          </w:p>
        </w:tc>
      </w:tr>
      <w:tr>
        <w:tblPrEx>
          <w:tblBorders>
            <w:top w:val="none" w:color="auto" w:sz="4" w:space="0"/>
            <w:left w:val="none" w:color="auto" w:sz="4" w:space="0"/>
            <w:bottom w:val="none" w:color="auto" w:sz="0"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69" w:hRule="atLeast"/>
        </w:trPr>
        <w:tc>
          <w:tcPr>
            <w:tcW w:w="574" w:type="pct"/>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独立费用</w:t>
            </w:r>
          </w:p>
        </w:tc>
        <w:tc>
          <w:tcPr>
            <w:tcW w:w="1598"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建设管理费</w:t>
            </w:r>
          </w:p>
        </w:tc>
        <w:tc>
          <w:tcPr>
            <w:tcW w:w="2025"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（方案新增措施）*2%</w:t>
            </w:r>
          </w:p>
        </w:tc>
        <w:tc>
          <w:tcPr>
            <w:tcW w:w="1454" w:type="dxa"/>
            <w:tcBorders>
              <w:top w:val="single" w:color="auto" w:sz="4" w:space="0"/>
              <w:left w:val="single" w:color="000000" w:sz="4" w:space="0"/>
              <w:bottom w:val="single" w:color="000000" w:sz="4" w:space="0"/>
              <w:right w:val="single" w:color="auto"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 xml:space="preserve">0.17 </w:t>
            </w:r>
          </w:p>
        </w:tc>
      </w:tr>
      <w:tr>
        <w:tblPrEx>
          <w:tblBorders>
            <w:top w:val="none" w:color="auto" w:sz="4" w:space="0"/>
            <w:left w:val="none" w:color="auto" w:sz="4" w:space="0"/>
            <w:bottom w:val="none" w:color="auto" w:sz="0"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69" w:hRule="atLeast"/>
        </w:trPr>
        <w:tc>
          <w:tcPr>
            <w:tcW w:w="574"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p>
        </w:tc>
        <w:tc>
          <w:tcPr>
            <w:tcW w:w="15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工程建设监理费</w:t>
            </w:r>
          </w:p>
        </w:tc>
        <w:tc>
          <w:tcPr>
            <w:tcW w:w="2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按实际工作量计列</w:t>
            </w:r>
          </w:p>
        </w:tc>
        <w:tc>
          <w:tcPr>
            <w:tcW w:w="1454"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 xml:space="preserve">1.00 </w:t>
            </w:r>
          </w:p>
        </w:tc>
      </w:tr>
      <w:tr>
        <w:tblPrEx>
          <w:tblBorders>
            <w:top w:val="none" w:color="auto" w:sz="4" w:space="0"/>
            <w:left w:val="none" w:color="auto" w:sz="4" w:space="0"/>
            <w:bottom w:val="none" w:color="auto" w:sz="0"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69" w:hRule="atLeast"/>
        </w:trPr>
        <w:tc>
          <w:tcPr>
            <w:tcW w:w="574"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p>
        </w:tc>
        <w:tc>
          <w:tcPr>
            <w:tcW w:w="15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科研勘测设计费</w:t>
            </w:r>
          </w:p>
        </w:tc>
        <w:tc>
          <w:tcPr>
            <w:tcW w:w="2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按合同额计取</w:t>
            </w:r>
          </w:p>
        </w:tc>
        <w:tc>
          <w:tcPr>
            <w:tcW w:w="1454"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 xml:space="preserve">1.40 </w:t>
            </w:r>
          </w:p>
        </w:tc>
      </w:tr>
      <w:tr>
        <w:tblPrEx>
          <w:tblBorders>
            <w:top w:val="none" w:color="auto" w:sz="4" w:space="0"/>
            <w:left w:val="none" w:color="auto" w:sz="4" w:space="0"/>
            <w:bottom w:val="none" w:color="auto" w:sz="0"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69" w:hRule="atLeast"/>
        </w:trPr>
        <w:tc>
          <w:tcPr>
            <w:tcW w:w="574"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p>
        </w:tc>
        <w:tc>
          <w:tcPr>
            <w:tcW w:w="15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水土保持监测费</w:t>
            </w:r>
          </w:p>
        </w:tc>
        <w:tc>
          <w:tcPr>
            <w:tcW w:w="2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按实际工作量计列</w:t>
            </w:r>
          </w:p>
        </w:tc>
        <w:tc>
          <w:tcPr>
            <w:tcW w:w="1454"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 xml:space="preserve">0.00 </w:t>
            </w:r>
          </w:p>
        </w:tc>
      </w:tr>
      <w:tr>
        <w:tblPrEx>
          <w:tblBorders>
            <w:top w:val="none" w:color="auto" w:sz="4" w:space="0"/>
            <w:left w:val="none" w:color="auto" w:sz="4" w:space="0"/>
            <w:bottom w:val="none" w:color="auto" w:sz="0"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69" w:hRule="atLeast"/>
        </w:trPr>
        <w:tc>
          <w:tcPr>
            <w:tcW w:w="574"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p>
        </w:tc>
        <w:tc>
          <w:tcPr>
            <w:tcW w:w="1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p>
        </w:tc>
        <w:tc>
          <w:tcPr>
            <w:tcW w:w="2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监测设施费</w:t>
            </w:r>
          </w:p>
        </w:tc>
        <w:tc>
          <w:tcPr>
            <w:tcW w:w="1454"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 xml:space="preserve">0.00 </w:t>
            </w:r>
          </w:p>
        </w:tc>
      </w:tr>
      <w:tr>
        <w:tblPrEx>
          <w:tblBorders>
            <w:top w:val="none" w:color="auto" w:sz="4" w:space="0"/>
            <w:left w:val="none" w:color="auto" w:sz="4" w:space="0"/>
            <w:bottom w:val="none" w:color="auto" w:sz="0"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69" w:hRule="atLeast"/>
        </w:trPr>
        <w:tc>
          <w:tcPr>
            <w:tcW w:w="574"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p>
        </w:tc>
        <w:tc>
          <w:tcPr>
            <w:tcW w:w="1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p>
        </w:tc>
        <w:tc>
          <w:tcPr>
            <w:tcW w:w="2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监测设备折旧费</w:t>
            </w:r>
          </w:p>
        </w:tc>
        <w:tc>
          <w:tcPr>
            <w:tcW w:w="1454"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 xml:space="preserve">0.00 </w:t>
            </w:r>
          </w:p>
        </w:tc>
      </w:tr>
      <w:tr>
        <w:tblPrEx>
          <w:tblBorders>
            <w:top w:val="none" w:color="auto" w:sz="4" w:space="0"/>
            <w:left w:val="none" w:color="auto" w:sz="4" w:space="0"/>
            <w:bottom w:val="none" w:color="auto" w:sz="0"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69" w:hRule="atLeast"/>
        </w:trPr>
        <w:tc>
          <w:tcPr>
            <w:tcW w:w="574"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p>
        </w:tc>
        <w:tc>
          <w:tcPr>
            <w:tcW w:w="1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p>
        </w:tc>
        <w:tc>
          <w:tcPr>
            <w:tcW w:w="2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监测消耗性材料费</w:t>
            </w:r>
          </w:p>
        </w:tc>
        <w:tc>
          <w:tcPr>
            <w:tcW w:w="1454"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 xml:space="preserve">0.00 </w:t>
            </w:r>
          </w:p>
        </w:tc>
      </w:tr>
      <w:tr>
        <w:tblPrEx>
          <w:tblBorders>
            <w:top w:val="none" w:color="auto" w:sz="4" w:space="0"/>
            <w:left w:val="none" w:color="auto" w:sz="4" w:space="0"/>
            <w:bottom w:val="none" w:color="auto" w:sz="0"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69" w:hRule="atLeast"/>
        </w:trPr>
        <w:tc>
          <w:tcPr>
            <w:tcW w:w="574"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p>
        </w:tc>
        <w:tc>
          <w:tcPr>
            <w:tcW w:w="1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p>
        </w:tc>
        <w:tc>
          <w:tcPr>
            <w:tcW w:w="2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监测费小计</w:t>
            </w:r>
          </w:p>
        </w:tc>
        <w:tc>
          <w:tcPr>
            <w:tcW w:w="1454"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 xml:space="preserve">0.00 </w:t>
            </w:r>
          </w:p>
        </w:tc>
      </w:tr>
      <w:tr>
        <w:tblPrEx>
          <w:tblBorders>
            <w:top w:val="none" w:color="auto" w:sz="4" w:space="0"/>
            <w:left w:val="none" w:color="auto" w:sz="4" w:space="0"/>
            <w:bottom w:val="none" w:color="auto" w:sz="0"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69" w:hRule="atLeast"/>
        </w:trPr>
        <w:tc>
          <w:tcPr>
            <w:tcW w:w="574"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p>
        </w:tc>
        <w:tc>
          <w:tcPr>
            <w:tcW w:w="15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水土保持设施验收报告编制费</w:t>
            </w:r>
          </w:p>
        </w:tc>
        <w:tc>
          <w:tcPr>
            <w:tcW w:w="20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按实际工作量计</w:t>
            </w:r>
          </w:p>
        </w:tc>
        <w:tc>
          <w:tcPr>
            <w:tcW w:w="1454"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default" w:ascii="Times New Roman" w:hAnsi="Times New Roman" w:eastAsia="仿宋_GB2312" w:cs="Times New Roman"/>
                <w:snapToGrid w:val="0"/>
                <w:color w:val="auto"/>
                <w:kern w:val="24"/>
                <w:highlight w:val="none"/>
                <w:lang w:val="en-US" w:eastAsia="zh-CN"/>
              </w:rPr>
              <w:t xml:space="preserve">2.50 </w:t>
            </w:r>
          </w:p>
        </w:tc>
      </w:tr>
      <w:tr>
        <w:tblPrEx>
          <w:tblBorders>
            <w:top w:val="none" w:color="auto" w:sz="4" w:space="0"/>
            <w:left w:val="none" w:color="auto" w:sz="4" w:space="0"/>
            <w:bottom w:val="none" w:color="auto" w:sz="0"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69" w:hRule="atLeast"/>
        </w:trPr>
        <w:tc>
          <w:tcPr>
            <w:tcW w:w="5000" w:type="pct"/>
            <w:gridSpan w:val="4"/>
            <w:tcBorders>
              <w:top w:val="single" w:color="000000" w:sz="4" w:space="0"/>
              <w:left w:val="single" w:color="auto" w:sz="4" w:space="0"/>
              <w:bottom w:val="single" w:color="auto" w:sz="4" w:space="0"/>
              <w:right w:val="single" w:color="auto"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合计：5.07万元</w:t>
            </w:r>
          </w:p>
        </w:tc>
      </w:tr>
    </w:tbl>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表7.1-6主要材料价格汇总表</w:t>
      </w:r>
    </w:p>
    <w:tbl>
      <w:tblPr>
        <w:tblStyle w:val="25"/>
        <w:tblW w:w="5000" w:type="pct"/>
        <w:tblInd w:w="0" w:type="dxa"/>
        <w:shd w:val="clear" w:color="auto" w:fill="auto"/>
        <w:tblLayout w:type="autofit"/>
        <w:tblCellMar>
          <w:top w:w="0" w:type="dxa"/>
          <w:left w:w="108" w:type="dxa"/>
          <w:bottom w:w="0" w:type="dxa"/>
          <w:right w:w="108" w:type="dxa"/>
        </w:tblCellMar>
      </w:tblPr>
      <w:tblGrid>
        <w:gridCol w:w="970"/>
        <w:gridCol w:w="1672"/>
        <w:gridCol w:w="1086"/>
        <w:gridCol w:w="1086"/>
        <w:gridCol w:w="970"/>
        <w:gridCol w:w="1206"/>
        <w:gridCol w:w="1086"/>
        <w:gridCol w:w="984"/>
      </w:tblGrid>
      <w:tr>
        <w:tblPrEx>
          <w:tblCellMar>
            <w:top w:w="0" w:type="dxa"/>
            <w:left w:w="108" w:type="dxa"/>
            <w:bottom w:w="0" w:type="dxa"/>
            <w:right w:w="108" w:type="dxa"/>
          </w:tblCellMar>
        </w:tblPrEx>
        <w:trPr>
          <w:trHeight w:val="369" w:hRule="atLeast"/>
        </w:trPr>
        <w:tc>
          <w:tcPr>
            <w:tcW w:w="53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序号</w:t>
            </w:r>
          </w:p>
        </w:tc>
        <w:tc>
          <w:tcPr>
            <w:tcW w:w="9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名称及规格</w:t>
            </w:r>
          </w:p>
        </w:tc>
        <w:tc>
          <w:tcPr>
            <w:tcW w:w="5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单位</w:t>
            </w:r>
          </w:p>
        </w:tc>
        <w:tc>
          <w:tcPr>
            <w:tcW w:w="5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预算价格</w:t>
            </w:r>
          </w:p>
        </w:tc>
        <w:tc>
          <w:tcPr>
            <w:tcW w:w="53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原价</w:t>
            </w:r>
          </w:p>
        </w:tc>
        <w:tc>
          <w:tcPr>
            <w:tcW w:w="180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价格（元）</w:t>
            </w:r>
          </w:p>
        </w:tc>
      </w:tr>
      <w:tr>
        <w:tblPrEx>
          <w:tblCellMar>
            <w:top w:w="0" w:type="dxa"/>
            <w:left w:w="108" w:type="dxa"/>
            <w:bottom w:w="0" w:type="dxa"/>
            <w:right w:w="108" w:type="dxa"/>
          </w:tblCellMar>
        </w:tblPrEx>
        <w:trPr>
          <w:trHeight w:val="369" w:hRule="atLeast"/>
        </w:trPr>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p>
        </w:tc>
        <w:tc>
          <w:tcPr>
            <w:tcW w:w="9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p>
        </w:tc>
        <w:tc>
          <w:tcPr>
            <w:tcW w:w="5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p>
        </w:tc>
        <w:tc>
          <w:tcPr>
            <w:tcW w:w="5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运杂费</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到工地价格</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采购及保管费</w:t>
            </w:r>
          </w:p>
        </w:tc>
      </w:tr>
      <w:tr>
        <w:tblPrEx>
          <w:tblCellMar>
            <w:top w:w="0" w:type="dxa"/>
            <w:left w:w="108" w:type="dxa"/>
            <w:bottom w:w="0" w:type="dxa"/>
            <w:right w:w="108" w:type="dxa"/>
          </w:tblCellMar>
        </w:tblPrEx>
        <w:trPr>
          <w:trHeight w:val="369" w:hRule="atLeast"/>
        </w:trPr>
        <w:tc>
          <w:tcPr>
            <w:tcW w:w="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1</w:t>
            </w: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水</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cs="Times New Roman"/>
                <w:snapToGrid w:val="0"/>
                <w:color w:val="auto"/>
                <w:kern w:val="24"/>
                <w:highlight w:val="none"/>
                <w:lang w:val="en-US" w:eastAsia="zh-CN"/>
              </w:rPr>
              <w:t>m³</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1.5</w:t>
            </w:r>
          </w:p>
        </w:tc>
        <w:tc>
          <w:tcPr>
            <w:tcW w:w="2342" w:type="pct"/>
            <w:gridSpan w:val="4"/>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与主体保持一致</w:t>
            </w:r>
          </w:p>
        </w:tc>
      </w:tr>
      <w:tr>
        <w:tblPrEx>
          <w:tblCellMar>
            <w:top w:w="0" w:type="dxa"/>
            <w:left w:w="108" w:type="dxa"/>
            <w:bottom w:w="0" w:type="dxa"/>
            <w:right w:w="108" w:type="dxa"/>
          </w:tblCellMar>
        </w:tblPrEx>
        <w:trPr>
          <w:trHeight w:val="369" w:hRule="atLeast"/>
        </w:trPr>
        <w:tc>
          <w:tcPr>
            <w:tcW w:w="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2</w:t>
            </w: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电</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kw·h</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0.52</w:t>
            </w:r>
          </w:p>
        </w:tc>
        <w:tc>
          <w:tcPr>
            <w:tcW w:w="234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p>
        </w:tc>
      </w:tr>
      <w:tr>
        <w:tblPrEx>
          <w:tblCellMar>
            <w:top w:w="0" w:type="dxa"/>
            <w:left w:w="108" w:type="dxa"/>
            <w:bottom w:w="0" w:type="dxa"/>
            <w:right w:w="108" w:type="dxa"/>
          </w:tblCellMar>
        </w:tblPrEx>
        <w:trPr>
          <w:trHeight w:val="369" w:hRule="atLeast"/>
        </w:trPr>
        <w:tc>
          <w:tcPr>
            <w:tcW w:w="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3</w:t>
            </w: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柴油</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t</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6760</w:t>
            </w:r>
          </w:p>
        </w:tc>
        <w:tc>
          <w:tcPr>
            <w:tcW w:w="234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p>
        </w:tc>
      </w:tr>
      <w:tr>
        <w:tblPrEx>
          <w:tblCellMar>
            <w:top w:w="0" w:type="dxa"/>
            <w:left w:w="108" w:type="dxa"/>
            <w:bottom w:w="0" w:type="dxa"/>
            <w:right w:w="108" w:type="dxa"/>
          </w:tblCellMar>
        </w:tblPrEx>
        <w:trPr>
          <w:trHeight w:val="369" w:hRule="atLeast"/>
        </w:trPr>
        <w:tc>
          <w:tcPr>
            <w:tcW w:w="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4</w:t>
            </w: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汽油</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t</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7040</w:t>
            </w:r>
          </w:p>
        </w:tc>
        <w:tc>
          <w:tcPr>
            <w:tcW w:w="234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p>
        </w:tc>
      </w:tr>
      <w:tr>
        <w:tblPrEx>
          <w:tblCellMar>
            <w:top w:w="0" w:type="dxa"/>
            <w:left w:w="108" w:type="dxa"/>
            <w:bottom w:w="0" w:type="dxa"/>
            <w:right w:w="108" w:type="dxa"/>
          </w:tblCellMar>
        </w:tblPrEx>
        <w:trPr>
          <w:trHeight w:val="369" w:hRule="atLeast"/>
        </w:trPr>
        <w:tc>
          <w:tcPr>
            <w:tcW w:w="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5</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芨芨草草籽</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kg</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 xml:space="preserve">10.12 </w:t>
            </w:r>
          </w:p>
        </w:tc>
        <w:tc>
          <w:tcPr>
            <w:tcW w:w="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10</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 xml:space="preserve">0.01 </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 xml:space="preserve">10.01 </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 xml:space="preserve">0.11 </w:t>
            </w:r>
          </w:p>
        </w:tc>
      </w:tr>
      <w:tr>
        <w:tblPrEx>
          <w:tblCellMar>
            <w:top w:w="0" w:type="dxa"/>
            <w:left w:w="108" w:type="dxa"/>
            <w:bottom w:w="0" w:type="dxa"/>
            <w:right w:w="108" w:type="dxa"/>
          </w:tblCellMar>
        </w:tblPrEx>
        <w:trPr>
          <w:trHeight w:val="369" w:hRule="atLeast"/>
        </w:trPr>
        <w:tc>
          <w:tcPr>
            <w:tcW w:w="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6</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防尘网</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cs="Times New Roman"/>
                <w:snapToGrid w:val="0"/>
                <w:color w:val="auto"/>
                <w:kern w:val="24"/>
                <w:highlight w:val="none"/>
                <w:lang w:val="en-US" w:eastAsia="zh-CN"/>
              </w:rPr>
              <w:t>m²</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 xml:space="preserve">3.19 </w:t>
            </w:r>
          </w:p>
        </w:tc>
        <w:tc>
          <w:tcPr>
            <w:tcW w:w="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3.12</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 xml:space="preserve">0.002 </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 xml:space="preserve">3.12 </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 xml:space="preserve">0.07 </w:t>
            </w:r>
          </w:p>
        </w:tc>
      </w:tr>
      <w:tr>
        <w:tblPrEx>
          <w:tblCellMar>
            <w:top w:w="0" w:type="dxa"/>
            <w:left w:w="108" w:type="dxa"/>
            <w:bottom w:w="0" w:type="dxa"/>
            <w:right w:w="108" w:type="dxa"/>
          </w:tblCellMar>
        </w:tblPrEx>
        <w:trPr>
          <w:trHeight w:val="369" w:hRule="atLeast"/>
        </w:trPr>
        <w:tc>
          <w:tcPr>
            <w:tcW w:w="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7</w:t>
            </w:r>
          </w:p>
        </w:tc>
        <w:tc>
          <w:tcPr>
            <w:tcW w:w="9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彩钢板</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cs="Times New Roman"/>
                <w:snapToGrid w:val="0"/>
                <w:color w:val="auto"/>
                <w:kern w:val="24"/>
                <w:highlight w:val="none"/>
                <w:lang w:val="en-US" w:eastAsia="zh-CN"/>
              </w:rPr>
              <w:t>m²</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 xml:space="preserve">51.19 </w:t>
            </w:r>
          </w:p>
        </w:tc>
        <w:tc>
          <w:tcPr>
            <w:tcW w:w="5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50</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 xml:space="preserve">0.04 </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 xml:space="preserve">50.04 </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4"/>
              <w:keepNext w:val="0"/>
              <w:keepLines w:val="0"/>
              <w:pageBreakBefore w:val="0"/>
              <w:widowControl w:val="0"/>
              <w:kinsoku/>
              <w:wordWrap/>
              <w:overflowPunct/>
              <w:topLinePunct w:val="0"/>
              <w:autoSpaceDE w:val="0"/>
              <w:autoSpaceDN w:val="0"/>
              <w:bidi w:val="0"/>
              <w:adjustRightInd w:val="0"/>
              <w:snapToGrid/>
              <w:textAlignment w:val="auto"/>
              <w:rPr>
                <w:rFonts w:hint="eastAsia" w:ascii="Times New Roman" w:hAnsi="Times New Roman" w:eastAsia="仿宋_GB2312" w:cs="Times New Roman"/>
                <w:snapToGrid w:val="0"/>
                <w:color w:val="auto"/>
                <w:kern w:val="24"/>
                <w:highlight w:val="none"/>
                <w:lang w:val="en-US" w:eastAsia="zh-CN"/>
              </w:rPr>
            </w:pPr>
            <w:r>
              <w:rPr>
                <w:rFonts w:hint="eastAsia" w:ascii="Times New Roman" w:hAnsi="Times New Roman" w:eastAsia="仿宋_GB2312" w:cs="Times New Roman"/>
                <w:snapToGrid w:val="0"/>
                <w:color w:val="auto"/>
                <w:kern w:val="24"/>
                <w:highlight w:val="none"/>
                <w:lang w:val="en-US" w:eastAsia="zh-CN"/>
              </w:rPr>
              <w:t xml:space="preserve">1.15 </w:t>
            </w:r>
          </w:p>
        </w:tc>
      </w:tr>
    </w:tbl>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 xml:space="preserve">表7.1-7水土保持补偿费计算表 </w:t>
      </w:r>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89"/>
        <w:gridCol w:w="1721"/>
        <w:gridCol w:w="710"/>
        <w:gridCol w:w="957"/>
        <w:gridCol w:w="1587"/>
        <w:gridCol w:w="1274"/>
        <w:gridCol w:w="212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exact"/>
          <w:jc w:val="center"/>
        </w:trPr>
        <w:tc>
          <w:tcPr>
            <w:tcW w:w="689" w:type="dxa"/>
            <w:shd w:val="clear" w:color="auto" w:fill="auto"/>
            <w:vAlign w:val="center"/>
          </w:tcPr>
          <w:p>
            <w:pPr>
              <w:pStyle w:val="84"/>
              <w:rPr>
                <w:rFonts w:hint="default" w:ascii="Times New Roman" w:hAnsi="Times New Roman" w:eastAsia="仿宋_GB2312" w:cs="Times New Roman"/>
                <w:color w:val="auto"/>
                <w:szCs w:val="20"/>
                <w:highlight w:val="none"/>
              </w:rPr>
            </w:pPr>
            <w:r>
              <w:rPr>
                <w:rFonts w:hint="default" w:ascii="Times New Roman" w:hAnsi="Times New Roman" w:eastAsia="仿宋_GB2312" w:cs="Times New Roman"/>
                <w:color w:val="auto"/>
                <w:highlight w:val="none"/>
              </w:rPr>
              <w:t>序号</w:t>
            </w:r>
          </w:p>
        </w:tc>
        <w:tc>
          <w:tcPr>
            <w:tcW w:w="1721" w:type="dxa"/>
            <w:shd w:val="clear" w:color="auto" w:fill="auto"/>
            <w:vAlign w:val="center"/>
          </w:tcPr>
          <w:p>
            <w:pPr>
              <w:pStyle w:val="84"/>
              <w:rPr>
                <w:rFonts w:hint="default" w:ascii="Times New Roman" w:hAnsi="Times New Roman" w:eastAsia="仿宋_GB2312" w:cs="Times New Roman"/>
                <w:color w:val="auto"/>
                <w:szCs w:val="20"/>
                <w:highlight w:val="none"/>
              </w:rPr>
            </w:pPr>
            <w:r>
              <w:rPr>
                <w:rFonts w:hint="default" w:ascii="Times New Roman" w:hAnsi="Times New Roman" w:eastAsia="仿宋_GB2312" w:cs="Times New Roman"/>
                <w:color w:val="auto"/>
                <w:szCs w:val="22"/>
                <w:highlight w:val="none"/>
              </w:rPr>
              <w:t>工程或费用名称</w:t>
            </w:r>
          </w:p>
        </w:tc>
        <w:tc>
          <w:tcPr>
            <w:tcW w:w="710" w:type="dxa"/>
            <w:shd w:val="clear" w:color="auto" w:fill="auto"/>
            <w:vAlign w:val="center"/>
          </w:tcPr>
          <w:p>
            <w:pPr>
              <w:pStyle w:val="84"/>
              <w:rPr>
                <w:rFonts w:hint="default" w:ascii="Times New Roman" w:hAnsi="Times New Roman" w:eastAsia="仿宋_GB2312" w:cs="Times New Roman"/>
                <w:color w:val="auto"/>
                <w:szCs w:val="20"/>
                <w:highlight w:val="none"/>
              </w:rPr>
            </w:pPr>
            <w:r>
              <w:rPr>
                <w:rFonts w:hint="default" w:ascii="Times New Roman" w:hAnsi="Times New Roman" w:eastAsia="仿宋_GB2312" w:cs="Times New Roman"/>
                <w:color w:val="auto"/>
                <w:szCs w:val="22"/>
                <w:highlight w:val="none"/>
              </w:rPr>
              <w:t>单位</w:t>
            </w:r>
          </w:p>
        </w:tc>
        <w:tc>
          <w:tcPr>
            <w:tcW w:w="957" w:type="dxa"/>
            <w:shd w:val="clear" w:color="auto" w:fill="auto"/>
            <w:vAlign w:val="center"/>
          </w:tcPr>
          <w:p>
            <w:pPr>
              <w:pStyle w:val="84"/>
              <w:rPr>
                <w:rFonts w:hint="default" w:ascii="Times New Roman" w:hAnsi="Times New Roman" w:eastAsia="仿宋_GB2312" w:cs="Times New Roman"/>
                <w:color w:val="auto"/>
                <w:szCs w:val="20"/>
                <w:highlight w:val="none"/>
              </w:rPr>
            </w:pPr>
            <w:r>
              <w:rPr>
                <w:rFonts w:hint="default" w:ascii="Times New Roman" w:hAnsi="Times New Roman" w:eastAsia="仿宋_GB2312" w:cs="Times New Roman"/>
                <w:color w:val="auto"/>
                <w:szCs w:val="22"/>
                <w:highlight w:val="none"/>
              </w:rPr>
              <w:t>数量</w:t>
            </w:r>
          </w:p>
        </w:tc>
        <w:tc>
          <w:tcPr>
            <w:tcW w:w="1587" w:type="dxa"/>
            <w:shd w:val="clear" w:color="auto" w:fill="auto"/>
            <w:vAlign w:val="center"/>
          </w:tcPr>
          <w:p>
            <w:pPr>
              <w:pStyle w:val="84"/>
              <w:rPr>
                <w:rFonts w:hint="default" w:ascii="Times New Roman" w:hAnsi="Times New Roman" w:eastAsia="仿宋_GB2312" w:cs="Times New Roman"/>
                <w:color w:val="auto"/>
                <w:szCs w:val="20"/>
                <w:highlight w:val="none"/>
              </w:rPr>
            </w:pPr>
            <w:r>
              <w:rPr>
                <w:rFonts w:hint="default" w:ascii="Times New Roman" w:hAnsi="Times New Roman" w:eastAsia="仿宋_GB2312" w:cs="Times New Roman"/>
                <w:color w:val="auto"/>
                <w:szCs w:val="22"/>
                <w:highlight w:val="none"/>
              </w:rPr>
              <w:t>单价（元/m²）</w:t>
            </w:r>
          </w:p>
        </w:tc>
        <w:tc>
          <w:tcPr>
            <w:tcW w:w="1274" w:type="dxa"/>
            <w:shd w:val="clear" w:color="auto" w:fill="auto"/>
            <w:vAlign w:val="center"/>
          </w:tcPr>
          <w:p>
            <w:pPr>
              <w:pStyle w:val="84"/>
              <w:rPr>
                <w:rFonts w:hint="default" w:ascii="Times New Roman" w:hAnsi="Times New Roman" w:eastAsia="仿宋_GB2312" w:cs="Times New Roman"/>
                <w:color w:val="auto"/>
                <w:szCs w:val="20"/>
                <w:highlight w:val="none"/>
              </w:rPr>
            </w:pPr>
            <w:r>
              <w:rPr>
                <w:rFonts w:hint="default" w:ascii="Times New Roman" w:hAnsi="Times New Roman" w:eastAsia="仿宋_GB2312" w:cs="Times New Roman"/>
                <w:color w:val="auto"/>
                <w:szCs w:val="22"/>
                <w:highlight w:val="none"/>
              </w:rPr>
              <w:t>合价（万元）</w:t>
            </w:r>
          </w:p>
        </w:tc>
        <w:tc>
          <w:tcPr>
            <w:tcW w:w="2122" w:type="dxa"/>
            <w:shd w:val="clear" w:color="auto" w:fill="auto"/>
            <w:vAlign w:val="center"/>
          </w:tcPr>
          <w:p>
            <w:pPr>
              <w:pStyle w:val="84"/>
              <w:rPr>
                <w:rFonts w:hint="default" w:ascii="Times New Roman" w:hAnsi="Times New Roman" w:eastAsia="仿宋_GB2312" w:cs="Times New Roman"/>
                <w:color w:val="auto"/>
                <w:szCs w:val="20"/>
                <w:highlight w:val="none"/>
              </w:rPr>
            </w:pPr>
            <w:r>
              <w:rPr>
                <w:rFonts w:hint="default" w:ascii="Times New Roman" w:hAnsi="Times New Roman" w:eastAsia="仿宋_GB2312" w:cs="Times New Roman"/>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exact"/>
          <w:jc w:val="center"/>
        </w:trPr>
        <w:tc>
          <w:tcPr>
            <w:tcW w:w="689" w:type="dxa"/>
            <w:shd w:val="clear" w:color="auto" w:fill="auto"/>
            <w:vAlign w:val="center"/>
          </w:tcPr>
          <w:p>
            <w:pPr>
              <w:pStyle w:val="84"/>
              <w:rPr>
                <w:rFonts w:hint="default" w:ascii="Times New Roman" w:hAnsi="Times New Roman" w:eastAsia="仿宋_GB2312" w:cs="Times New Roman"/>
                <w:color w:val="auto"/>
                <w:szCs w:val="20"/>
                <w:highlight w:val="none"/>
              </w:rPr>
            </w:pPr>
            <w:r>
              <w:rPr>
                <w:rFonts w:hint="default" w:ascii="Times New Roman" w:hAnsi="Times New Roman" w:eastAsia="仿宋_GB2312" w:cs="Times New Roman"/>
                <w:color w:val="auto"/>
                <w:highlight w:val="none"/>
              </w:rPr>
              <w:t>1</w:t>
            </w:r>
          </w:p>
        </w:tc>
        <w:tc>
          <w:tcPr>
            <w:tcW w:w="1721" w:type="dxa"/>
            <w:shd w:val="clear" w:color="auto" w:fill="auto"/>
            <w:vAlign w:val="center"/>
          </w:tcPr>
          <w:p>
            <w:pPr>
              <w:pStyle w:val="84"/>
              <w:rPr>
                <w:rFonts w:hint="default" w:ascii="Times New Roman" w:hAnsi="Times New Roman" w:eastAsia="仿宋_GB2312" w:cs="Times New Roman"/>
                <w:color w:val="auto"/>
                <w:szCs w:val="20"/>
                <w:highlight w:val="none"/>
              </w:rPr>
            </w:pPr>
            <w:r>
              <w:rPr>
                <w:rFonts w:hint="default" w:ascii="Times New Roman" w:hAnsi="Times New Roman" w:eastAsia="仿宋_GB2312" w:cs="Times New Roman"/>
                <w:color w:val="auto"/>
                <w:szCs w:val="22"/>
                <w:highlight w:val="none"/>
              </w:rPr>
              <w:t>征占地面积</w:t>
            </w:r>
          </w:p>
        </w:tc>
        <w:tc>
          <w:tcPr>
            <w:tcW w:w="710" w:type="dxa"/>
            <w:shd w:val="clear" w:color="auto" w:fill="auto"/>
            <w:vAlign w:val="center"/>
          </w:tcPr>
          <w:p>
            <w:pPr>
              <w:pStyle w:val="84"/>
              <w:rPr>
                <w:rFonts w:hint="default" w:ascii="Times New Roman" w:hAnsi="Times New Roman" w:eastAsia="仿宋_GB2312" w:cs="Times New Roman"/>
                <w:color w:val="auto"/>
                <w:szCs w:val="20"/>
                <w:highlight w:val="none"/>
              </w:rPr>
            </w:pPr>
            <w:r>
              <w:rPr>
                <w:rFonts w:hint="default" w:ascii="Times New Roman" w:hAnsi="Times New Roman" w:eastAsia="仿宋_GB2312" w:cs="Times New Roman"/>
                <w:color w:val="auto"/>
                <w:szCs w:val="22"/>
                <w:highlight w:val="none"/>
              </w:rPr>
              <w:t>m²</w:t>
            </w:r>
          </w:p>
        </w:tc>
        <w:tc>
          <w:tcPr>
            <w:tcW w:w="957" w:type="dxa"/>
            <w:shd w:val="clear" w:color="auto" w:fill="auto"/>
            <w:vAlign w:val="center"/>
          </w:tcPr>
          <w:p>
            <w:pPr>
              <w:pStyle w:val="84"/>
              <w:rPr>
                <w:rFonts w:hint="default" w:ascii="Times New Roman" w:hAnsi="Times New Roman" w:eastAsia="仿宋_GB2312" w:cs="Times New Roman"/>
                <w:color w:val="auto"/>
                <w:szCs w:val="20"/>
                <w:highlight w:val="none"/>
              </w:rPr>
            </w:pPr>
            <w:r>
              <w:rPr>
                <w:rFonts w:hint="eastAsia" w:cs="Times New Roman"/>
                <w:color w:val="auto"/>
                <w:szCs w:val="20"/>
                <w:highlight w:val="none"/>
                <w:lang w:val="en-US" w:eastAsia="zh-CN"/>
              </w:rPr>
              <w:t>4479</w:t>
            </w:r>
            <w:r>
              <w:rPr>
                <w:rFonts w:hint="default" w:ascii="Times New Roman" w:hAnsi="Times New Roman" w:eastAsia="仿宋_GB2312" w:cs="Times New Roman"/>
                <w:color w:val="auto"/>
                <w:szCs w:val="20"/>
                <w:highlight w:val="none"/>
              </w:rPr>
              <w:t xml:space="preserve"> </w:t>
            </w:r>
          </w:p>
        </w:tc>
        <w:tc>
          <w:tcPr>
            <w:tcW w:w="1587" w:type="dxa"/>
            <w:shd w:val="clear" w:color="auto" w:fill="auto"/>
            <w:vAlign w:val="center"/>
          </w:tcPr>
          <w:p>
            <w:pPr>
              <w:pStyle w:val="84"/>
              <w:rPr>
                <w:rFonts w:hint="default" w:ascii="Times New Roman" w:hAnsi="Times New Roman" w:eastAsia="仿宋_GB2312" w:cs="Times New Roman"/>
                <w:color w:val="auto"/>
                <w:szCs w:val="20"/>
                <w:highlight w:val="none"/>
                <w:lang w:eastAsia="zh-CN"/>
              </w:rPr>
            </w:pPr>
            <w:r>
              <w:rPr>
                <w:rFonts w:hint="default" w:ascii="Times New Roman" w:hAnsi="Times New Roman" w:eastAsia="仿宋_GB2312" w:cs="Times New Roman"/>
                <w:color w:val="auto"/>
                <w:szCs w:val="22"/>
                <w:highlight w:val="none"/>
                <w:lang w:val="en-US" w:eastAsia="zh-CN"/>
              </w:rPr>
              <w:t>1</w:t>
            </w:r>
          </w:p>
        </w:tc>
        <w:tc>
          <w:tcPr>
            <w:tcW w:w="1274" w:type="dxa"/>
            <w:shd w:val="clear" w:color="auto" w:fill="auto"/>
            <w:noWrap/>
            <w:vAlign w:val="center"/>
          </w:tcPr>
          <w:p>
            <w:pPr>
              <w:pStyle w:val="84"/>
              <w:rPr>
                <w:rFonts w:hint="default" w:ascii="Times New Roman" w:hAnsi="Times New Roman" w:eastAsia="仿宋_GB2312" w:cs="Times New Roman"/>
                <w:color w:val="auto"/>
                <w:szCs w:val="20"/>
                <w:highlight w:val="none"/>
                <w:lang w:val="en-US" w:eastAsia="zh-CN"/>
              </w:rPr>
            </w:pPr>
            <w:r>
              <w:rPr>
                <w:rFonts w:hint="default" w:ascii="Times New Roman" w:hAnsi="Times New Roman" w:eastAsia="仿宋_GB2312" w:cs="Times New Roman"/>
                <w:color w:val="auto"/>
                <w:szCs w:val="22"/>
                <w:highlight w:val="none"/>
              </w:rPr>
              <w:t>0.</w:t>
            </w:r>
            <w:r>
              <w:rPr>
                <w:rFonts w:hint="eastAsia" w:cs="Times New Roman"/>
                <w:color w:val="auto"/>
                <w:szCs w:val="22"/>
                <w:highlight w:val="none"/>
                <w:lang w:val="en-US" w:eastAsia="zh-CN"/>
              </w:rPr>
              <w:t>4479</w:t>
            </w:r>
          </w:p>
        </w:tc>
        <w:tc>
          <w:tcPr>
            <w:tcW w:w="2122" w:type="dxa"/>
            <w:shd w:val="clear" w:color="auto" w:fill="auto"/>
            <w:vAlign w:val="center"/>
          </w:tcPr>
          <w:p>
            <w:pPr>
              <w:pStyle w:val="84"/>
              <w:rPr>
                <w:rFonts w:hint="eastAsia" w:ascii="Times New Roman" w:hAnsi="Times New Roman" w:eastAsia="仿宋_GB2312" w:cs="Times New Roman"/>
                <w:color w:val="auto"/>
                <w:szCs w:val="20"/>
                <w:highlight w:val="none"/>
                <w:lang w:eastAsia="zh-CN"/>
              </w:rPr>
            </w:pPr>
            <w:r>
              <w:rPr>
                <w:rFonts w:hint="eastAsia" w:cs="Times New Roman"/>
                <w:color w:val="auto"/>
                <w:szCs w:val="20"/>
                <w:highlight w:val="none"/>
                <w:lang w:eastAsia="zh-CN"/>
              </w:rPr>
              <w:t>和田地区策勒县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exact"/>
          <w:jc w:val="center"/>
        </w:trPr>
        <w:tc>
          <w:tcPr>
            <w:tcW w:w="3120" w:type="dxa"/>
            <w:gridSpan w:val="3"/>
            <w:shd w:val="clear" w:color="auto" w:fill="auto"/>
            <w:vAlign w:val="center"/>
          </w:tcPr>
          <w:p>
            <w:pPr>
              <w:pStyle w:val="84"/>
              <w:rPr>
                <w:rFonts w:hint="default" w:ascii="Times New Roman" w:hAnsi="Times New Roman" w:eastAsia="仿宋_GB2312" w:cs="Times New Roman"/>
                <w:color w:val="auto"/>
                <w:szCs w:val="20"/>
                <w:highlight w:val="none"/>
              </w:rPr>
            </w:pPr>
            <w:r>
              <w:rPr>
                <w:rFonts w:hint="default" w:ascii="Times New Roman" w:hAnsi="Times New Roman" w:eastAsia="仿宋_GB2312" w:cs="Times New Roman"/>
                <w:color w:val="auto"/>
                <w:highlight w:val="none"/>
              </w:rPr>
              <w:t>合计</w:t>
            </w:r>
          </w:p>
        </w:tc>
        <w:tc>
          <w:tcPr>
            <w:tcW w:w="957" w:type="dxa"/>
            <w:shd w:val="clear" w:color="auto" w:fill="auto"/>
            <w:vAlign w:val="center"/>
          </w:tcPr>
          <w:p>
            <w:pPr>
              <w:pStyle w:val="84"/>
              <w:rPr>
                <w:rFonts w:hint="default" w:ascii="Times New Roman" w:hAnsi="Times New Roman" w:eastAsia="仿宋_GB2312" w:cs="Times New Roman"/>
                <w:color w:val="auto"/>
                <w:szCs w:val="20"/>
                <w:highlight w:val="none"/>
              </w:rPr>
            </w:pPr>
            <w:r>
              <w:rPr>
                <w:rFonts w:hint="eastAsia" w:cs="Times New Roman"/>
                <w:color w:val="auto"/>
                <w:szCs w:val="20"/>
                <w:highlight w:val="none"/>
                <w:lang w:val="en-US" w:eastAsia="zh-CN"/>
              </w:rPr>
              <w:t>4479</w:t>
            </w:r>
          </w:p>
        </w:tc>
        <w:tc>
          <w:tcPr>
            <w:tcW w:w="1587" w:type="dxa"/>
            <w:shd w:val="clear" w:color="auto" w:fill="auto"/>
            <w:vAlign w:val="center"/>
          </w:tcPr>
          <w:p>
            <w:pPr>
              <w:pStyle w:val="84"/>
              <w:rPr>
                <w:rFonts w:hint="default" w:ascii="Times New Roman" w:hAnsi="Times New Roman" w:eastAsia="仿宋_GB2312" w:cs="Times New Roman"/>
                <w:color w:val="auto"/>
                <w:szCs w:val="20"/>
                <w:highlight w:val="none"/>
              </w:rPr>
            </w:pPr>
            <w:r>
              <w:rPr>
                <w:rFonts w:hint="default" w:ascii="Times New Roman" w:hAnsi="Times New Roman" w:eastAsia="仿宋_GB2312" w:cs="Times New Roman"/>
                <w:color w:val="auto"/>
                <w:szCs w:val="20"/>
                <w:highlight w:val="none"/>
              </w:rPr>
              <w:t>-</w:t>
            </w:r>
          </w:p>
        </w:tc>
        <w:tc>
          <w:tcPr>
            <w:tcW w:w="1274" w:type="dxa"/>
            <w:shd w:val="clear" w:color="auto" w:fill="auto"/>
            <w:noWrap/>
            <w:vAlign w:val="center"/>
          </w:tcPr>
          <w:p>
            <w:pPr>
              <w:pStyle w:val="84"/>
              <w:rPr>
                <w:rFonts w:hint="default" w:ascii="Times New Roman" w:hAnsi="Times New Roman" w:eastAsia="仿宋_GB2312" w:cs="Times New Roman"/>
                <w:color w:val="auto"/>
                <w:szCs w:val="20"/>
                <w:highlight w:val="none"/>
                <w:lang w:val="en-US" w:eastAsia="zh-CN"/>
              </w:rPr>
            </w:pPr>
            <w:r>
              <w:rPr>
                <w:rFonts w:hint="default" w:ascii="Times New Roman" w:hAnsi="Times New Roman" w:eastAsia="仿宋_GB2312" w:cs="Times New Roman"/>
                <w:color w:val="auto"/>
                <w:szCs w:val="22"/>
                <w:highlight w:val="none"/>
              </w:rPr>
              <w:t>0.</w:t>
            </w:r>
            <w:r>
              <w:rPr>
                <w:rFonts w:hint="eastAsia" w:cs="Times New Roman"/>
                <w:color w:val="auto"/>
                <w:szCs w:val="22"/>
                <w:highlight w:val="none"/>
                <w:lang w:val="en-US" w:eastAsia="zh-CN"/>
              </w:rPr>
              <w:t>4479</w:t>
            </w:r>
          </w:p>
        </w:tc>
        <w:tc>
          <w:tcPr>
            <w:tcW w:w="2122" w:type="dxa"/>
            <w:shd w:val="clear" w:color="auto" w:fill="auto"/>
            <w:vAlign w:val="center"/>
          </w:tcPr>
          <w:p>
            <w:pPr>
              <w:pStyle w:val="84"/>
              <w:rPr>
                <w:rFonts w:hint="default" w:ascii="Times New Roman" w:hAnsi="Times New Roman" w:eastAsia="仿宋_GB2312" w:cs="Times New Roman"/>
                <w:color w:val="auto"/>
                <w:szCs w:val="20"/>
                <w:highlight w:val="none"/>
              </w:rPr>
            </w:pPr>
            <w:r>
              <w:rPr>
                <w:rFonts w:hint="default" w:ascii="Times New Roman" w:hAnsi="Times New Roman" w:eastAsia="仿宋_GB2312" w:cs="Times New Roman"/>
                <w:color w:val="auto"/>
                <w:szCs w:val="20"/>
                <w:highlight w:val="none"/>
              </w:rPr>
              <w:t>-</w:t>
            </w:r>
          </w:p>
        </w:tc>
      </w:tr>
    </w:tbl>
    <w:p>
      <w:pPr>
        <w:pStyle w:val="55"/>
        <w:ind w:firstLine="482"/>
        <w:rPr>
          <w:rFonts w:hint="default" w:ascii="Times New Roman" w:hAnsi="Times New Roman" w:eastAsia="仿宋_GB2312" w:cs="Times New Roman"/>
          <w:b/>
          <w:bCs/>
          <w:color w:val="auto"/>
          <w:highlight w:val="none"/>
        </w:rPr>
      </w:pPr>
    </w:p>
    <w:p>
      <w:pPr>
        <w:widowControl/>
        <w:adjustRightInd/>
        <w:snapToGrid/>
        <w:spacing w:line="240" w:lineRule="auto"/>
        <w:ind w:firstLine="0" w:firstLineChars="0"/>
        <w:jc w:val="left"/>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color w:val="auto"/>
          <w:highlight w:val="none"/>
        </w:rPr>
        <w:br w:type="page"/>
      </w:r>
    </w:p>
    <w:p>
      <w:pPr>
        <w:pStyle w:val="66"/>
        <w:ind w:firstLine="148"/>
        <w:rPr>
          <w:rFonts w:hint="default" w:ascii="Times New Roman" w:hAnsi="Times New Roman" w:eastAsia="仿宋_GB2312" w:cs="Times New Roman"/>
          <w:color w:val="auto"/>
          <w:highlight w:val="none"/>
        </w:rPr>
      </w:pPr>
      <w:bookmarkStart w:id="143" w:name="_Toc6554"/>
      <w:r>
        <w:rPr>
          <w:rFonts w:hint="default" w:ascii="Times New Roman" w:hAnsi="Times New Roman" w:eastAsia="仿宋_GB2312" w:cs="Times New Roman"/>
          <w:color w:val="auto"/>
          <w:highlight w:val="none"/>
        </w:rPr>
        <w:t>7.2 效益分析</w:t>
      </w:r>
      <w:bookmarkEnd w:id="143"/>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土保持是一项社会公益事业，其效益分析必须在国家生态建设规划的指导下，本着可持续发展的原则，着重分析工程建设过程中通过落实各项水土保持措施后，在控制人为水土流失方面所产生的保水、保土、改善生态环境的作用和效益。效益分析按《生产建设项目水土保持技术标准》(GB50433-2018)进行。</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7.2.1 效益分析原则</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（1）首先考虑水土保持措施的基础效益、生态效益和社会效益，在此基础上考虑经济效益。</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（2）水土保持的效益既是多方面的，也是有限度的，要实事求是、客观地进行水土保持效益分析。</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（3）基础效益采用定量和定性相结合分析，生态效益、社会效益作定性描述分析。</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7.2.2 分析计算方法</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本方案对水土保持综合治理措施的计算与评价方法是：在实地调查的基础上采用中华人民共和国国家标准《生产建设项目水土保持技术标准》（GB 50433-2018）进行分析计算。</w:t>
      </w:r>
    </w:p>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7.2.3 防治效果预测</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土流失的防治效果预测，主要是指对照方案采取的水土流失防治措施，预测可能达到的防治效果。具体的量化指标为水土流失治理度、土壤流失控制比、渣土防护率、表土保护率、林草植被恢复率和林草覆盖率等六大指标。</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土流失的防治效果预测，主要是指对照方案采取的水土流失防治措施，预测可能达到的防治效果。具体的量化指标为水土流失治理度、土壤流失控制比、渣土防护率、表土保护率、林草植被恢复率和林草覆盖率等六大指标。</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1）水土流失治理度：水土保持措施面积与项目永久建筑物及硬化面积的和占项目建设区总面积的比例。本工程水保措施防治面积</w:t>
      </w:r>
      <w:r>
        <w:rPr>
          <w:rFonts w:hint="eastAsia" w:cs="Times New Roman"/>
          <w:color w:val="auto"/>
          <w:highlight w:val="none"/>
          <w:lang w:val="en-US" w:eastAsia="zh-CN"/>
        </w:rPr>
        <w:t>0.17h</w:t>
      </w:r>
      <w:r>
        <w:rPr>
          <w:rFonts w:hint="default" w:ascii="Times New Roman" w:hAnsi="Times New Roman" w:eastAsia="仿宋_GB2312" w:cs="Times New Roman"/>
          <w:color w:val="auto"/>
          <w:highlight w:val="none"/>
        </w:rPr>
        <w:t>m²，永久建筑物及硬化面积为</w:t>
      </w:r>
      <w:r>
        <w:rPr>
          <w:rFonts w:hint="eastAsia" w:cs="Times New Roman"/>
          <w:color w:val="auto"/>
          <w:highlight w:val="none"/>
          <w:lang w:val="en-US" w:eastAsia="zh-CN"/>
        </w:rPr>
        <w:t>0.28</w:t>
      </w:r>
      <w:r>
        <w:rPr>
          <w:rFonts w:hint="default" w:ascii="Times New Roman" w:hAnsi="Times New Roman" w:eastAsia="仿宋_GB2312" w:cs="Times New Roman"/>
          <w:color w:val="auto"/>
          <w:highlight w:val="none"/>
        </w:rPr>
        <w:t>m²，水土流失面积为</w:t>
      </w:r>
      <w:r>
        <w:rPr>
          <w:rFonts w:hint="eastAsia" w:cs="Times New Roman"/>
          <w:color w:val="auto"/>
          <w:highlight w:val="none"/>
          <w:lang w:val="en-US" w:eastAsia="zh-CN"/>
        </w:rPr>
        <w:t>0.45h</w:t>
      </w:r>
      <w:r>
        <w:rPr>
          <w:rFonts w:hint="default" w:ascii="Times New Roman" w:hAnsi="Times New Roman" w:eastAsia="仿宋_GB2312" w:cs="Times New Roman"/>
          <w:color w:val="auto"/>
          <w:highlight w:val="none"/>
        </w:rPr>
        <w:t>m²，水土流失治理度达到</w:t>
      </w:r>
      <w:r>
        <w:rPr>
          <w:rFonts w:hint="eastAsia" w:cs="Times New Roman"/>
          <w:color w:val="auto"/>
          <w:highlight w:val="none"/>
          <w:lang w:val="en-US" w:eastAsia="zh-CN"/>
        </w:rPr>
        <w:t>99.99</w:t>
      </w:r>
      <w:r>
        <w:rPr>
          <w:rFonts w:hint="default" w:ascii="Times New Roman" w:hAnsi="Times New Roman" w:eastAsia="仿宋_GB2312" w:cs="Times New Roman"/>
          <w:color w:val="auto"/>
          <w:highlight w:val="none"/>
        </w:rPr>
        <w:t>%。</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2）土壤流失控制比：本工程容许土壤流失量为1</w:t>
      </w:r>
      <w:r>
        <w:rPr>
          <w:rFonts w:hint="eastAsia" w:cs="Times New Roman"/>
          <w:color w:val="auto"/>
          <w:highlight w:val="none"/>
          <w:lang w:val="en-US" w:eastAsia="zh-CN"/>
        </w:rPr>
        <w:t>0</w:t>
      </w:r>
      <w:r>
        <w:rPr>
          <w:rFonts w:hint="default" w:ascii="Times New Roman" w:hAnsi="Times New Roman" w:eastAsia="仿宋_GB2312" w:cs="Times New Roman"/>
          <w:color w:val="auto"/>
          <w:highlight w:val="none"/>
        </w:rPr>
        <w:t>00t/（km²·a），通过实施主体设计和本方案所提出的各项水土保持措施后，项目区经长达</w:t>
      </w:r>
      <w:r>
        <w:rPr>
          <w:rFonts w:hint="eastAsia" w:cs="Times New Roman"/>
          <w:color w:val="auto"/>
          <w:highlight w:val="none"/>
          <w:lang w:val="en-US" w:eastAsia="zh-CN"/>
        </w:rPr>
        <w:t>5</w:t>
      </w:r>
      <w:r>
        <w:rPr>
          <w:rFonts w:hint="default" w:ascii="Times New Roman" w:hAnsi="Times New Roman" w:eastAsia="仿宋_GB2312" w:cs="Times New Roman"/>
          <w:color w:val="auto"/>
          <w:highlight w:val="none"/>
        </w:rPr>
        <w:t>年时间的自然恢复，土壤侵蚀模数可降低到1</w:t>
      </w:r>
      <w:r>
        <w:rPr>
          <w:rFonts w:hint="eastAsia" w:cs="Times New Roman"/>
          <w:color w:val="auto"/>
          <w:highlight w:val="none"/>
          <w:lang w:val="en-US" w:eastAsia="zh-CN"/>
        </w:rPr>
        <w:t>0</w:t>
      </w:r>
      <w:r>
        <w:rPr>
          <w:rFonts w:hint="default" w:ascii="Times New Roman" w:hAnsi="Times New Roman" w:eastAsia="仿宋_GB2312" w:cs="Times New Roman"/>
          <w:color w:val="auto"/>
          <w:highlight w:val="none"/>
        </w:rPr>
        <w:t>00t/（km²·a），土壤流失控制比控制为1.0。</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3）渣土防护率：工程建设产生的永久弃渣及临时堆土总量为</w:t>
      </w:r>
      <w:r>
        <w:rPr>
          <w:rFonts w:hint="eastAsia" w:cs="Times New Roman"/>
          <w:color w:val="auto"/>
          <w:highlight w:val="none"/>
          <w:lang w:val="en-US" w:eastAsia="zh-CN"/>
        </w:rPr>
        <w:t>0.10万</w:t>
      </w:r>
      <w:r>
        <w:rPr>
          <w:rFonts w:hint="default" w:ascii="Times New Roman" w:hAnsi="Times New Roman" w:eastAsia="仿宋_GB2312" w:cs="Times New Roman"/>
          <w:color w:val="auto"/>
          <w:highlight w:val="none"/>
        </w:rPr>
        <w:t>m³，通过主体设计及实施的各项临时防护措施，可以基本控制临时堆土场水土流失，其渣土防护率可以达到</w:t>
      </w:r>
      <w:r>
        <w:rPr>
          <w:rFonts w:hint="eastAsia" w:cs="Times New Roman"/>
          <w:color w:val="auto"/>
          <w:highlight w:val="none"/>
          <w:lang w:val="en-US" w:eastAsia="zh-CN"/>
        </w:rPr>
        <w:t>90.1</w:t>
      </w:r>
      <w:r>
        <w:rPr>
          <w:rFonts w:hint="default" w:ascii="Times New Roman" w:hAnsi="Times New Roman" w:eastAsia="仿宋_GB2312" w:cs="Times New Roman"/>
          <w:color w:val="auto"/>
          <w:highlight w:val="none"/>
        </w:rPr>
        <w:t>%。</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4）表土保护率：本项目表土保护率不做具体要求。</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5）林草植被恢复率和林草覆盖率：经第五章分析确定，本项目可绿化面积为</w:t>
      </w:r>
      <w:r>
        <w:rPr>
          <w:rFonts w:hint="eastAsia" w:cs="Times New Roman"/>
          <w:color w:val="auto"/>
          <w:highlight w:val="none"/>
          <w:lang w:val="en-US" w:eastAsia="zh-CN"/>
        </w:rPr>
        <w:t>0.17h</w:t>
      </w:r>
      <w:r>
        <w:rPr>
          <w:rFonts w:hint="default" w:ascii="Times New Roman" w:hAnsi="Times New Roman" w:eastAsia="仿宋_GB2312" w:cs="Times New Roman"/>
          <w:color w:val="auto"/>
          <w:highlight w:val="none"/>
        </w:rPr>
        <w:t>m²，本项目林草措施面积为</w:t>
      </w:r>
      <w:r>
        <w:rPr>
          <w:rFonts w:hint="eastAsia" w:cs="Times New Roman"/>
          <w:color w:val="auto"/>
          <w:highlight w:val="none"/>
          <w:lang w:val="en-US" w:eastAsia="zh-CN"/>
        </w:rPr>
        <w:t>0.17h</w:t>
      </w:r>
      <w:r>
        <w:rPr>
          <w:rFonts w:hint="default" w:ascii="Times New Roman" w:hAnsi="Times New Roman" w:eastAsia="仿宋_GB2312" w:cs="Times New Roman"/>
          <w:color w:val="auto"/>
          <w:highlight w:val="none"/>
        </w:rPr>
        <w:t>m²，其林草植被恢复率达到</w:t>
      </w:r>
      <w:r>
        <w:rPr>
          <w:rFonts w:hint="eastAsia" w:cs="Times New Roman"/>
          <w:color w:val="auto"/>
          <w:highlight w:val="none"/>
          <w:lang w:val="en-US" w:eastAsia="zh-CN"/>
        </w:rPr>
        <w:t>98.3</w:t>
      </w:r>
      <w:r>
        <w:rPr>
          <w:rFonts w:hint="eastAsia" w:cs="Times New Roman"/>
          <w:color w:val="auto"/>
          <w:highlight w:val="none"/>
          <w:lang w:eastAsia="zh-CN"/>
        </w:rPr>
        <w:t>%</w:t>
      </w:r>
      <w:r>
        <w:rPr>
          <w:rFonts w:hint="default" w:ascii="Times New Roman" w:hAnsi="Times New Roman" w:eastAsia="仿宋_GB2312" w:cs="Times New Roman"/>
          <w:color w:val="auto"/>
          <w:highlight w:val="none"/>
        </w:rPr>
        <w:t>；项目区经过</w:t>
      </w:r>
      <w:r>
        <w:rPr>
          <w:rFonts w:hint="eastAsia" w:cs="Times New Roman"/>
          <w:color w:val="auto"/>
          <w:highlight w:val="none"/>
          <w:lang w:val="en-US" w:eastAsia="zh-CN"/>
        </w:rPr>
        <w:t>5</w:t>
      </w:r>
      <w:r>
        <w:rPr>
          <w:rFonts w:hint="default" w:ascii="Times New Roman" w:hAnsi="Times New Roman" w:eastAsia="仿宋_GB2312" w:cs="Times New Roman"/>
          <w:color w:val="auto"/>
          <w:highlight w:val="none"/>
        </w:rPr>
        <w:t>年的自然恢复期后，在自然环境、降水、气候、土壤等因素的制约下，项目区内林草覆盖率为</w:t>
      </w:r>
      <w:r>
        <w:rPr>
          <w:rFonts w:hint="eastAsia" w:cs="Times New Roman"/>
          <w:color w:val="auto"/>
          <w:highlight w:val="none"/>
          <w:lang w:val="en-US" w:eastAsia="zh-CN"/>
        </w:rPr>
        <w:t>37</w:t>
      </w:r>
      <w:r>
        <w:rPr>
          <w:rFonts w:hint="default" w:ascii="Times New Roman" w:hAnsi="Times New Roman" w:eastAsia="仿宋_GB2312" w:cs="Times New Roman"/>
          <w:color w:val="auto"/>
          <w:highlight w:val="none"/>
        </w:rPr>
        <w:t>%。</w:t>
      </w: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br w:type="page"/>
      </w:r>
    </w:p>
    <w:p>
      <w:pPr>
        <w:pStyle w:val="7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表7.2-1效益分析计算表</w:t>
      </w:r>
    </w:p>
    <w:tbl>
      <w:tblPr>
        <w:tblStyle w:val="25"/>
        <w:tblW w:w="5000" w:type="pct"/>
        <w:tblInd w:w="0" w:type="dxa"/>
        <w:tblLayout w:type="autofit"/>
        <w:tblCellMar>
          <w:top w:w="0" w:type="dxa"/>
          <w:left w:w="0" w:type="dxa"/>
          <w:bottom w:w="0" w:type="dxa"/>
          <w:right w:w="0" w:type="dxa"/>
        </w:tblCellMar>
      </w:tblPr>
      <w:tblGrid>
        <w:gridCol w:w="1404"/>
        <w:gridCol w:w="1350"/>
        <w:gridCol w:w="842"/>
        <w:gridCol w:w="1664"/>
        <w:gridCol w:w="1068"/>
        <w:gridCol w:w="841"/>
        <w:gridCol w:w="844"/>
        <w:gridCol w:w="855"/>
      </w:tblGrid>
      <w:tr>
        <w:tblPrEx>
          <w:tblCellMar>
            <w:top w:w="0" w:type="dxa"/>
            <w:left w:w="0" w:type="dxa"/>
            <w:bottom w:w="0" w:type="dxa"/>
            <w:right w:w="0" w:type="dxa"/>
          </w:tblCellMar>
        </w:tblPrEx>
        <w:trPr>
          <w:trHeight w:val="345" w:hRule="atLeast"/>
        </w:trPr>
        <w:tc>
          <w:tcPr>
            <w:tcW w:w="79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项目分区</w:t>
            </w:r>
          </w:p>
        </w:tc>
        <w:tc>
          <w:tcPr>
            <w:tcW w:w="761"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项目建设面积区(</w:t>
            </w:r>
            <w:r>
              <w:rPr>
                <w:rFonts w:hint="eastAsia" w:eastAsia="仿宋_GB2312" w:cs="Times New Roman"/>
                <w:color w:val="auto"/>
                <w:kern w:val="0"/>
                <w:sz w:val="21"/>
                <w:szCs w:val="21"/>
                <w:highlight w:val="none"/>
                <w:lang w:val="en-US" w:eastAsia="zh-CN"/>
              </w:rPr>
              <w:t>h</w:t>
            </w:r>
            <w:r>
              <w:rPr>
                <w:rFonts w:hint="eastAsia" w:eastAsia="仿宋_GB2312" w:cs="Times New Roman"/>
                <w:color w:val="auto"/>
                <w:kern w:val="0"/>
                <w:sz w:val="21"/>
                <w:szCs w:val="21"/>
                <w:highlight w:val="none"/>
                <w:lang w:eastAsia="zh-CN"/>
              </w:rPr>
              <w:t>m²</w:t>
            </w:r>
            <w:r>
              <w:rPr>
                <w:rFonts w:hint="default" w:ascii="Times New Roman" w:hAnsi="Times New Roman" w:eastAsia="仿宋_GB2312" w:cs="Times New Roman"/>
                <w:color w:val="auto"/>
                <w:kern w:val="0"/>
                <w:sz w:val="21"/>
                <w:szCs w:val="21"/>
                <w:highlight w:val="none"/>
              </w:rPr>
              <w:t>)</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扰动地表面积(</w:t>
            </w:r>
            <w:r>
              <w:rPr>
                <w:rFonts w:hint="eastAsia" w:eastAsia="仿宋_GB2312" w:cs="Times New Roman"/>
                <w:color w:val="auto"/>
                <w:kern w:val="0"/>
                <w:sz w:val="21"/>
                <w:szCs w:val="21"/>
                <w:highlight w:val="none"/>
                <w:lang w:val="en-US" w:eastAsia="zh-CN"/>
              </w:rPr>
              <w:t>h</w:t>
            </w:r>
            <w:r>
              <w:rPr>
                <w:rFonts w:hint="eastAsia" w:eastAsia="仿宋_GB2312" w:cs="Times New Roman"/>
                <w:color w:val="auto"/>
                <w:kern w:val="0"/>
                <w:sz w:val="21"/>
                <w:szCs w:val="21"/>
                <w:highlight w:val="none"/>
                <w:lang w:eastAsia="zh-CN"/>
              </w:rPr>
              <w:t>m²</w:t>
            </w:r>
            <w:r>
              <w:rPr>
                <w:rFonts w:hint="default" w:ascii="Times New Roman" w:hAnsi="Times New Roman" w:eastAsia="仿宋_GB2312" w:cs="Times New Roman"/>
                <w:color w:val="auto"/>
                <w:kern w:val="0"/>
                <w:sz w:val="21"/>
                <w:szCs w:val="21"/>
                <w:highlight w:val="none"/>
              </w:rPr>
              <w:t>)</w:t>
            </w:r>
          </w:p>
        </w:tc>
        <w:tc>
          <w:tcPr>
            <w:tcW w:w="2490" w:type="pct"/>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扰动土地治理面积(</w:t>
            </w:r>
            <w:r>
              <w:rPr>
                <w:rFonts w:hint="eastAsia" w:eastAsia="仿宋_GB2312" w:cs="Times New Roman"/>
                <w:color w:val="auto"/>
                <w:kern w:val="0"/>
                <w:sz w:val="21"/>
                <w:szCs w:val="21"/>
                <w:highlight w:val="none"/>
                <w:lang w:val="en-US" w:eastAsia="zh-CN"/>
              </w:rPr>
              <w:t>h</w:t>
            </w:r>
            <w:r>
              <w:rPr>
                <w:rFonts w:hint="eastAsia" w:eastAsia="仿宋_GB2312" w:cs="Times New Roman"/>
                <w:color w:val="auto"/>
                <w:kern w:val="0"/>
                <w:sz w:val="21"/>
                <w:szCs w:val="21"/>
                <w:highlight w:val="none"/>
                <w:lang w:eastAsia="zh-CN"/>
              </w:rPr>
              <w:t>m²</w:t>
            </w:r>
            <w:r>
              <w:rPr>
                <w:rFonts w:hint="default" w:ascii="Times New Roman" w:hAnsi="Times New Roman" w:eastAsia="仿宋_GB2312" w:cs="Times New Roman"/>
                <w:color w:val="auto"/>
                <w:kern w:val="0"/>
                <w:sz w:val="21"/>
                <w:szCs w:val="21"/>
                <w:highlight w:val="none"/>
              </w:rPr>
              <w:t>)</w:t>
            </w:r>
          </w:p>
        </w:tc>
        <w:tc>
          <w:tcPr>
            <w:tcW w:w="480"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可恢复林草植被面积(</w:t>
            </w:r>
            <w:r>
              <w:rPr>
                <w:rFonts w:hint="eastAsia" w:eastAsia="仿宋_GB2312" w:cs="Times New Roman"/>
                <w:color w:val="auto"/>
                <w:kern w:val="0"/>
                <w:sz w:val="21"/>
                <w:szCs w:val="21"/>
                <w:highlight w:val="none"/>
                <w:lang w:val="en-US" w:eastAsia="zh-CN"/>
              </w:rPr>
              <w:t>h</w:t>
            </w:r>
            <w:r>
              <w:rPr>
                <w:rFonts w:hint="eastAsia" w:eastAsia="仿宋_GB2312" w:cs="Times New Roman"/>
                <w:color w:val="auto"/>
                <w:kern w:val="0"/>
                <w:sz w:val="21"/>
                <w:szCs w:val="21"/>
                <w:highlight w:val="none"/>
                <w:lang w:eastAsia="zh-CN"/>
              </w:rPr>
              <w:t>m²</w:t>
            </w:r>
            <w:r>
              <w:rPr>
                <w:rFonts w:hint="default" w:ascii="Times New Roman" w:hAnsi="Times New Roman" w:eastAsia="仿宋_GB2312" w:cs="Times New Roman"/>
                <w:color w:val="auto"/>
                <w:kern w:val="0"/>
                <w:sz w:val="21"/>
                <w:szCs w:val="21"/>
                <w:highlight w:val="none"/>
              </w:rPr>
              <w:t>)</w:t>
            </w:r>
          </w:p>
        </w:tc>
      </w:tr>
      <w:tr>
        <w:tblPrEx>
          <w:tblCellMar>
            <w:top w:w="0" w:type="dxa"/>
            <w:left w:w="0" w:type="dxa"/>
            <w:bottom w:w="0" w:type="dxa"/>
            <w:right w:w="0" w:type="dxa"/>
          </w:tblCellMar>
        </w:tblPrEx>
        <w:trPr>
          <w:trHeight w:val="345" w:hRule="atLeast"/>
        </w:trPr>
        <w:tc>
          <w:tcPr>
            <w:tcW w:w="79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c>
          <w:tcPr>
            <w:tcW w:w="76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c>
          <w:tcPr>
            <w:tcW w:w="93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永久建筑及硬化面积</w:t>
            </w:r>
          </w:p>
        </w:tc>
        <w:tc>
          <w:tcPr>
            <w:tcW w:w="1552" w:type="pct"/>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水土保持措施面积</w:t>
            </w:r>
          </w:p>
        </w:tc>
        <w:tc>
          <w:tcPr>
            <w:tcW w:w="480"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r>
      <w:tr>
        <w:tblPrEx>
          <w:tblCellMar>
            <w:top w:w="0" w:type="dxa"/>
            <w:left w:w="0" w:type="dxa"/>
            <w:bottom w:w="0" w:type="dxa"/>
            <w:right w:w="0" w:type="dxa"/>
          </w:tblCellMar>
        </w:tblPrEx>
        <w:trPr>
          <w:trHeight w:val="409" w:hRule="atLeast"/>
        </w:trPr>
        <w:tc>
          <w:tcPr>
            <w:tcW w:w="79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c>
          <w:tcPr>
            <w:tcW w:w="76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c>
          <w:tcPr>
            <w:tcW w:w="9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工程措施</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植物措施</w:t>
            </w:r>
          </w:p>
        </w:tc>
        <w:tc>
          <w:tcPr>
            <w:tcW w:w="47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小计</w:t>
            </w:r>
          </w:p>
        </w:tc>
        <w:tc>
          <w:tcPr>
            <w:tcW w:w="480"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r>
      <w:tr>
        <w:tblPrEx>
          <w:tblCellMar>
            <w:top w:w="0" w:type="dxa"/>
            <w:left w:w="0" w:type="dxa"/>
            <w:bottom w:w="0" w:type="dxa"/>
            <w:right w:w="0" w:type="dxa"/>
          </w:tblCellMar>
        </w:tblPrEx>
        <w:trPr>
          <w:trHeight w:val="409" w:hRule="atLeast"/>
        </w:trPr>
        <w:tc>
          <w:tcPr>
            <w:tcW w:w="79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c>
          <w:tcPr>
            <w:tcW w:w="761"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c>
          <w:tcPr>
            <w:tcW w:w="9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c>
          <w:tcPr>
            <w:tcW w:w="480"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r>
      <w:tr>
        <w:tblPrEx>
          <w:tblCellMar>
            <w:top w:w="0" w:type="dxa"/>
            <w:left w:w="0" w:type="dxa"/>
            <w:bottom w:w="0" w:type="dxa"/>
            <w:right w:w="0" w:type="dxa"/>
          </w:tblCellMar>
        </w:tblPrEx>
        <w:trPr>
          <w:trHeight w:val="480" w:hRule="atLeast"/>
        </w:trPr>
        <w:tc>
          <w:tcPr>
            <w:tcW w:w="79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建筑物区</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tabs>
                <w:tab w:val="left" w:pos="230"/>
                <w:tab w:val="center" w:pos="722"/>
              </w:tabs>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sz w:val="21"/>
                <w:szCs w:val="21"/>
                <w:highlight w:val="none"/>
                <w:lang w:val="en-US" w:eastAsia="zh-CN"/>
              </w:rPr>
              <w:t>0.25</w:t>
            </w:r>
          </w:p>
        </w:tc>
        <w:tc>
          <w:tcPr>
            <w:tcW w:w="47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 w:val="21"/>
                <w:szCs w:val="21"/>
                <w:highlight w:val="none"/>
                <w:lang w:val="en-US" w:eastAsia="zh-CN"/>
              </w:rPr>
              <w:t>0.25</w:t>
            </w:r>
          </w:p>
        </w:tc>
        <w:tc>
          <w:tcPr>
            <w:tcW w:w="9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lang w:val="en-US"/>
              </w:rPr>
            </w:pPr>
            <w:r>
              <w:rPr>
                <w:rFonts w:hint="eastAsia" w:eastAsia="仿宋_GB2312" w:cs="Times New Roman"/>
                <w:color w:val="auto"/>
                <w:kern w:val="0"/>
                <w:sz w:val="21"/>
                <w:szCs w:val="21"/>
                <w:highlight w:val="none"/>
                <w:lang w:val="en-US" w:eastAsia="zh-CN"/>
              </w:rPr>
              <w:t>0.08</w:t>
            </w:r>
          </w:p>
        </w:tc>
        <w:tc>
          <w:tcPr>
            <w:tcW w:w="60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tabs>
                <w:tab w:val="left" w:pos="397"/>
                <w:tab w:val="center" w:pos="582"/>
              </w:tabs>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w:t>
            </w:r>
          </w:p>
        </w:tc>
        <w:tc>
          <w:tcPr>
            <w:tcW w:w="47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kern w:val="0"/>
                <w:sz w:val="21"/>
                <w:szCs w:val="21"/>
                <w:highlight w:val="none"/>
                <w:lang w:val="en-US" w:eastAsia="zh-CN"/>
              </w:rPr>
              <w:t>0.17</w:t>
            </w:r>
          </w:p>
        </w:tc>
        <w:tc>
          <w:tcPr>
            <w:tcW w:w="4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kern w:val="0"/>
                <w:sz w:val="21"/>
                <w:szCs w:val="21"/>
                <w:highlight w:val="none"/>
                <w:lang w:val="en-US" w:eastAsia="zh-CN"/>
              </w:rPr>
              <w:t>0.17</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sz w:val="21"/>
                <w:szCs w:val="21"/>
                <w:highlight w:val="none"/>
                <w:lang w:val="en-US" w:eastAsia="zh-CN"/>
              </w:rPr>
              <w:t>0.17</w:t>
            </w:r>
          </w:p>
        </w:tc>
      </w:tr>
      <w:tr>
        <w:tblPrEx>
          <w:tblCellMar>
            <w:top w:w="0" w:type="dxa"/>
            <w:left w:w="0" w:type="dxa"/>
            <w:bottom w:w="0" w:type="dxa"/>
            <w:right w:w="0" w:type="dxa"/>
          </w:tblCellMar>
        </w:tblPrEx>
        <w:trPr>
          <w:trHeight w:val="480" w:hRule="atLeast"/>
        </w:trPr>
        <w:tc>
          <w:tcPr>
            <w:tcW w:w="79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eastAsia" w:eastAsia="仿宋_GB2312" w:cs="Times New Roman"/>
                <w:color w:val="auto"/>
                <w:kern w:val="0"/>
                <w:sz w:val="21"/>
                <w:szCs w:val="21"/>
                <w:highlight w:val="none"/>
                <w:lang w:eastAsia="zh-CN"/>
              </w:rPr>
              <w:t>道路及</w:t>
            </w:r>
            <w:r>
              <w:rPr>
                <w:rFonts w:hint="default" w:ascii="Times New Roman" w:hAnsi="Times New Roman" w:eastAsia="仿宋_GB2312" w:cs="Times New Roman"/>
                <w:color w:val="auto"/>
                <w:kern w:val="0"/>
                <w:sz w:val="21"/>
                <w:szCs w:val="21"/>
                <w:highlight w:val="none"/>
              </w:rPr>
              <w:t>硬化区</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sz w:val="21"/>
                <w:szCs w:val="21"/>
                <w:highlight w:val="none"/>
                <w:lang w:val="en-US" w:eastAsia="zh-CN"/>
              </w:rPr>
              <w:t>0.20</w:t>
            </w:r>
          </w:p>
        </w:tc>
        <w:tc>
          <w:tcPr>
            <w:tcW w:w="47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 w:val="21"/>
                <w:szCs w:val="21"/>
                <w:highlight w:val="none"/>
                <w:lang w:val="en-US" w:eastAsia="zh-CN"/>
              </w:rPr>
              <w:t>0.20</w:t>
            </w:r>
          </w:p>
        </w:tc>
        <w:tc>
          <w:tcPr>
            <w:tcW w:w="9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kern w:val="0"/>
                <w:sz w:val="21"/>
                <w:szCs w:val="21"/>
                <w:highlight w:val="none"/>
                <w:lang w:val="en-US" w:eastAsia="zh-CN"/>
              </w:rPr>
              <w:t>0.20</w:t>
            </w:r>
          </w:p>
        </w:tc>
        <w:tc>
          <w:tcPr>
            <w:tcW w:w="60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w:t>
            </w:r>
          </w:p>
        </w:tc>
        <w:tc>
          <w:tcPr>
            <w:tcW w:w="47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w:t>
            </w:r>
          </w:p>
        </w:tc>
        <w:tc>
          <w:tcPr>
            <w:tcW w:w="4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w:t>
            </w:r>
          </w:p>
        </w:tc>
      </w:tr>
      <w:tr>
        <w:tblPrEx>
          <w:tblCellMar>
            <w:top w:w="0" w:type="dxa"/>
            <w:left w:w="0" w:type="dxa"/>
            <w:bottom w:w="0" w:type="dxa"/>
            <w:right w:w="0" w:type="dxa"/>
          </w:tblCellMar>
        </w:tblPrEx>
        <w:trPr>
          <w:trHeight w:val="480" w:hRule="atLeast"/>
        </w:trPr>
        <w:tc>
          <w:tcPr>
            <w:tcW w:w="79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合计</w:t>
            </w:r>
          </w:p>
        </w:tc>
        <w:tc>
          <w:tcPr>
            <w:tcW w:w="76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sz w:val="21"/>
                <w:szCs w:val="21"/>
                <w:highlight w:val="none"/>
                <w:lang w:val="en-US" w:eastAsia="zh-CN"/>
              </w:rPr>
              <w:t>0.45</w:t>
            </w:r>
          </w:p>
        </w:tc>
        <w:tc>
          <w:tcPr>
            <w:tcW w:w="47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 w:val="21"/>
                <w:szCs w:val="21"/>
                <w:highlight w:val="none"/>
                <w:lang w:val="en-US" w:eastAsia="zh-CN"/>
              </w:rPr>
              <w:t>0.45</w:t>
            </w:r>
          </w:p>
        </w:tc>
        <w:tc>
          <w:tcPr>
            <w:tcW w:w="938"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eastAsia" w:eastAsia="仿宋_GB2312" w:cs="Times New Roman"/>
                <w:color w:val="auto"/>
                <w:kern w:val="0"/>
                <w:sz w:val="21"/>
                <w:szCs w:val="21"/>
                <w:highlight w:val="none"/>
                <w:lang w:val="en-US" w:eastAsia="zh-CN"/>
              </w:rPr>
              <w:t>0.28</w:t>
            </w:r>
          </w:p>
        </w:tc>
        <w:tc>
          <w:tcPr>
            <w:tcW w:w="60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kern w:val="0"/>
                <w:sz w:val="21"/>
                <w:szCs w:val="21"/>
                <w:highlight w:val="none"/>
                <w:lang w:val="en-US" w:eastAsia="zh-CN"/>
              </w:rPr>
              <w:t>/</w:t>
            </w:r>
          </w:p>
        </w:tc>
        <w:tc>
          <w:tcPr>
            <w:tcW w:w="47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0.17</w:t>
            </w:r>
          </w:p>
        </w:tc>
        <w:tc>
          <w:tcPr>
            <w:tcW w:w="4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0.17</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lang w:val="en-US"/>
              </w:rPr>
            </w:pPr>
            <w:r>
              <w:rPr>
                <w:rFonts w:hint="eastAsia" w:eastAsia="仿宋_GB2312" w:cs="Times New Roman"/>
                <w:color w:val="auto"/>
                <w:kern w:val="0"/>
                <w:sz w:val="21"/>
                <w:szCs w:val="21"/>
                <w:highlight w:val="none"/>
                <w:lang w:val="en-US" w:eastAsia="zh-CN"/>
              </w:rPr>
              <w:t>0.17</w:t>
            </w:r>
          </w:p>
        </w:tc>
      </w:tr>
      <w:tr>
        <w:tblPrEx>
          <w:tblCellMar>
            <w:top w:w="0" w:type="dxa"/>
            <w:left w:w="0" w:type="dxa"/>
            <w:bottom w:w="0" w:type="dxa"/>
            <w:right w:w="0" w:type="dxa"/>
          </w:tblCellMar>
        </w:tblPrEx>
        <w:trPr>
          <w:trHeight w:val="60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备注：植物措施与工程措施占地重复的只计列植物措施面积，工程措施与硬化面积重复的只计列硬化面积</w:t>
            </w:r>
          </w:p>
        </w:tc>
      </w:tr>
      <w:tr>
        <w:tblPrEx>
          <w:tblCellMar>
            <w:top w:w="0" w:type="dxa"/>
            <w:left w:w="0" w:type="dxa"/>
            <w:bottom w:w="0" w:type="dxa"/>
            <w:right w:w="0" w:type="dxa"/>
          </w:tblCellMar>
        </w:tblPrEx>
        <w:trPr>
          <w:trHeight w:val="480" w:hRule="atLeast"/>
        </w:trPr>
        <w:tc>
          <w:tcPr>
            <w:tcW w:w="2028" w:type="pct"/>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计算公式</w:t>
            </w:r>
          </w:p>
        </w:tc>
        <w:tc>
          <w:tcPr>
            <w:tcW w:w="1540"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rPr>
                <w:rFonts w:hint="default" w:ascii="Times New Roman" w:hAnsi="Times New Roman" w:eastAsia="仿宋_GB2312" w:cs="Times New Roman"/>
                <w:color w:val="auto"/>
                <w:sz w:val="21"/>
                <w:szCs w:val="21"/>
                <w:highlight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目标值</w:t>
            </w:r>
          </w:p>
        </w:tc>
        <w:tc>
          <w:tcPr>
            <w:tcW w:w="4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计算值</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结果</w:t>
            </w:r>
          </w:p>
        </w:tc>
      </w:tr>
      <w:tr>
        <w:tblPrEx>
          <w:tblCellMar>
            <w:top w:w="0" w:type="dxa"/>
            <w:left w:w="0" w:type="dxa"/>
            <w:bottom w:w="0" w:type="dxa"/>
            <w:right w:w="0" w:type="dxa"/>
          </w:tblCellMar>
        </w:tblPrEx>
        <w:trPr>
          <w:trHeight w:val="840" w:hRule="atLeast"/>
        </w:trPr>
        <w:tc>
          <w:tcPr>
            <w:tcW w:w="2028" w:type="pct"/>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水土流失总治理度(%)：(水土保持措施面积+硬化面积+建筑物占地面积)/(永久占地+临时占地)×100%</w:t>
            </w:r>
          </w:p>
        </w:tc>
        <w:tc>
          <w:tcPr>
            <w:tcW w:w="1540"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w:t>
            </w:r>
            <w:r>
              <w:rPr>
                <w:rFonts w:hint="eastAsia" w:eastAsia="仿宋_GB2312" w:cs="Times New Roman"/>
                <w:color w:val="auto"/>
                <w:kern w:val="0"/>
                <w:sz w:val="21"/>
                <w:szCs w:val="21"/>
                <w:highlight w:val="none"/>
                <w:lang w:val="en-US" w:eastAsia="zh-CN"/>
              </w:rPr>
              <w:t>0.17</w:t>
            </w:r>
            <w:r>
              <w:rPr>
                <w:rFonts w:hint="default" w:ascii="Times New Roman" w:hAnsi="Times New Roman" w:eastAsia="仿宋_GB2312" w:cs="Times New Roman"/>
                <w:color w:val="auto"/>
                <w:kern w:val="0"/>
                <w:sz w:val="21"/>
                <w:szCs w:val="21"/>
                <w:highlight w:val="none"/>
              </w:rPr>
              <w:t>+</w:t>
            </w:r>
            <w:r>
              <w:rPr>
                <w:rFonts w:hint="eastAsia" w:eastAsia="仿宋_GB2312" w:cs="Times New Roman"/>
                <w:color w:val="auto"/>
                <w:kern w:val="0"/>
                <w:sz w:val="21"/>
                <w:szCs w:val="21"/>
                <w:highlight w:val="none"/>
                <w:lang w:val="en-US" w:eastAsia="zh-CN"/>
              </w:rPr>
              <w:t>0.28</w:t>
            </w:r>
            <w:r>
              <w:rPr>
                <w:rFonts w:hint="default" w:ascii="Times New Roman" w:hAnsi="Times New Roman" w:eastAsia="仿宋_GB2312" w:cs="Times New Roman"/>
                <w:color w:val="auto"/>
                <w:kern w:val="0"/>
                <w:sz w:val="21"/>
                <w:szCs w:val="21"/>
                <w:highlight w:val="none"/>
              </w:rPr>
              <w:t>)/</w:t>
            </w:r>
            <w:r>
              <w:rPr>
                <w:rFonts w:hint="eastAsia" w:eastAsia="仿宋_GB2312" w:cs="Times New Roman"/>
                <w:color w:val="auto"/>
                <w:kern w:val="0"/>
                <w:sz w:val="21"/>
                <w:szCs w:val="21"/>
                <w:highlight w:val="none"/>
                <w:lang w:val="en-US" w:eastAsia="zh-CN"/>
              </w:rPr>
              <w:t>0.45</w:t>
            </w:r>
            <w:r>
              <w:rPr>
                <w:rFonts w:hint="default" w:ascii="Times New Roman" w:hAnsi="Times New Roman" w:eastAsia="仿宋_GB2312" w:cs="Times New Roman"/>
                <w:color w:val="auto"/>
                <w:kern w:val="0"/>
                <w:sz w:val="21"/>
                <w:szCs w:val="21"/>
                <w:highlight w:val="none"/>
              </w:rPr>
              <w:t>×100%</w:t>
            </w:r>
          </w:p>
        </w:tc>
        <w:tc>
          <w:tcPr>
            <w:tcW w:w="47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85</w:t>
            </w:r>
          </w:p>
        </w:tc>
        <w:tc>
          <w:tcPr>
            <w:tcW w:w="4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eastAsia" w:eastAsia="仿宋_GB2312" w:cs="Times New Roman"/>
                <w:color w:val="auto"/>
                <w:kern w:val="0"/>
                <w:sz w:val="21"/>
                <w:szCs w:val="21"/>
                <w:highlight w:val="none"/>
                <w:lang w:val="en-US" w:eastAsia="zh-CN"/>
              </w:rPr>
              <w:t>99.99</w:t>
            </w:r>
            <w:r>
              <w:rPr>
                <w:rFonts w:hint="default" w:ascii="Times New Roman" w:hAnsi="Times New Roman" w:eastAsia="仿宋_GB2312" w:cs="Times New Roman"/>
                <w:color w:val="auto"/>
                <w:kern w:val="0"/>
                <w:sz w:val="21"/>
                <w:szCs w:val="21"/>
                <w:highlight w:val="none"/>
              </w:rPr>
              <w:t>%</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达标</w:t>
            </w:r>
          </w:p>
        </w:tc>
      </w:tr>
      <w:tr>
        <w:tblPrEx>
          <w:tblCellMar>
            <w:top w:w="0" w:type="dxa"/>
            <w:left w:w="0" w:type="dxa"/>
            <w:bottom w:w="0" w:type="dxa"/>
            <w:right w:w="0" w:type="dxa"/>
          </w:tblCellMar>
        </w:tblPrEx>
        <w:trPr>
          <w:trHeight w:val="840" w:hRule="atLeast"/>
        </w:trPr>
        <w:tc>
          <w:tcPr>
            <w:tcW w:w="2028" w:type="pct"/>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土壤流失控制比：项目区容许土壤流失量/方案实施后土壤侵蚀强度</w:t>
            </w:r>
          </w:p>
        </w:tc>
        <w:tc>
          <w:tcPr>
            <w:tcW w:w="1540"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1</w:t>
            </w:r>
            <w:r>
              <w:rPr>
                <w:rFonts w:hint="eastAsia" w:eastAsia="仿宋_GB2312" w:cs="Times New Roman"/>
                <w:color w:val="auto"/>
                <w:kern w:val="0"/>
                <w:sz w:val="21"/>
                <w:szCs w:val="21"/>
                <w:highlight w:val="none"/>
                <w:lang w:val="en-US" w:eastAsia="zh-CN"/>
              </w:rPr>
              <w:t>000</w:t>
            </w:r>
            <w:r>
              <w:rPr>
                <w:rFonts w:hint="default" w:ascii="Times New Roman" w:hAnsi="Times New Roman" w:eastAsia="仿宋_GB2312" w:cs="Times New Roman"/>
                <w:color w:val="auto"/>
                <w:kern w:val="0"/>
                <w:sz w:val="21"/>
                <w:szCs w:val="21"/>
                <w:highlight w:val="none"/>
              </w:rPr>
              <w:t>/1</w:t>
            </w:r>
            <w:r>
              <w:rPr>
                <w:rFonts w:hint="eastAsia" w:eastAsia="仿宋_GB2312" w:cs="Times New Roman"/>
                <w:color w:val="auto"/>
                <w:kern w:val="0"/>
                <w:sz w:val="21"/>
                <w:szCs w:val="21"/>
                <w:highlight w:val="none"/>
                <w:lang w:val="en-US" w:eastAsia="zh-CN"/>
              </w:rPr>
              <w:t>0</w:t>
            </w:r>
            <w:r>
              <w:rPr>
                <w:rFonts w:hint="default" w:ascii="Times New Roman" w:hAnsi="Times New Roman" w:eastAsia="仿宋_GB2312" w:cs="Times New Roman"/>
                <w:color w:val="auto"/>
                <w:kern w:val="0"/>
                <w:sz w:val="21"/>
                <w:szCs w:val="21"/>
                <w:highlight w:val="none"/>
              </w:rPr>
              <w:t>00</w:t>
            </w:r>
          </w:p>
        </w:tc>
        <w:tc>
          <w:tcPr>
            <w:tcW w:w="47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1</w:t>
            </w:r>
          </w:p>
        </w:tc>
        <w:tc>
          <w:tcPr>
            <w:tcW w:w="4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1</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达标</w:t>
            </w:r>
          </w:p>
        </w:tc>
      </w:tr>
      <w:tr>
        <w:tblPrEx>
          <w:tblCellMar>
            <w:top w:w="0" w:type="dxa"/>
            <w:left w:w="0" w:type="dxa"/>
            <w:bottom w:w="0" w:type="dxa"/>
            <w:right w:w="0" w:type="dxa"/>
          </w:tblCellMar>
        </w:tblPrEx>
        <w:trPr>
          <w:trHeight w:val="840" w:hRule="atLeast"/>
        </w:trPr>
        <w:tc>
          <w:tcPr>
            <w:tcW w:w="2028" w:type="pct"/>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渣土防护率：采取措施实际挡护的永久弃渣、临时堆土数量/永久弃渣、临时堆土总量</w:t>
            </w:r>
          </w:p>
        </w:tc>
        <w:tc>
          <w:tcPr>
            <w:tcW w:w="1540"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eastAsia" w:eastAsia="仿宋_GB2312" w:cs="Times New Roman"/>
                <w:color w:val="auto"/>
                <w:kern w:val="0"/>
                <w:sz w:val="21"/>
                <w:szCs w:val="21"/>
                <w:highlight w:val="none"/>
                <w:lang w:val="en-US" w:eastAsia="zh-CN"/>
              </w:rPr>
              <w:t>0.09</w:t>
            </w:r>
            <w:r>
              <w:rPr>
                <w:rFonts w:hint="default" w:ascii="Times New Roman" w:hAnsi="Times New Roman" w:eastAsia="仿宋_GB2312" w:cs="Times New Roman"/>
                <w:color w:val="auto"/>
                <w:kern w:val="0"/>
                <w:sz w:val="21"/>
                <w:szCs w:val="21"/>
                <w:highlight w:val="none"/>
              </w:rPr>
              <w:t>/</w:t>
            </w:r>
            <w:r>
              <w:rPr>
                <w:rFonts w:hint="eastAsia" w:eastAsia="仿宋_GB2312" w:cs="Times New Roman"/>
                <w:color w:val="auto"/>
                <w:kern w:val="0"/>
                <w:sz w:val="21"/>
                <w:szCs w:val="21"/>
                <w:highlight w:val="none"/>
                <w:lang w:val="en-US" w:eastAsia="zh-CN"/>
              </w:rPr>
              <w:t>0.10</w:t>
            </w:r>
            <w:r>
              <w:rPr>
                <w:rFonts w:hint="default" w:ascii="Times New Roman" w:hAnsi="Times New Roman" w:eastAsia="仿宋_GB2312" w:cs="Times New Roman"/>
                <w:color w:val="auto"/>
                <w:kern w:val="0"/>
                <w:sz w:val="21"/>
                <w:szCs w:val="21"/>
                <w:highlight w:val="none"/>
              </w:rPr>
              <w:t>×100%</w:t>
            </w:r>
          </w:p>
        </w:tc>
        <w:tc>
          <w:tcPr>
            <w:tcW w:w="47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kern w:val="0"/>
                <w:sz w:val="21"/>
                <w:szCs w:val="21"/>
                <w:highlight w:val="none"/>
                <w:lang w:val="en-US" w:eastAsia="zh-CN"/>
              </w:rPr>
              <w:t>89</w:t>
            </w:r>
          </w:p>
        </w:tc>
        <w:tc>
          <w:tcPr>
            <w:tcW w:w="4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eastAsia" w:eastAsia="仿宋_GB2312" w:cs="Times New Roman"/>
                <w:color w:val="auto"/>
                <w:kern w:val="0"/>
                <w:sz w:val="21"/>
                <w:szCs w:val="21"/>
                <w:highlight w:val="none"/>
                <w:lang w:val="en-US" w:eastAsia="zh-CN"/>
              </w:rPr>
              <w:t>90.1</w:t>
            </w:r>
            <w:r>
              <w:rPr>
                <w:rFonts w:hint="default" w:ascii="Times New Roman" w:hAnsi="Times New Roman" w:eastAsia="仿宋_GB2312" w:cs="Times New Roman"/>
                <w:color w:val="auto"/>
                <w:kern w:val="0"/>
                <w:sz w:val="21"/>
                <w:szCs w:val="21"/>
                <w:highlight w:val="none"/>
              </w:rPr>
              <w:t>%</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达标</w:t>
            </w:r>
          </w:p>
        </w:tc>
      </w:tr>
      <w:tr>
        <w:tblPrEx>
          <w:tblCellMar>
            <w:top w:w="0" w:type="dxa"/>
            <w:left w:w="0" w:type="dxa"/>
            <w:bottom w:w="0" w:type="dxa"/>
            <w:right w:w="0" w:type="dxa"/>
          </w:tblCellMar>
        </w:tblPrEx>
        <w:trPr>
          <w:trHeight w:val="840" w:hRule="atLeast"/>
        </w:trPr>
        <w:tc>
          <w:tcPr>
            <w:tcW w:w="2028" w:type="pct"/>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表土保护率：保护的表土数量/可剥离表土总量×100％</w:t>
            </w:r>
          </w:p>
        </w:tc>
        <w:tc>
          <w:tcPr>
            <w:tcW w:w="1540"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w:t>
            </w:r>
          </w:p>
        </w:tc>
        <w:tc>
          <w:tcPr>
            <w:tcW w:w="47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w:t>
            </w:r>
          </w:p>
        </w:tc>
        <w:tc>
          <w:tcPr>
            <w:tcW w:w="4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rPr>
            </w:pPr>
            <w:r>
              <w:rPr>
                <w:rFonts w:hint="default" w:ascii="Times New Roman" w:hAnsi="Times New Roman" w:eastAsia="仿宋_GB2312" w:cs="Times New Roman"/>
                <w:color w:val="auto"/>
                <w:kern w:val="0"/>
                <w:sz w:val="21"/>
                <w:szCs w:val="21"/>
                <w:highlight w:val="none"/>
              </w:rPr>
              <w:t>不做</w:t>
            </w:r>
          </w:p>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要求</w:t>
            </w:r>
          </w:p>
        </w:tc>
      </w:tr>
      <w:tr>
        <w:tblPrEx>
          <w:tblCellMar>
            <w:top w:w="0" w:type="dxa"/>
            <w:left w:w="0" w:type="dxa"/>
            <w:bottom w:w="0" w:type="dxa"/>
            <w:right w:w="0" w:type="dxa"/>
          </w:tblCellMar>
        </w:tblPrEx>
        <w:trPr>
          <w:trHeight w:val="840" w:hRule="atLeast"/>
        </w:trPr>
        <w:tc>
          <w:tcPr>
            <w:tcW w:w="2028" w:type="pct"/>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林草植被恢复率：(植物措施面积/可绿化面积)×100%</w:t>
            </w:r>
          </w:p>
        </w:tc>
        <w:tc>
          <w:tcPr>
            <w:tcW w:w="1540"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kern w:val="0"/>
                <w:sz w:val="21"/>
                <w:szCs w:val="21"/>
                <w:highlight w:val="none"/>
                <w:lang w:val="en-US" w:eastAsia="zh-CN"/>
              </w:rPr>
              <w:t>0.17</w:t>
            </w:r>
            <w:r>
              <w:rPr>
                <w:rFonts w:hint="default" w:ascii="Times New Roman" w:hAnsi="Times New Roman" w:eastAsia="仿宋_GB2312" w:cs="Times New Roman"/>
                <w:color w:val="auto"/>
                <w:kern w:val="0"/>
                <w:sz w:val="21"/>
                <w:szCs w:val="21"/>
                <w:highlight w:val="none"/>
              </w:rPr>
              <w:t>/</w:t>
            </w:r>
            <w:r>
              <w:rPr>
                <w:rFonts w:hint="eastAsia" w:eastAsia="仿宋_GB2312" w:cs="Times New Roman"/>
                <w:color w:val="auto"/>
                <w:kern w:val="0"/>
                <w:sz w:val="21"/>
                <w:szCs w:val="21"/>
                <w:highlight w:val="none"/>
                <w:lang w:val="en-US" w:eastAsia="zh-CN"/>
              </w:rPr>
              <w:t>0.17</w:t>
            </w:r>
          </w:p>
        </w:tc>
        <w:tc>
          <w:tcPr>
            <w:tcW w:w="47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93</w:t>
            </w:r>
          </w:p>
        </w:tc>
        <w:tc>
          <w:tcPr>
            <w:tcW w:w="4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eastAsia" w:ascii="Times New Roman" w:hAnsi="Times New Roman" w:eastAsia="仿宋_GB2312" w:cs="Times New Roman"/>
                <w:color w:val="auto"/>
                <w:sz w:val="21"/>
                <w:szCs w:val="21"/>
                <w:highlight w:val="none"/>
                <w:lang w:eastAsia="zh-CN"/>
              </w:rPr>
            </w:pPr>
            <w:r>
              <w:rPr>
                <w:rFonts w:hint="eastAsia" w:eastAsia="仿宋_GB2312" w:cs="Times New Roman"/>
                <w:color w:val="auto"/>
                <w:kern w:val="0"/>
                <w:sz w:val="21"/>
                <w:szCs w:val="21"/>
                <w:highlight w:val="none"/>
                <w:lang w:val="en-US" w:eastAsia="zh-CN"/>
              </w:rPr>
              <w:t>98.3</w:t>
            </w:r>
            <w:r>
              <w:rPr>
                <w:rFonts w:hint="eastAsia" w:eastAsia="仿宋_GB2312" w:cs="Times New Roman"/>
                <w:color w:val="auto"/>
                <w:kern w:val="0"/>
                <w:sz w:val="21"/>
                <w:szCs w:val="21"/>
                <w:highlight w:val="none"/>
                <w:lang w:eastAsia="zh-CN"/>
              </w:rPr>
              <w:t>%</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达标</w:t>
            </w:r>
          </w:p>
        </w:tc>
      </w:tr>
      <w:tr>
        <w:tblPrEx>
          <w:tblCellMar>
            <w:top w:w="0" w:type="dxa"/>
            <w:left w:w="0" w:type="dxa"/>
            <w:bottom w:w="0" w:type="dxa"/>
            <w:right w:w="0" w:type="dxa"/>
          </w:tblCellMar>
        </w:tblPrEx>
        <w:trPr>
          <w:trHeight w:val="840" w:hRule="atLeast"/>
        </w:trPr>
        <w:tc>
          <w:tcPr>
            <w:tcW w:w="2028" w:type="pct"/>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林草覆盖率：(林草总面积/项目建设区总面积)×100%</w:t>
            </w:r>
          </w:p>
        </w:tc>
        <w:tc>
          <w:tcPr>
            <w:tcW w:w="1540"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kern w:val="0"/>
                <w:sz w:val="21"/>
                <w:szCs w:val="21"/>
                <w:highlight w:val="none"/>
                <w:lang w:val="en-US" w:eastAsia="zh-CN"/>
              </w:rPr>
              <w:t>0.17</w:t>
            </w:r>
            <w:r>
              <w:rPr>
                <w:rFonts w:hint="default" w:ascii="Times New Roman" w:hAnsi="Times New Roman" w:eastAsia="仿宋_GB2312" w:cs="Times New Roman"/>
                <w:color w:val="auto"/>
                <w:kern w:val="0"/>
                <w:sz w:val="21"/>
                <w:szCs w:val="21"/>
                <w:highlight w:val="none"/>
              </w:rPr>
              <w:t>/</w:t>
            </w:r>
            <w:r>
              <w:rPr>
                <w:rFonts w:hint="eastAsia" w:eastAsia="仿宋_GB2312" w:cs="Times New Roman"/>
                <w:color w:val="auto"/>
                <w:kern w:val="0"/>
                <w:sz w:val="21"/>
                <w:szCs w:val="21"/>
                <w:highlight w:val="none"/>
                <w:lang w:val="en-US" w:eastAsia="zh-CN"/>
              </w:rPr>
              <w:t>0.45</w:t>
            </w:r>
          </w:p>
        </w:tc>
        <w:tc>
          <w:tcPr>
            <w:tcW w:w="47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20</w:t>
            </w:r>
          </w:p>
        </w:tc>
        <w:tc>
          <w:tcPr>
            <w:tcW w:w="47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eastAsia" w:eastAsia="仿宋_GB2312" w:cs="Times New Roman"/>
                <w:color w:val="auto"/>
                <w:kern w:val="0"/>
                <w:sz w:val="21"/>
                <w:szCs w:val="21"/>
                <w:highlight w:val="none"/>
                <w:lang w:val="en-US" w:eastAsia="zh-CN"/>
              </w:rPr>
              <w:t>37</w:t>
            </w:r>
            <w:r>
              <w:rPr>
                <w:rFonts w:hint="default" w:ascii="Times New Roman" w:hAnsi="Times New Roman" w:eastAsia="仿宋_GB2312" w:cs="Times New Roman"/>
                <w:color w:val="auto"/>
                <w:kern w:val="0"/>
                <w:sz w:val="21"/>
                <w:szCs w:val="21"/>
                <w:highlight w:val="none"/>
              </w:rPr>
              <w:t>%</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kern w:val="0"/>
                <w:sz w:val="21"/>
                <w:szCs w:val="21"/>
                <w:highlight w:val="none"/>
              </w:rPr>
              <w:t>达标</w:t>
            </w:r>
          </w:p>
        </w:tc>
      </w:tr>
    </w:tbl>
    <w:p>
      <w:pPr>
        <w:pStyle w:val="6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7.2.4 综合效益分析</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本水土保持方案对水土保持综合治理措施的计算与评价的方法是：在实地调查的基础上采用中华人民共和国国家标准《生产建设项目水土保持技术标准》(GB 50433-2018)进行分析计算。</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（1）水土保持效益</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通过主体设计的水土保持措施及方案新增水土保持措得到落实后，工程建设区内水土流失可以得到基本治理，其中水土流失治理度达到</w:t>
      </w:r>
      <w:r>
        <w:rPr>
          <w:rFonts w:hint="eastAsia" w:cs="Times New Roman"/>
          <w:color w:val="auto"/>
          <w:highlight w:val="none"/>
          <w:lang w:val="en-US" w:eastAsia="zh-CN"/>
        </w:rPr>
        <w:t>99.99</w:t>
      </w:r>
      <w:r>
        <w:rPr>
          <w:rFonts w:hint="default" w:ascii="Times New Roman" w:hAnsi="Times New Roman" w:eastAsia="仿宋_GB2312" w:cs="Times New Roman"/>
          <w:color w:val="auto"/>
          <w:highlight w:val="none"/>
        </w:rPr>
        <w:t>%，土壤流失控制比达到1.0，渣土防护率达到</w:t>
      </w:r>
      <w:r>
        <w:rPr>
          <w:rFonts w:hint="eastAsia" w:cs="Times New Roman"/>
          <w:color w:val="auto"/>
          <w:highlight w:val="none"/>
          <w:lang w:val="en-US" w:eastAsia="zh-CN"/>
        </w:rPr>
        <w:t>90.1</w:t>
      </w:r>
      <w:r>
        <w:rPr>
          <w:rFonts w:hint="default" w:ascii="Times New Roman" w:hAnsi="Times New Roman" w:eastAsia="仿宋_GB2312" w:cs="Times New Roman"/>
          <w:color w:val="auto"/>
          <w:highlight w:val="none"/>
        </w:rPr>
        <w:t>%，林草植被恢复率达到</w:t>
      </w:r>
      <w:r>
        <w:rPr>
          <w:rFonts w:hint="eastAsia" w:cs="Times New Roman"/>
          <w:color w:val="auto"/>
          <w:highlight w:val="none"/>
          <w:lang w:val="en-US" w:eastAsia="zh-CN"/>
        </w:rPr>
        <w:t>98.3</w:t>
      </w:r>
      <w:r>
        <w:rPr>
          <w:rFonts w:hint="eastAsia" w:cs="Times New Roman"/>
          <w:color w:val="auto"/>
          <w:highlight w:val="none"/>
          <w:lang w:eastAsia="zh-CN"/>
        </w:rPr>
        <w:t>%</w:t>
      </w:r>
      <w:r>
        <w:rPr>
          <w:rFonts w:hint="default" w:ascii="Times New Roman" w:hAnsi="Times New Roman" w:eastAsia="仿宋_GB2312" w:cs="Times New Roman"/>
          <w:color w:val="auto"/>
          <w:highlight w:val="none"/>
        </w:rPr>
        <w:t>，林草覆盖率达到</w:t>
      </w:r>
      <w:r>
        <w:rPr>
          <w:rFonts w:hint="eastAsia" w:cs="Times New Roman"/>
          <w:color w:val="auto"/>
          <w:highlight w:val="none"/>
          <w:lang w:val="en-US" w:eastAsia="zh-CN"/>
        </w:rPr>
        <w:t>37</w:t>
      </w:r>
      <w:r>
        <w:rPr>
          <w:rFonts w:hint="default" w:ascii="Times New Roman" w:hAnsi="Times New Roman" w:eastAsia="仿宋_GB2312" w:cs="Times New Roman"/>
          <w:color w:val="auto"/>
          <w:highlight w:val="none"/>
        </w:rPr>
        <w:t>%。除表土保护率不做要求外，其余各项指标均达到目标值。项目建设造成的新增水土流失得到有效控制，水土流失得到治理。</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（2）生态效益</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经预测分析表明，水土保持措施实施后，防治责任范围内易发生水土流失的区域得到治理，原有水土流失程度得到有效控制，因工程建设而产生的弃渣也将得到有效防护，减轻</w:t>
      </w:r>
      <w:r>
        <w:rPr>
          <w:rFonts w:hint="eastAsia" w:cs="Times New Roman"/>
          <w:color w:val="auto"/>
          <w:highlight w:val="none"/>
          <w:lang w:eastAsia="zh-CN"/>
        </w:rPr>
        <w:t>了</w:t>
      </w:r>
      <w:r>
        <w:rPr>
          <w:rFonts w:hint="default" w:ascii="Times New Roman" w:hAnsi="Times New Roman" w:eastAsia="仿宋_GB2312" w:cs="Times New Roman"/>
          <w:color w:val="auto"/>
          <w:highlight w:val="none"/>
        </w:rPr>
        <w:t>因工程建设等人为活动对自然环境的破坏。</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（3）社会效益</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随着本项目水土保持措施的全方位实施，不仅使项目区内的水土流失得到有效控制，项目区生态环境得到改善，而且提高</w:t>
      </w:r>
      <w:r>
        <w:rPr>
          <w:rFonts w:hint="eastAsia" w:cs="Times New Roman"/>
          <w:color w:val="auto"/>
          <w:highlight w:val="none"/>
          <w:lang w:eastAsia="zh-CN"/>
        </w:rPr>
        <w:t>了</w:t>
      </w:r>
      <w:r>
        <w:rPr>
          <w:rFonts w:hint="default" w:ascii="Times New Roman" w:hAnsi="Times New Roman" w:eastAsia="仿宋_GB2312" w:cs="Times New Roman"/>
          <w:color w:val="auto"/>
          <w:highlight w:val="none"/>
        </w:rPr>
        <w:t>环境容量，促进实施区经济的可持续发展。</w:t>
      </w:r>
    </w:p>
    <w:p>
      <w:pPr>
        <w:pStyle w:val="55"/>
        <w:ind w:firstLine="480"/>
        <w:rPr>
          <w:rFonts w:hint="default" w:ascii="Times New Roman" w:hAnsi="Times New Roman" w:eastAsia="仿宋_GB2312" w:cs="Times New Roman"/>
          <w:color w:val="auto"/>
          <w:highlight w:val="none"/>
        </w:rPr>
      </w:pPr>
    </w:p>
    <w:p>
      <w:pPr>
        <w:pStyle w:val="55"/>
        <w:ind w:firstLine="480"/>
        <w:rPr>
          <w:rFonts w:hint="default" w:ascii="Times New Roman" w:hAnsi="Times New Roman" w:eastAsia="仿宋_GB2312" w:cs="Times New Roman"/>
          <w:bCs/>
          <w:color w:val="auto"/>
          <w:highlight w:val="none"/>
        </w:rPr>
        <w:sectPr>
          <w:headerReference r:id="rId28"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p>
      <w:pPr>
        <w:pStyle w:val="65"/>
        <w:rPr>
          <w:rFonts w:hint="default" w:ascii="Times New Roman" w:hAnsi="Times New Roman" w:eastAsia="仿宋_GB2312" w:cs="Times New Roman"/>
          <w:color w:val="auto"/>
          <w:highlight w:val="none"/>
        </w:rPr>
      </w:pPr>
      <w:bookmarkStart w:id="144" w:name="_Toc29602"/>
      <w:r>
        <w:rPr>
          <w:rFonts w:hint="default" w:ascii="Times New Roman" w:hAnsi="Times New Roman" w:eastAsia="仿宋_GB2312" w:cs="Times New Roman"/>
          <w:color w:val="auto"/>
          <w:highlight w:val="none"/>
        </w:rPr>
        <w:t>8 水土保持管理</w:t>
      </w:r>
      <w:bookmarkEnd w:id="144"/>
    </w:p>
    <w:p>
      <w:pPr>
        <w:pStyle w:val="66"/>
        <w:ind w:firstLine="148"/>
        <w:rPr>
          <w:rFonts w:hint="default" w:ascii="Times New Roman" w:hAnsi="Times New Roman" w:eastAsia="仿宋_GB2312" w:cs="Times New Roman"/>
          <w:color w:val="auto"/>
          <w:highlight w:val="none"/>
        </w:rPr>
      </w:pPr>
      <w:bookmarkStart w:id="145" w:name="_Toc17695"/>
      <w:r>
        <w:rPr>
          <w:rFonts w:hint="default" w:ascii="Times New Roman" w:hAnsi="Times New Roman" w:eastAsia="仿宋_GB2312" w:cs="Times New Roman"/>
          <w:color w:val="auto"/>
          <w:highlight w:val="none"/>
        </w:rPr>
        <w:t>8.1 组织管理</w:t>
      </w:r>
      <w:bookmarkEnd w:id="145"/>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为确保本加油站水土保持工作的顺利实施，充分发挥其效益，建立和健全领导管理体系十分必要。因此，建设单位应组织有水土保持项目建设管理人员与机构，负责落实主体设计以及方案新增的水土保持措施的管理与维护工作。水土保持实施管理机构主要工作职责如下：</w:t>
      </w:r>
    </w:p>
    <w:p>
      <w:pPr>
        <w:pStyle w:val="55"/>
        <w:numPr>
          <w:ilvl w:val="0"/>
          <w:numId w:val="9"/>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将本项目开工信息报备水行政主管部门备案。</w:t>
      </w:r>
    </w:p>
    <w:p>
      <w:pPr>
        <w:pStyle w:val="55"/>
        <w:numPr>
          <w:ilvl w:val="0"/>
          <w:numId w:val="9"/>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在维护管理中，贯彻执行水土保持法律法规和有关标准；</w:t>
      </w:r>
    </w:p>
    <w:p>
      <w:pPr>
        <w:pStyle w:val="55"/>
        <w:numPr>
          <w:ilvl w:val="0"/>
          <w:numId w:val="9"/>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建设项目运行期间，建设单位</w:t>
      </w:r>
      <w:r>
        <w:rPr>
          <w:rFonts w:hint="eastAsia" w:cs="Times New Roman"/>
          <w:color w:val="auto"/>
          <w:highlight w:val="none"/>
          <w:lang w:eastAsia="zh-CN"/>
        </w:rPr>
        <w:t>策勒县城东加油站项目</w:t>
      </w:r>
      <w:r>
        <w:rPr>
          <w:rFonts w:hint="default" w:ascii="Times New Roman" w:hAnsi="Times New Roman" w:eastAsia="仿宋_GB2312" w:cs="Times New Roman"/>
          <w:color w:val="auto"/>
          <w:highlight w:val="none"/>
        </w:rPr>
        <w:t>应制定水土保持管理的规章制度，并监督执行情况；</w:t>
      </w:r>
    </w:p>
    <w:p>
      <w:pPr>
        <w:pStyle w:val="55"/>
        <w:numPr>
          <w:ilvl w:val="0"/>
          <w:numId w:val="9"/>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必要时，还应对管理人员实施水土保持专业技术培训，提高人员素质和管理水平；</w:t>
      </w:r>
    </w:p>
    <w:p>
      <w:pPr>
        <w:pStyle w:val="55"/>
        <w:numPr>
          <w:ilvl w:val="0"/>
          <w:numId w:val="9"/>
        </w:numPr>
        <w:ind w:firstLineChars="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定期总结并向水行政主管部门汇报水土保持工程维护管理的工作情况。</w:t>
      </w:r>
    </w:p>
    <w:p>
      <w:pPr>
        <w:pStyle w:val="66"/>
        <w:ind w:firstLine="148"/>
        <w:rPr>
          <w:rFonts w:hint="default" w:ascii="Times New Roman" w:hAnsi="Times New Roman" w:eastAsia="仿宋_GB2312" w:cs="Times New Roman"/>
          <w:color w:val="auto"/>
          <w:highlight w:val="none"/>
        </w:rPr>
      </w:pPr>
      <w:bookmarkStart w:id="146" w:name="_Toc21213"/>
      <w:r>
        <w:rPr>
          <w:rFonts w:hint="default" w:ascii="Times New Roman" w:hAnsi="Times New Roman" w:eastAsia="仿宋_GB2312" w:cs="Times New Roman"/>
          <w:color w:val="auto"/>
          <w:highlight w:val="none"/>
        </w:rPr>
        <w:t>8.2</w:t>
      </w:r>
      <w:r>
        <w:rPr>
          <w:rFonts w:hint="eastAsia" w:cs="Times New Roman"/>
          <w:color w:val="auto"/>
          <w:highlight w:val="none"/>
          <w:lang w:val="en-US" w:eastAsia="zh-CN"/>
        </w:rPr>
        <w:t xml:space="preserve"> </w:t>
      </w:r>
      <w:r>
        <w:rPr>
          <w:rFonts w:hint="default" w:ascii="Times New Roman" w:hAnsi="Times New Roman" w:eastAsia="仿宋_GB2312" w:cs="Times New Roman"/>
          <w:color w:val="auto"/>
          <w:highlight w:val="none"/>
        </w:rPr>
        <w:t>后续设计</w:t>
      </w:r>
      <w:bookmarkEnd w:id="146"/>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本项目主体</w:t>
      </w:r>
      <w:r>
        <w:rPr>
          <w:rFonts w:hint="eastAsia" w:cs="Times New Roman"/>
          <w:color w:val="auto"/>
          <w:highlight w:val="none"/>
          <w:lang w:eastAsia="zh-CN"/>
        </w:rPr>
        <w:t>计划于</w:t>
      </w:r>
      <w:r>
        <w:rPr>
          <w:rFonts w:hint="default" w:ascii="Times New Roman" w:hAnsi="Times New Roman" w:eastAsia="仿宋_GB2312" w:cs="Times New Roman"/>
          <w:color w:val="auto"/>
          <w:highlight w:val="none"/>
        </w:rPr>
        <w:t>202</w:t>
      </w:r>
      <w:r>
        <w:rPr>
          <w:rFonts w:hint="eastAsia" w:cs="Times New Roman"/>
          <w:color w:val="auto"/>
          <w:highlight w:val="none"/>
          <w:lang w:val="en-US" w:eastAsia="zh-CN"/>
        </w:rPr>
        <w:t>1</w:t>
      </w:r>
      <w:r>
        <w:rPr>
          <w:rFonts w:hint="default" w:ascii="Times New Roman" w:hAnsi="Times New Roman" w:eastAsia="仿宋_GB2312" w:cs="Times New Roman"/>
          <w:color w:val="auto"/>
          <w:highlight w:val="none"/>
        </w:rPr>
        <w:t>年</w:t>
      </w:r>
      <w:r>
        <w:rPr>
          <w:rFonts w:hint="eastAsia" w:cs="Times New Roman"/>
          <w:color w:val="auto"/>
          <w:highlight w:val="none"/>
          <w:lang w:val="en-US" w:eastAsia="zh-CN"/>
        </w:rPr>
        <w:t>8</w:t>
      </w:r>
      <w:r>
        <w:rPr>
          <w:rFonts w:hint="default" w:ascii="Times New Roman" w:hAnsi="Times New Roman" w:eastAsia="仿宋_GB2312" w:cs="Times New Roman"/>
          <w:color w:val="auto"/>
          <w:highlight w:val="none"/>
        </w:rPr>
        <w:t>月开工建设，预计于202</w:t>
      </w:r>
      <w:r>
        <w:rPr>
          <w:rFonts w:hint="eastAsia" w:cs="Times New Roman"/>
          <w:color w:val="auto"/>
          <w:highlight w:val="none"/>
          <w:lang w:val="en-US" w:eastAsia="zh-CN"/>
        </w:rPr>
        <w:t>2</w:t>
      </w:r>
      <w:r>
        <w:rPr>
          <w:rFonts w:hint="default" w:ascii="Times New Roman" w:hAnsi="Times New Roman" w:eastAsia="仿宋_GB2312" w:cs="Times New Roman"/>
          <w:color w:val="auto"/>
          <w:highlight w:val="none"/>
        </w:rPr>
        <w:t>年</w:t>
      </w:r>
      <w:r>
        <w:rPr>
          <w:rFonts w:hint="eastAsia" w:cs="Times New Roman"/>
          <w:color w:val="auto"/>
          <w:highlight w:val="none"/>
          <w:lang w:val="en-US" w:eastAsia="zh-CN"/>
        </w:rPr>
        <w:t>6</w:t>
      </w:r>
      <w:r>
        <w:rPr>
          <w:rFonts w:hint="default" w:ascii="Times New Roman" w:hAnsi="Times New Roman" w:eastAsia="仿宋_GB2312" w:cs="Times New Roman"/>
          <w:color w:val="auto"/>
          <w:highlight w:val="none"/>
        </w:rPr>
        <w:t>月建设完成，主体设计考虑后期部分具有水土保持功能的措施，同时本方案针对其不足，补充新增部分措施。</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土保持方案经水行政主管部门批复后，建设单位应委托设计单位做好后续设计工作，在施工图设计中补充水土保持方案新增各项措施，对设计变更实施严格的管理审批制度，在制定本工程的施工技术要求和操作规范时，应有专门的水土保持内容。</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水土保持方案经批准后，在项目建设过程中，若出现因主体工程施工布置、施工工艺以及施工占地面积等变化而导致水土保持措施数量、类型等发生较大变化的情况，建设单位需进行该项目水土保持设施变更报告书，并上报原水土保持方案审批机关进行审批。</w:t>
      </w:r>
    </w:p>
    <w:p>
      <w:pPr>
        <w:pStyle w:val="66"/>
        <w:ind w:firstLine="148"/>
        <w:rPr>
          <w:rFonts w:hint="default" w:ascii="Times New Roman" w:hAnsi="Times New Roman" w:eastAsia="仿宋_GB2312" w:cs="Times New Roman"/>
          <w:color w:val="auto"/>
          <w:highlight w:val="none"/>
        </w:rPr>
      </w:pPr>
      <w:bookmarkStart w:id="147" w:name="_Toc50"/>
      <w:r>
        <w:rPr>
          <w:rFonts w:hint="default" w:ascii="Times New Roman" w:hAnsi="Times New Roman" w:eastAsia="仿宋_GB2312" w:cs="Times New Roman"/>
          <w:color w:val="auto"/>
          <w:highlight w:val="none"/>
        </w:rPr>
        <w:t>8.3 水土保持监测</w:t>
      </w:r>
      <w:bookmarkEnd w:id="147"/>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新疆维吾尔自治区实施&lt;中华人民共和国水土保持法&gt;办法》（2013年7月31日修订，2013年10月1日实施）第二十四条规定，依法应当编制水土保持方案报告书的生产建设项目，生产建设单位应当自行或者委托具备相应水土保持监测技术能力机构进行监测。本项目为占地面积不满五万平方米且挖、填土石方总量不满五万立方米，应编制水土保持方案报告表，不在规定的应当进行水土保持监测的生产建设项目范围内。因此，本项目水土保持监测工作由建设单位自行安排，不作具体设计要求。</w:t>
      </w:r>
    </w:p>
    <w:p>
      <w:pPr>
        <w:pStyle w:val="66"/>
        <w:ind w:firstLine="148"/>
        <w:rPr>
          <w:rFonts w:hint="default" w:ascii="Times New Roman" w:hAnsi="Times New Roman" w:eastAsia="仿宋_GB2312" w:cs="Times New Roman"/>
          <w:color w:val="auto"/>
          <w:highlight w:val="none"/>
        </w:rPr>
      </w:pPr>
      <w:bookmarkStart w:id="148" w:name="_Toc7414"/>
      <w:r>
        <w:rPr>
          <w:rFonts w:hint="default" w:ascii="Times New Roman" w:hAnsi="Times New Roman" w:eastAsia="仿宋_GB2312" w:cs="Times New Roman"/>
          <w:color w:val="auto"/>
          <w:highlight w:val="none"/>
        </w:rPr>
        <w:t>8.4 水土保持监理</w:t>
      </w:r>
      <w:bookmarkEnd w:id="148"/>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建设单位在项目开工前应委托监理单位承担本项目的水土保持监理工作，形成以项目法人（业主）、承包商、监理工程师三方相互制约，以监理工程师为依托的合同管理模式，以期达到降低造价，保证进度，提高水土保持工程的施工质量。</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监理单位在具体监理工作中，一要对水土保持工程建设的全过程实行投资控制、质量控制、进度控制；二要及时了解、掌握水土保持工程建设的各类信息，并对其进行管理；三要在工程实施过程中，对建设单位与施工单位发生的矛盾和纠纷组织协调。</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监理人员在日常工作中应及时整理、归档有关的水土保持资料，定期向水土保持监理单位和建设单位报告现场水土保持工作情况，负责编写水土保持工程监理报告，监理报告应报送建设单位和当地水行政主管部门备案。</w:t>
      </w:r>
    </w:p>
    <w:p>
      <w:pPr>
        <w:pStyle w:val="66"/>
        <w:ind w:firstLine="148"/>
        <w:rPr>
          <w:rFonts w:hint="default" w:ascii="Times New Roman" w:hAnsi="Times New Roman" w:eastAsia="仿宋_GB2312" w:cs="Times New Roman"/>
          <w:color w:val="auto"/>
          <w:highlight w:val="none"/>
        </w:rPr>
      </w:pPr>
      <w:bookmarkStart w:id="149" w:name="_Toc7956"/>
      <w:r>
        <w:rPr>
          <w:rFonts w:hint="default" w:ascii="Times New Roman" w:hAnsi="Times New Roman" w:eastAsia="仿宋_GB2312" w:cs="Times New Roman"/>
          <w:color w:val="auto"/>
          <w:highlight w:val="none"/>
        </w:rPr>
        <w:t>8.5 水土保持施工</w:t>
      </w:r>
      <w:bookmarkEnd w:id="149"/>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（1）招标管理：水土保持方案在实施过程中应实行项目管理制、工程招投标制和工程监理制，以保证水土保持方案的顺利实施，并达到预期目标。</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（2）工程开工建设时应向上级水行政主管部门备案，在招标文件中明确建设单位在施工招标条款中应对水土保持监理提出保护的要求，以保证防护效果。</w:t>
      </w:r>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在主体工程施工中，中标的施工单位必须按照水土保持方案设计实施水土保持措施，以保证水土保持效益的充分发挥。施工单位在实施本方案时，如确需对设计内容进行变更，应会同设计单位按有关规定向本方案批复单位实施报批程序。</w:t>
      </w:r>
    </w:p>
    <w:p>
      <w:pPr>
        <w:pStyle w:val="66"/>
        <w:ind w:firstLine="148"/>
        <w:rPr>
          <w:rFonts w:hint="default" w:ascii="Times New Roman" w:hAnsi="Times New Roman" w:eastAsia="仿宋_GB2312" w:cs="Times New Roman"/>
          <w:color w:val="auto"/>
          <w:highlight w:val="none"/>
        </w:rPr>
      </w:pPr>
      <w:bookmarkStart w:id="150" w:name="_Toc14974"/>
      <w:r>
        <w:rPr>
          <w:rFonts w:hint="default" w:ascii="Times New Roman" w:hAnsi="Times New Roman" w:eastAsia="仿宋_GB2312" w:cs="Times New Roman"/>
          <w:color w:val="auto"/>
          <w:highlight w:val="none"/>
        </w:rPr>
        <w:t>8.6 水土保持设施验收</w:t>
      </w:r>
      <w:bookmarkEnd w:id="150"/>
    </w:p>
    <w:p>
      <w:pPr>
        <w:pStyle w:val="55"/>
        <w:ind w:firstLine="4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根据《中华人民共和国水土保持法》、《水利部关于加强事中事后监管规范生产建设项目水土保持设施自主验收的通知》（水保[2017]365号）、《新疆维吾尔自治区水利厅关于加强事中事后监管规范生产建设项目水土保持设施自主验收实施意见的通知》（新水办水保[2017]121号）和水利部关于进一步深化“放管服”改革，全面加强水土保持监管的意见（水保〔2019〕160号）及新疆维吾尔自治区水利厅文件转发水利部关于进一步深化“放管服”改革，全面加强水土保持监管意见的通知（新水水保〔2019〕29号）的有关规定，本工程投产使用前，建设单位应当按照水土保持法律法规、标准规范、水土保持方案及审批决定、水土保持后续设计等，组织水土保持设施验收工作，形成水土保持设施验收鉴定书，明确水土保持设施验收合格的结论。建设单位应当在水土保持设施验收合格后，通过其官方网站或者其他便于公众熟知的方式向社会公开水土保持设施验收鉴定书。对于公众反映的主要问题和意见，建设单位应当及时给予处理或者回应。建设单位应在向社会公开水土保持设施验收材料后、项目投产使用前，向水土保持方案审批机关报备水土保持设施验收材料，报备材料包括水土保持设施验收鉴定书。</w:t>
      </w:r>
    </w:p>
    <w:p>
      <w:pPr>
        <w:pStyle w:val="55"/>
        <w:ind w:firstLine="480"/>
        <w:rPr>
          <w:rFonts w:hint="default" w:ascii="Times New Roman" w:hAnsi="Times New Roman" w:cs="Times New Roman"/>
          <w:color w:val="auto"/>
          <w:highlight w:val="none"/>
        </w:rPr>
      </w:pPr>
    </w:p>
    <w:p>
      <w:pPr>
        <w:pStyle w:val="55"/>
        <w:ind w:firstLine="480"/>
        <w:rPr>
          <w:rFonts w:hint="default" w:ascii="Times New Roman" w:hAnsi="Times New Roman" w:cs="Times New Roman"/>
          <w:color w:val="auto"/>
          <w:highlight w:val="none"/>
        </w:rPr>
        <w:sectPr>
          <w:headerReference r:id="rId29"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p>
      <w:pPr>
        <w:pStyle w:val="55"/>
        <w:keepNext w:val="0"/>
        <w:keepLines w:val="0"/>
        <w:pageBreakBefore w:val="0"/>
        <w:widowControl/>
        <w:kinsoku/>
        <w:wordWrap/>
        <w:overflowPunct/>
        <w:topLinePunct w:val="0"/>
        <w:autoSpaceDE/>
        <w:autoSpaceDN/>
        <w:bidi w:val="0"/>
        <w:adjustRightInd w:val="0"/>
        <w:snapToGrid w:val="0"/>
        <w:ind w:left="0" w:leftChars="0" w:firstLine="0" w:firstLineChars="0"/>
        <w:textAlignment w:val="auto"/>
        <w:outlineLvl w:val="0"/>
        <w:rPr>
          <w:rFonts w:hint="eastAsia" w:cs="Times New Roman"/>
          <w:color w:val="auto"/>
          <w:highlight w:val="none"/>
          <w:lang w:eastAsia="zh-CN"/>
        </w:rPr>
      </w:pPr>
      <w:r>
        <w:rPr>
          <w:rFonts w:hint="eastAsia" w:cs="Times New Roman"/>
          <w:color w:val="auto"/>
          <w:highlight w:val="none"/>
          <w:lang w:eastAsia="zh-CN"/>
        </w:rPr>
        <w:t>附表</w:t>
      </w:r>
      <w:r>
        <w:rPr>
          <w:rFonts w:hint="eastAsia" w:cs="Times New Roman"/>
          <w:color w:val="auto"/>
          <w:highlight w:val="none"/>
          <w:lang w:val="en-US" w:eastAsia="zh-CN"/>
        </w:rPr>
        <w:t>:1</w:t>
      </w:r>
      <w:r>
        <w:rPr>
          <w:rFonts w:hint="eastAsia" w:cs="Times New Roman"/>
          <w:color w:val="auto"/>
          <w:highlight w:val="none"/>
          <w:lang w:eastAsia="zh-CN"/>
        </w:rPr>
        <w:t>：单价分析表</w:t>
      </w:r>
    </w:p>
    <w:tbl>
      <w:tblPr>
        <w:tblStyle w:val="25"/>
        <w:tblW w:w="5000" w:type="pct"/>
        <w:tblInd w:w="0" w:type="dxa"/>
        <w:shd w:val="clear" w:color="auto" w:fill="auto"/>
        <w:tblLayout w:type="autofit"/>
        <w:tblCellMar>
          <w:top w:w="0" w:type="dxa"/>
          <w:left w:w="108" w:type="dxa"/>
          <w:bottom w:w="0" w:type="dxa"/>
          <w:right w:w="108" w:type="dxa"/>
        </w:tblCellMar>
      </w:tblPr>
      <w:tblGrid>
        <w:gridCol w:w="1660"/>
        <w:gridCol w:w="2296"/>
        <w:gridCol w:w="998"/>
        <w:gridCol w:w="998"/>
        <w:gridCol w:w="1551"/>
        <w:gridCol w:w="1557"/>
      </w:tblGrid>
      <w:tr>
        <w:tblPrEx>
          <w:shd w:val="clear" w:color="auto" w:fill="auto"/>
          <w:tblCellMar>
            <w:top w:w="0" w:type="dxa"/>
            <w:left w:w="108" w:type="dxa"/>
            <w:bottom w:w="0" w:type="dxa"/>
            <w:right w:w="108" w:type="dxa"/>
          </w:tblCellMar>
        </w:tblPrEx>
        <w:trPr>
          <w:trHeight w:val="369" w:hRule="atLeast"/>
        </w:trPr>
        <w:tc>
          <w:tcPr>
            <w:tcW w:w="5000" w:type="pct"/>
            <w:gridSpan w:val="6"/>
            <w:tcBorders>
              <w:top w:val="single" w:color="000000" w:sz="4" w:space="0"/>
              <w:left w:val="single" w:color="000000" w:sz="4" w:space="0"/>
              <w:bottom w:val="nil"/>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单价表一</w:t>
            </w:r>
          </w:p>
        </w:tc>
      </w:tr>
      <w:tr>
        <w:tblPrEx>
          <w:tblCellMar>
            <w:top w:w="0" w:type="dxa"/>
            <w:left w:w="108" w:type="dxa"/>
            <w:bottom w:w="0" w:type="dxa"/>
            <w:right w:w="108" w:type="dxa"/>
          </w:tblCellMar>
        </w:tblPrEx>
        <w:trPr>
          <w:trHeight w:val="369"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土地平整</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定额编号</w:t>
            </w:r>
          </w:p>
        </w:tc>
        <w:tc>
          <w:tcPr>
            <w:tcW w:w="181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01147</w:t>
            </w:r>
          </w:p>
        </w:tc>
        <w:tc>
          <w:tcPr>
            <w:tcW w:w="140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定额单位</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100m²</w:t>
            </w:r>
          </w:p>
        </w:tc>
      </w:tr>
      <w:tr>
        <w:tblPrEx>
          <w:tblCellMar>
            <w:top w:w="0" w:type="dxa"/>
            <w:left w:w="108" w:type="dxa"/>
            <w:bottom w:w="0" w:type="dxa"/>
            <w:right w:w="108" w:type="dxa"/>
          </w:tblCellMar>
        </w:tblPrEx>
        <w:trPr>
          <w:trHeight w:val="369"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施工方法：推平</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序号</w:t>
            </w: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项目名称</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单位</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数量</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单价(元)</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合计(元)</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一</w:t>
            </w: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直接工程费</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92.53 </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(一)</w:t>
            </w: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直接费</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89.40 </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1</w:t>
            </w: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人工费</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8.23 </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人工</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工时</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0.7</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11.76 </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8.23 </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2</w:t>
            </w: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材料费</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12.99 </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零星材料费</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w:t>
            </w:r>
          </w:p>
        </w:tc>
        <w:tc>
          <w:tcPr>
            <w:tcW w:w="9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17</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76.41 </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12.99 </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3</w:t>
            </w: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机械使用费</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68.18 </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推土机74KW</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台时</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0.57</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119.61 </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68.18 </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(二)</w:t>
            </w: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其他直接费</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w:t>
            </w:r>
          </w:p>
        </w:tc>
        <w:tc>
          <w:tcPr>
            <w:tcW w:w="9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0.5</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89.40 </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0.45 </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(三)</w:t>
            </w: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现场经费</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3</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89.40 </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2.68 </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二</w:t>
            </w: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间接费</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3.3</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92.53 </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3.05 </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三</w:t>
            </w: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企业利润</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w:t>
            </w:r>
          </w:p>
        </w:tc>
        <w:tc>
          <w:tcPr>
            <w:tcW w:w="9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7</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95.58 </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6.69 </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四</w:t>
            </w: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价差</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元</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0.57</w:t>
            </w:r>
          </w:p>
        </w:tc>
        <w:tc>
          <w:tcPr>
            <w:tcW w:w="15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21.09 </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12.02 </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五</w:t>
            </w: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税金</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w:t>
            </w:r>
          </w:p>
        </w:tc>
        <w:tc>
          <w:tcPr>
            <w:tcW w:w="9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9</w:t>
            </w: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114.30 </w:t>
            </w: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1</w:t>
            </w:r>
            <w:r>
              <w:rPr>
                <w:rFonts w:hint="eastAsia" w:eastAsia="仿宋_GB2312" w:cs="Times New Roman"/>
                <w:color w:val="auto"/>
                <w:kern w:val="0"/>
                <w:sz w:val="21"/>
                <w:szCs w:val="21"/>
                <w:highlight w:val="none"/>
                <w:lang w:val="en-US" w:eastAsia="zh-CN"/>
              </w:rPr>
              <w:t>0.14</w:t>
            </w:r>
            <w:r>
              <w:rPr>
                <w:rFonts w:hint="eastAsia" w:ascii="Times New Roman" w:hAnsi="Times New Roman" w:eastAsia="仿宋_GB2312" w:cs="Times New Roman"/>
                <w:color w:val="auto"/>
                <w:kern w:val="0"/>
                <w:sz w:val="21"/>
                <w:szCs w:val="21"/>
                <w:highlight w:val="none"/>
                <w:lang w:val="en-US" w:eastAsia="zh-CN"/>
              </w:rPr>
              <w:t xml:space="preserve"> </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小计</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124.59 </w:t>
            </w:r>
          </w:p>
        </w:tc>
      </w:tr>
      <w:tr>
        <w:tblPrEx>
          <w:tblCellMar>
            <w:top w:w="0" w:type="dxa"/>
            <w:left w:w="108" w:type="dxa"/>
            <w:bottom w:w="0" w:type="dxa"/>
            <w:right w:w="108" w:type="dxa"/>
          </w:tblCellMar>
        </w:tblPrEx>
        <w:trPr>
          <w:trHeight w:val="369" w:hRule="atLeast"/>
        </w:trPr>
        <w:tc>
          <w:tcPr>
            <w:tcW w:w="916" w:type="pct"/>
            <w:tcBorders>
              <w:top w:val="single" w:color="000000" w:sz="4" w:space="0"/>
              <w:left w:val="single" w:color="000000" w:sz="4" w:space="0"/>
              <w:bottom w:val="nil"/>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六</w:t>
            </w:r>
          </w:p>
        </w:tc>
        <w:tc>
          <w:tcPr>
            <w:tcW w:w="1266" w:type="pct"/>
            <w:tcBorders>
              <w:top w:val="single" w:color="000000" w:sz="4" w:space="0"/>
              <w:left w:val="single" w:color="000000" w:sz="4" w:space="0"/>
              <w:bottom w:val="nil"/>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估算扩大</w:t>
            </w:r>
          </w:p>
        </w:tc>
        <w:tc>
          <w:tcPr>
            <w:tcW w:w="998" w:type="dxa"/>
            <w:tcBorders>
              <w:top w:val="single" w:color="000000" w:sz="4" w:space="0"/>
              <w:left w:val="single" w:color="000000" w:sz="4" w:space="0"/>
              <w:bottom w:val="nil"/>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w:t>
            </w:r>
          </w:p>
        </w:tc>
        <w:tc>
          <w:tcPr>
            <w:tcW w:w="998" w:type="dxa"/>
            <w:tcBorders>
              <w:top w:val="single" w:color="000000" w:sz="4" w:space="0"/>
              <w:left w:val="single" w:color="000000" w:sz="4" w:space="0"/>
              <w:bottom w:val="nil"/>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10</w:t>
            </w:r>
          </w:p>
        </w:tc>
        <w:tc>
          <w:tcPr>
            <w:tcW w:w="1551" w:type="dxa"/>
            <w:tcBorders>
              <w:top w:val="single" w:color="000000" w:sz="4" w:space="0"/>
              <w:left w:val="single" w:color="000000" w:sz="4" w:space="0"/>
              <w:bottom w:val="nil"/>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124.59 </w:t>
            </w:r>
          </w:p>
        </w:tc>
        <w:tc>
          <w:tcPr>
            <w:tcW w:w="1557" w:type="dxa"/>
            <w:tcBorders>
              <w:top w:val="single" w:color="000000" w:sz="4" w:space="0"/>
              <w:left w:val="single" w:color="000000" w:sz="4" w:space="0"/>
              <w:bottom w:val="nil"/>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12.46 </w:t>
            </w:r>
          </w:p>
        </w:tc>
      </w:tr>
      <w:tr>
        <w:tblPrEx>
          <w:tblCellMar>
            <w:top w:w="0" w:type="dxa"/>
            <w:left w:w="108" w:type="dxa"/>
            <w:bottom w:w="0" w:type="dxa"/>
            <w:right w:w="108" w:type="dxa"/>
          </w:tblCellMar>
        </w:tblPrEx>
        <w:trPr>
          <w:trHeight w:val="369" w:hRule="atLeast"/>
        </w:trPr>
        <w:tc>
          <w:tcPr>
            <w:tcW w:w="218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合计</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p>
        </w:tc>
        <w:tc>
          <w:tcPr>
            <w:tcW w:w="1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rPr>
            </w:pPr>
            <w:r>
              <w:rPr>
                <w:rFonts w:hint="eastAsia" w:ascii="Times New Roman" w:hAnsi="Times New Roman" w:eastAsia="仿宋_GB2312" w:cs="Times New Roman"/>
                <w:color w:val="auto"/>
                <w:kern w:val="0"/>
                <w:sz w:val="21"/>
                <w:szCs w:val="21"/>
                <w:highlight w:val="none"/>
                <w:lang w:val="en-US" w:eastAsia="zh-CN"/>
              </w:rPr>
              <w:t xml:space="preserve">137.04 </w:t>
            </w:r>
          </w:p>
        </w:tc>
      </w:tr>
    </w:tbl>
    <w:p>
      <w:pPr>
        <w:pStyle w:val="55"/>
        <w:ind w:left="0" w:leftChars="0" w:firstLine="0" w:firstLineChars="0"/>
        <w:rPr>
          <w:rFonts w:hint="eastAsia" w:cs="Times New Roman"/>
          <w:color w:val="auto"/>
          <w:highlight w:val="none"/>
          <w:lang w:eastAsia="zh-CN"/>
        </w:rPr>
      </w:pPr>
    </w:p>
    <w:p>
      <w:pPr>
        <w:pStyle w:val="55"/>
        <w:ind w:left="0" w:leftChars="0" w:firstLine="0" w:firstLineChars="0"/>
        <w:rPr>
          <w:rFonts w:hint="eastAsia" w:cs="Times New Roman"/>
          <w:color w:val="auto"/>
          <w:highlight w:val="none"/>
          <w:lang w:eastAsia="zh-CN"/>
        </w:rPr>
        <w:sectPr>
          <w:headerReference r:id="rId30" w:type="default"/>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tbl>
      <w:tblPr>
        <w:tblStyle w:val="25"/>
        <w:tblW w:w="5000" w:type="pct"/>
        <w:tblInd w:w="0" w:type="dxa"/>
        <w:shd w:val="clear" w:color="auto" w:fill="auto"/>
        <w:tblLayout w:type="autofit"/>
        <w:tblCellMar>
          <w:top w:w="0" w:type="dxa"/>
          <w:left w:w="108" w:type="dxa"/>
          <w:bottom w:w="0" w:type="dxa"/>
          <w:right w:w="108" w:type="dxa"/>
        </w:tblCellMar>
      </w:tblPr>
      <w:tblGrid>
        <w:gridCol w:w="1687"/>
        <w:gridCol w:w="2183"/>
        <w:gridCol w:w="1017"/>
        <w:gridCol w:w="1015"/>
        <w:gridCol w:w="1576"/>
        <w:gridCol w:w="1582"/>
      </w:tblGrid>
      <w:tr>
        <w:tblPrEx>
          <w:shd w:val="clear" w:color="auto" w:fill="auto"/>
          <w:tblCellMar>
            <w:top w:w="0" w:type="dxa"/>
            <w:left w:w="108" w:type="dxa"/>
            <w:bottom w:w="0" w:type="dxa"/>
            <w:right w:w="108" w:type="dxa"/>
          </w:tblCellMar>
        </w:tblPrEx>
        <w:trPr>
          <w:trHeight w:val="369"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单价表二</w:t>
            </w:r>
          </w:p>
        </w:tc>
      </w:tr>
      <w:tr>
        <w:tblPrEx>
          <w:tblCellMar>
            <w:top w:w="0" w:type="dxa"/>
            <w:left w:w="108" w:type="dxa"/>
            <w:bottom w:w="0" w:type="dxa"/>
            <w:right w:w="108" w:type="dxa"/>
          </w:tblCellMar>
        </w:tblPrEx>
        <w:trPr>
          <w:trHeight w:val="369" w:hRule="atLeast"/>
        </w:trPr>
        <w:tc>
          <w:tcPr>
            <w:tcW w:w="5000" w:type="pct"/>
            <w:gridSpan w:val="6"/>
            <w:tcBorders>
              <w:top w:val="single" w:color="000000" w:sz="4" w:space="0"/>
              <w:left w:val="single" w:color="000000" w:sz="4" w:space="0"/>
              <w:bottom w:val="nil"/>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全面整地</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nil"/>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定额编号</w:t>
            </w:r>
          </w:p>
        </w:tc>
        <w:tc>
          <w:tcPr>
            <w:tcW w:w="17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08046</w:t>
            </w:r>
          </w:p>
        </w:tc>
        <w:tc>
          <w:tcPr>
            <w:tcW w:w="143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定额单位</w:t>
            </w:r>
          </w:p>
        </w:tc>
        <w:tc>
          <w:tcPr>
            <w:tcW w:w="871" w:type="pct"/>
            <w:tcBorders>
              <w:top w:val="single" w:color="000000" w:sz="4" w:space="0"/>
              <w:left w:val="nil"/>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1h</w:t>
            </w:r>
            <w:r>
              <w:rPr>
                <w:rFonts w:hint="eastAsia" w:eastAsia="仿宋_GB2312" w:cs="Times New Roman"/>
                <w:color w:val="auto"/>
                <w:kern w:val="0"/>
                <w:sz w:val="21"/>
                <w:szCs w:val="21"/>
                <w:highlight w:val="none"/>
                <w:lang w:val="en-US" w:eastAsia="zh-CN"/>
              </w:rPr>
              <w:t>m²</w:t>
            </w:r>
          </w:p>
        </w:tc>
      </w:tr>
      <w:tr>
        <w:tblPrEx>
          <w:tblCellMar>
            <w:top w:w="0" w:type="dxa"/>
            <w:left w:w="108" w:type="dxa"/>
            <w:bottom w:w="0" w:type="dxa"/>
            <w:right w:w="108" w:type="dxa"/>
          </w:tblCellMar>
        </w:tblPrEx>
        <w:trPr>
          <w:trHeight w:val="369" w:hRule="atLeast"/>
        </w:trPr>
        <w:tc>
          <w:tcPr>
            <w:tcW w:w="5000" w:type="pct"/>
            <w:gridSpan w:val="6"/>
            <w:tcBorders>
              <w:top w:val="nil"/>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施工方法：全面整地，耕深0.3m人工施肥，拖拉机牵引铧犁耕翻地</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序号</w:t>
            </w: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项目名称</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单位</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数量</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单价(元)</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合计(元)</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一</w:t>
            </w: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直接工程费</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803.20 </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(一)</w:t>
            </w: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直接费</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776.04 </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1</w:t>
            </w: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人工费</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223.44 </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人工</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工时</w:t>
            </w:r>
          </w:p>
        </w:tc>
        <w:tc>
          <w:tcPr>
            <w:tcW w:w="10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19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11.76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223.44 </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2</w:t>
            </w:r>
          </w:p>
        </w:tc>
        <w:tc>
          <w:tcPr>
            <w:tcW w:w="12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材料费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5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88.73 </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2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农家土杂肥</w:t>
            </w:r>
          </w:p>
        </w:tc>
        <w:tc>
          <w:tcPr>
            <w:tcW w:w="10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m³</w:t>
            </w:r>
          </w:p>
        </w:tc>
        <w:tc>
          <w:tcPr>
            <w:tcW w:w="10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1</w:t>
            </w:r>
          </w:p>
        </w:tc>
        <w:tc>
          <w:tcPr>
            <w:tcW w:w="15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78.53 </w:t>
            </w: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78.53 </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2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其他材料费</w:t>
            </w:r>
          </w:p>
        </w:tc>
        <w:tc>
          <w:tcPr>
            <w:tcW w:w="10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0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13</w:t>
            </w:r>
          </w:p>
        </w:tc>
        <w:tc>
          <w:tcPr>
            <w:tcW w:w="15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78.53 </w:t>
            </w: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10.21 </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3</w:t>
            </w: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机械使用费</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463.87 </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拖拉机37kw</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台时</w:t>
            </w:r>
          </w:p>
        </w:tc>
        <w:tc>
          <w:tcPr>
            <w:tcW w:w="10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10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46.39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463.87 </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(二)</w:t>
            </w: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其他直接费</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0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0.5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776.04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3.88 </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(三)</w:t>
            </w: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现场经费</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776.04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23.28 </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二</w:t>
            </w: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间接费</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3.3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803.20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26.51 </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三</w:t>
            </w: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企业利润</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829.71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58.08 </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四</w:t>
            </w: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价差</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元</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10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9.95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99.50 </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nil"/>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五</w:t>
            </w:r>
          </w:p>
        </w:tc>
        <w:tc>
          <w:tcPr>
            <w:tcW w:w="1205" w:type="pct"/>
            <w:tcBorders>
              <w:top w:val="single" w:color="000000" w:sz="4" w:space="0"/>
              <w:left w:val="single" w:color="000000" w:sz="4" w:space="0"/>
              <w:bottom w:val="nil"/>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税金</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987.29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88.86 </w:t>
            </w:r>
          </w:p>
        </w:tc>
      </w:tr>
      <w:tr>
        <w:tblPrEx>
          <w:tblCellMar>
            <w:top w:w="0" w:type="dxa"/>
            <w:left w:w="108" w:type="dxa"/>
            <w:bottom w:w="0" w:type="dxa"/>
            <w:right w:w="108" w:type="dxa"/>
          </w:tblCellMar>
        </w:tblPrEx>
        <w:trPr>
          <w:trHeight w:val="369"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205" w:type="pct"/>
            <w:tcBorders>
              <w:top w:val="single" w:color="000000" w:sz="4" w:space="0"/>
              <w:left w:val="nil"/>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小计</w:t>
            </w:r>
          </w:p>
        </w:tc>
        <w:tc>
          <w:tcPr>
            <w:tcW w:w="1017" w:type="dxa"/>
            <w:tcBorders>
              <w:top w:val="single" w:color="000000" w:sz="4" w:space="0"/>
              <w:left w:val="nil"/>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1076.15 </w:t>
            </w:r>
          </w:p>
        </w:tc>
      </w:tr>
      <w:tr>
        <w:tblPrEx>
          <w:tblCellMar>
            <w:top w:w="0" w:type="dxa"/>
            <w:left w:w="108" w:type="dxa"/>
            <w:bottom w:w="0" w:type="dxa"/>
            <w:right w:w="108" w:type="dxa"/>
          </w:tblCellMar>
        </w:tblPrEx>
        <w:trPr>
          <w:trHeight w:val="369" w:hRule="atLeast"/>
        </w:trPr>
        <w:tc>
          <w:tcPr>
            <w:tcW w:w="931" w:type="pct"/>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六</w:t>
            </w:r>
          </w:p>
        </w:tc>
        <w:tc>
          <w:tcPr>
            <w:tcW w:w="12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估算扩大</w:t>
            </w:r>
          </w:p>
        </w:tc>
        <w:tc>
          <w:tcPr>
            <w:tcW w:w="1017" w:type="dxa"/>
            <w:tcBorders>
              <w:top w:val="single" w:color="000000" w:sz="4" w:space="0"/>
              <w:left w:val="nil"/>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w:t>
            </w:r>
          </w:p>
        </w:tc>
        <w:tc>
          <w:tcPr>
            <w:tcW w:w="10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10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1076.15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107.61 </w:t>
            </w:r>
          </w:p>
        </w:tc>
      </w:tr>
      <w:tr>
        <w:tblPrEx>
          <w:tblCellMar>
            <w:top w:w="0" w:type="dxa"/>
            <w:left w:w="108" w:type="dxa"/>
            <w:bottom w:w="0" w:type="dxa"/>
            <w:right w:w="108" w:type="dxa"/>
          </w:tblCellMar>
        </w:tblPrEx>
        <w:trPr>
          <w:trHeight w:val="369" w:hRule="atLeast"/>
        </w:trPr>
        <w:tc>
          <w:tcPr>
            <w:tcW w:w="21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合计</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1183.76 </w:t>
            </w:r>
          </w:p>
        </w:tc>
      </w:tr>
    </w:tbl>
    <w:p>
      <w:pPr>
        <w:pStyle w:val="55"/>
        <w:ind w:left="0" w:leftChars="0" w:firstLine="0" w:firstLineChars="0"/>
        <w:rPr>
          <w:rFonts w:hint="eastAsia" w:cs="Times New Roman"/>
          <w:color w:val="auto"/>
          <w:highlight w:val="none"/>
          <w:lang w:eastAsia="zh-CN"/>
        </w:rPr>
        <w:sectPr>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tbl>
      <w:tblPr>
        <w:tblStyle w:val="25"/>
        <w:tblW w:w="5000" w:type="pct"/>
        <w:tblInd w:w="0" w:type="dxa"/>
        <w:shd w:val="clear" w:color="auto" w:fill="auto"/>
        <w:tblLayout w:type="autofit"/>
        <w:tblCellMar>
          <w:top w:w="0" w:type="dxa"/>
          <w:left w:w="108" w:type="dxa"/>
          <w:bottom w:w="0" w:type="dxa"/>
          <w:right w:w="108" w:type="dxa"/>
        </w:tblCellMar>
      </w:tblPr>
      <w:tblGrid>
        <w:gridCol w:w="1717"/>
        <w:gridCol w:w="2057"/>
        <w:gridCol w:w="1036"/>
        <w:gridCol w:w="1035"/>
        <w:gridCol w:w="1604"/>
        <w:gridCol w:w="1611"/>
      </w:tblGrid>
      <w:tr>
        <w:tblPrEx>
          <w:shd w:val="clear" w:color="auto" w:fill="auto"/>
          <w:tblCellMar>
            <w:top w:w="0" w:type="dxa"/>
            <w:left w:w="108" w:type="dxa"/>
            <w:bottom w:w="0" w:type="dxa"/>
            <w:right w:w="108" w:type="dxa"/>
          </w:tblCellMar>
        </w:tblPrEx>
        <w:trPr>
          <w:trHeight w:val="405"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单价表</w:t>
            </w:r>
            <w:r>
              <w:rPr>
                <w:rFonts w:hint="eastAsia" w:eastAsia="仿宋_GB2312" w:cs="Times New Roman"/>
                <w:color w:val="auto"/>
                <w:kern w:val="0"/>
                <w:sz w:val="21"/>
                <w:szCs w:val="21"/>
                <w:highlight w:val="none"/>
                <w:lang w:val="en-US" w:eastAsia="zh-CN"/>
              </w:rPr>
              <w:t>三</w:t>
            </w:r>
          </w:p>
        </w:tc>
      </w:tr>
      <w:tr>
        <w:tblPrEx>
          <w:tblCellMar>
            <w:top w:w="0" w:type="dxa"/>
            <w:left w:w="108" w:type="dxa"/>
            <w:bottom w:w="0" w:type="dxa"/>
            <w:right w:w="108" w:type="dxa"/>
          </w:tblCellMar>
        </w:tblPrEx>
        <w:trPr>
          <w:trHeight w:val="405"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播撒草籽</w:t>
            </w:r>
          </w:p>
        </w:tc>
      </w:tr>
      <w:tr>
        <w:tblPrEx>
          <w:tblCellMar>
            <w:top w:w="0" w:type="dxa"/>
            <w:left w:w="108" w:type="dxa"/>
            <w:bottom w:w="0" w:type="dxa"/>
            <w:right w:w="108" w:type="dxa"/>
          </w:tblCellMar>
        </w:tblPrEx>
        <w:trPr>
          <w:trHeight w:val="40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定额编号</w:t>
            </w:r>
          </w:p>
        </w:tc>
        <w:tc>
          <w:tcPr>
            <w:tcW w:w="170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08057</w:t>
            </w:r>
          </w:p>
        </w:tc>
        <w:tc>
          <w:tcPr>
            <w:tcW w:w="14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定额单位：</w:t>
            </w:r>
          </w:p>
        </w:tc>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1hm²</w:t>
            </w:r>
          </w:p>
        </w:tc>
      </w:tr>
      <w:tr>
        <w:tblPrEx>
          <w:tblCellMar>
            <w:top w:w="0" w:type="dxa"/>
            <w:left w:w="108" w:type="dxa"/>
            <w:bottom w:w="0" w:type="dxa"/>
            <w:right w:w="108" w:type="dxa"/>
          </w:tblCellMar>
        </w:tblPrEx>
        <w:trPr>
          <w:trHeight w:val="405"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施工方法：种子处理、人工播撒草籽、覆土</w:t>
            </w:r>
          </w:p>
        </w:tc>
      </w:tr>
      <w:tr>
        <w:tblPrEx>
          <w:tblCellMar>
            <w:top w:w="0" w:type="dxa"/>
            <w:left w:w="108" w:type="dxa"/>
            <w:bottom w:w="0" w:type="dxa"/>
            <w:right w:w="108" w:type="dxa"/>
          </w:tblCellMar>
        </w:tblPrEx>
        <w:trPr>
          <w:trHeight w:val="40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序号</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项目名称</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单位</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数量</w:t>
            </w:r>
          </w:p>
        </w:tc>
        <w:tc>
          <w:tcPr>
            <w:tcW w:w="8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单价(元)</w:t>
            </w:r>
          </w:p>
        </w:tc>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合计(元)</w:t>
            </w:r>
          </w:p>
        </w:tc>
      </w:tr>
      <w:tr>
        <w:tblPrEx>
          <w:tblCellMar>
            <w:top w:w="0" w:type="dxa"/>
            <w:left w:w="108" w:type="dxa"/>
            <w:bottom w:w="0" w:type="dxa"/>
            <w:right w:w="108" w:type="dxa"/>
          </w:tblCellMar>
        </w:tblPrEx>
        <w:trPr>
          <w:trHeight w:val="405" w:hRule="atLeast"/>
        </w:trPr>
        <w:tc>
          <w:tcPr>
            <w:tcW w:w="948" w:type="pct"/>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一</w:t>
            </w:r>
          </w:p>
        </w:tc>
        <w:tc>
          <w:tcPr>
            <w:tcW w:w="1135" w:type="pct"/>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直接工程费</w:t>
            </w:r>
          </w:p>
        </w:tc>
        <w:tc>
          <w:tcPr>
            <w:tcW w:w="1036"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035"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04"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11"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632.91 </w:t>
            </w:r>
          </w:p>
        </w:tc>
      </w:tr>
      <w:tr>
        <w:tblPrEx>
          <w:tblCellMar>
            <w:top w:w="0" w:type="dxa"/>
            <w:left w:w="108" w:type="dxa"/>
            <w:bottom w:w="0" w:type="dxa"/>
            <w:right w:w="108" w:type="dxa"/>
          </w:tblCellMar>
        </w:tblPrEx>
        <w:trPr>
          <w:trHeight w:val="40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(一)</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直接费</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605.66 </w:t>
            </w:r>
          </w:p>
        </w:tc>
      </w:tr>
      <w:tr>
        <w:tblPrEx>
          <w:tblCellMar>
            <w:top w:w="0" w:type="dxa"/>
            <w:left w:w="108" w:type="dxa"/>
            <w:bottom w:w="0" w:type="dxa"/>
            <w:right w:w="108" w:type="dxa"/>
          </w:tblCellMar>
        </w:tblPrEx>
        <w:trPr>
          <w:trHeight w:val="40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人工费</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600.60 </w:t>
            </w:r>
          </w:p>
        </w:tc>
      </w:tr>
      <w:tr>
        <w:tblPrEx>
          <w:tblCellMar>
            <w:top w:w="0" w:type="dxa"/>
            <w:left w:w="108" w:type="dxa"/>
            <w:bottom w:w="0" w:type="dxa"/>
            <w:right w:w="108" w:type="dxa"/>
          </w:tblCellMar>
        </w:tblPrEx>
        <w:trPr>
          <w:trHeight w:val="40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人工</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工时</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60</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10.01 </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600.60 </w:t>
            </w:r>
          </w:p>
        </w:tc>
      </w:tr>
      <w:tr>
        <w:tblPrEx>
          <w:tblCellMar>
            <w:top w:w="0" w:type="dxa"/>
            <w:left w:w="108" w:type="dxa"/>
            <w:bottom w:w="0" w:type="dxa"/>
            <w:right w:w="108" w:type="dxa"/>
          </w:tblCellMar>
        </w:tblPrEx>
        <w:trPr>
          <w:trHeight w:val="40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2</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材料费</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5.06 </w:t>
            </w:r>
          </w:p>
        </w:tc>
      </w:tr>
      <w:tr>
        <w:tblPrEx>
          <w:tblCellMar>
            <w:top w:w="0" w:type="dxa"/>
            <w:left w:w="108" w:type="dxa"/>
            <w:bottom w:w="0" w:type="dxa"/>
            <w:right w:w="108" w:type="dxa"/>
          </w:tblCellMar>
        </w:tblPrEx>
        <w:trPr>
          <w:trHeight w:val="40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芨芨草草籽</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kg</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10</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10.12 </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r>
      <w:tr>
        <w:tblPrEx>
          <w:tblCellMar>
            <w:top w:w="0" w:type="dxa"/>
            <w:left w:w="108" w:type="dxa"/>
            <w:bottom w:w="0" w:type="dxa"/>
            <w:right w:w="108" w:type="dxa"/>
          </w:tblCellMar>
        </w:tblPrEx>
        <w:trPr>
          <w:trHeight w:val="40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其他材料费</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5</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101.20 </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5.06 </w:t>
            </w:r>
          </w:p>
        </w:tc>
      </w:tr>
      <w:tr>
        <w:tblPrEx>
          <w:tblCellMar>
            <w:top w:w="0" w:type="dxa"/>
            <w:left w:w="108" w:type="dxa"/>
            <w:bottom w:w="0" w:type="dxa"/>
            <w:right w:w="108" w:type="dxa"/>
          </w:tblCellMar>
        </w:tblPrEx>
        <w:trPr>
          <w:trHeight w:val="40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(二)</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其他直接费</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0.5</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605.66 </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3.03 </w:t>
            </w:r>
          </w:p>
        </w:tc>
      </w:tr>
      <w:tr>
        <w:tblPrEx>
          <w:tblCellMar>
            <w:top w:w="0" w:type="dxa"/>
            <w:left w:w="108" w:type="dxa"/>
            <w:bottom w:w="0" w:type="dxa"/>
            <w:right w:w="108" w:type="dxa"/>
          </w:tblCellMar>
        </w:tblPrEx>
        <w:trPr>
          <w:trHeight w:val="40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(三)</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现场经费</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4</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605.66 </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24.23 </w:t>
            </w:r>
          </w:p>
        </w:tc>
      </w:tr>
      <w:tr>
        <w:tblPrEx>
          <w:tblCellMar>
            <w:top w:w="0" w:type="dxa"/>
            <w:left w:w="108" w:type="dxa"/>
            <w:bottom w:w="0" w:type="dxa"/>
            <w:right w:w="108" w:type="dxa"/>
          </w:tblCellMar>
        </w:tblPrEx>
        <w:trPr>
          <w:trHeight w:val="40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二</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间接费</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3.3</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632.91 </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20.89 </w:t>
            </w:r>
          </w:p>
        </w:tc>
      </w:tr>
      <w:tr>
        <w:tblPrEx>
          <w:tblCellMar>
            <w:top w:w="0" w:type="dxa"/>
            <w:left w:w="108" w:type="dxa"/>
            <w:bottom w:w="0" w:type="dxa"/>
            <w:right w:w="108" w:type="dxa"/>
          </w:tblCellMar>
        </w:tblPrEx>
        <w:trPr>
          <w:trHeight w:val="40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三</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企业利润</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5</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653.80 </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32.69 </w:t>
            </w:r>
          </w:p>
        </w:tc>
      </w:tr>
      <w:tr>
        <w:tblPrEx>
          <w:tblCellMar>
            <w:top w:w="0" w:type="dxa"/>
            <w:left w:w="108" w:type="dxa"/>
            <w:bottom w:w="0" w:type="dxa"/>
            <w:right w:w="108" w:type="dxa"/>
          </w:tblCellMar>
        </w:tblPrEx>
        <w:trPr>
          <w:trHeight w:val="40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四</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税金</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9</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686.49 </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61.78 </w:t>
            </w:r>
          </w:p>
        </w:tc>
      </w:tr>
      <w:tr>
        <w:tblPrEx>
          <w:tblCellMar>
            <w:top w:w="0" w:type="dxa"/>
            <w:left w:w="108" w:type="dxa"/>
            <w:bottom w:w="0" w:type="dxa"/>
            <w:right w:w="108" w:type="dxa"/>
          </w:tblCellMar>
        </w:tblPrEx>
        <w:trPr>
          <w:trHeight w:val="40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小计</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748.27 </w:t>
            </w:r>
          </w:p>
        </w:tc>
      </w:tr>
      <w:tr>
        <w:tblPrEx>
          <w:tblCellMar>
            <w:top w:w="0" w:type="dxa"/>
            <w:left w:w="108" w:type="dxa"/>
            <w:bottom w:w="0" w:type="dxa"/>
            <w:right w:w="108" w:type="dxa"/>
          </w:tblCellMar>
        </w:tblPrEx>
        <w:trPr>
          <w:trHeight w:val="405"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五</w:t>
            </w:r>
          </w:p>
        </w:tc>
        <w:tc>
          <w:tcPr>
            <w:tcW w:w="1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估算扩大</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10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10</w:t>
            </w: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748.27 </w:t>
            </w: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74.83 </w:t>
            </w:r>
          </w:p>
        </w:tc>
      </w:tr>
      <w:tr>
        <w:tblPrEx>
          <w:tblCellMar>
            <w:top w:w="0" w:type="dxa"/>
            <w:left w:w="108" w:type="dxa"/>
            <w:bottom w:w="0" w:type="dxa"/>
            <w:right w:w="108" w:type="dxa"/>
          </w:tblCellMar>
        </w:tblPrEx>
        <w:trPr>
          <w:trHeight w:val="405" w:hRule="atLeast"/>
        </w:trPr>
        <w:tc>
          <w:tcPr>
            <w:tcW w:w="208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合计</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6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6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823.10 </w:t>
            </w:r>
          </w:p>
        </w:tc>
      </w:tr>
    </w:tbl>
    <w:p>
      <w:pPr>
        <w:pStyle w:val="55"/>
        <w:ind w:left="0" w:leftChars="0" w:firstLine="0" w:firstLineChars="0"/>
        <w:rPr>
          <w:rFonts w:hint="eastAsia" w:cs="Times New Roman"/>
          <w:color w:val="auto"/>
          <w:highlight w:val="none"/>
          <w:lang w:eastAsia="zh-CN"/>
        </w:rPr>
        <w:sectPr>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tbl>
      <w:tblPr>
        <w:tblStyle w:val="25"/>
        <w:tblW w:w="5000" w:type="pct"/>
        <w:tblInd w:w="0" w:type="dxa"/>
        <w:shd w:val="clear" w:color="auto" w:fill="auto"/>
        <w:tblLayout w:type="autofit"/>
        <w:tblCellMar>
          <w:top w:w="0" w:type="dxa"/>
          <w:left w:w="108" w:type="dxa"/>
          <w:bottom w:w="0" w:type="dxa"/>
          <w:right w:w="108" w:type="dxa"/>
        </w:tblCellMar>
      </w:tblPr>
      <w:tblGrid>
        <w:gridCol w:w="1622"/>
        <w:gridCol w:w="2453"/>
        <w:gridCol w:w="975"/>
        <w:gridCol w:w="975"/>
        <w:gridCol w:w="1515"/>
        <w:gridCol w:w="1520"/>
      </w:tblGrid>
      <w:tr>
        <w:tblPrEx>
          <w:shd w:val="clear" w:color="auto" w:fill="auto"/>
          <w:tblCellMar>
            <w:top w:w="0" w:type="dxa"/>
            <w:left w:w="108" w:type="dxa"/>
            <w:bottom w:w="0" w:type="dxa"/>
            <w:right w:w="108" w:type="dxa"/>
          </w:tblCellMar>
        </w:tblPrEx>
        <w:trPr>
          <w:trHeight w:val="369"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单价表四</w:t>
            </w:r>
          </w:p>
        </w:tc>
      </w:tr>
      <w:tr>
        <w:tblPrEx>
          <w:tblCellMar>
            <w:top w:w="0" w:type="dxa"/>
            <w:left w:w="108" w:type="dxa"/>
            <w:bottom w:w="0" w:type="dxa"/>
            <w:right w:w="108" w:type="dxa"/>
          </w:tblCellMar>
        </w:tblPrEx>
        <w:trPr>
          <w:trHeight w:val="369"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洒水</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定额编号</w:t>
            </w:r>
          </w:p>
        </w:tc>
        <w:tc>
          <w:tcPr>
            <w:tcW w:w="189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37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定额单位：</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100m³</w:t>
            </w:r>
          </w:p>
        </w:tc>
      </w:tr>
      <w:tr>
        <w:tblPrEx>
          <w:tblCellMar>
            <w:top w:w="0" w:type="dxa"/>
            <w:left w:w="108" w:type="dxa"/>
            <w:bottom w:w="0" w:type="dxa"/>
            <w:right w:w="108" w:type="dxa"/>
          </w:tblCellMar>
        </w:tblPrEx>
        <w:trPr>
          <w:trHeight w:val="369"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施工方法：洒水车拉水、洒水</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序号</w:t>
            </w: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项目名称</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单位</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数量</w:t>
            </w:r>
          </w:p>
        </w:tc>
        <w:tc>
          <w:tcPr>
            <w:tcW w:w="8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单价(元)</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合计(元)</w:t>
            </w:r>
          </w:p>
        </w:tc>
      </w:tr>
      <w:tr>
        <w:tblPrEx>
          <w:tblCellMar>
            <w:top w:w="0" w:type="dxa"/>
            <w:left w:w="108" w:type="dxa"/>
            <w:bottom w:w="0" w:type="dxa"/>
            <w:right w:w="108" w:type="dxa"/>
          </w:tblCellMar>
        </w:tblPrEx>
        <w:trPr>
          <w:trHeight w:val="369" w:hRule="atLeast"/>
        </w:trPr>
        <w:tc>
          <w:tcPr>
            <w:tcW w:w="895" w:type="pct"/>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一</w:t>
            </w:r>
          </w:p>
        </w:tc>
        <w:tc>
          <w:tcPr>
            <w:tcW w:w="1354" w:type="pct"/>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直接工程费</w:t>
            </w:r>
          </w:p>
        </w:tc>
        <w:tc>
          <w:tcPr>
            <w:tcW w:w="975"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75"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515"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52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941.14 </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(一)</w:t>
            </w: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直接费</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892.08 </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w:t>
            </w: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人工费</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35.28 </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人工</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工时</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11.76 </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35.28 </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2</w:t>
            </w: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材料费</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151.50 </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水</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100</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1.50 </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150.00 </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其他材料费</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150.00 </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1.50 </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3</w:t>
            </w: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机械使用费</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705.30 </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洒水车（8m³）</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台时</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7.56</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93.29 </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705.30 </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(二)</w:t>
            </w: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其他直接费</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0.5</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892.08 </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4.46 </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(三)</w:t>
            </w: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现场经费</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892.08 </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44.60 </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二</w:t>
            </w: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间接费</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4.4</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941.14 </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41.41 </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三</w:t>
            </w: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企业利润</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982.55 </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68.78 </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四</w:t>
            </w: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税金</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1051.33 </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94.62 </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小计</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1145.95 </w:t>
            </w:r>
          </w:p>
        </w:tc>
      </w:tr>
      <w:tr>
        <w:tblPrEx>
          <w:tblCellMar>
            <w:top w:w="0" w:type="dxa"/>
            <w:left w:w="108" w:type="dxa"/>
            <w:bottom w:w="0" w:type="dxa"/>
            <w:right w:w="108" w:type="dxa"/>
          </w:tblCellMar>
        </w:tblPrEx>
        <w:trPr>
          <w:trHeight w:val="369" w:hRule="atLeast"/>
        </w:trPr>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五</w:t>
            </w: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估算扩大</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1145.95 </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114.59 </w:t>
            </w:r>
          </w:p>
        </w:tc>
      </w:tr>
      <w:tr>
        <w:tblPrEx>
          <w:tblCellMar>
            <w:top w:w="0" w:type="dxa"/>
            <w:left w:w="108" w:type="dxa"/>
            <w:bottom w:w="0" w:type="dxa"/>
            <w:right w:w="108" w:type="dxa"/>
          </w:tblCellMar>
        </w:tblPrEx>
        <w:trPr>
          <w:trHeight w:val="369" w:hRule="atLeast"/>
        </w:trPr>
        <w:tc>
          <w:tcPr>
            <w:tcW w:w="2249"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合计</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515"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520"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1260.54 </w:t>
            </w:r>
          </w:p>
        </w:tc>
      </w:tr>
    </w:tbl>
    <w:p>
      <w:pPr>
        <w:pStyle w:val="55"/>
        <w:ind w:left="0" w:leftChars="0" w:firstLine="0" w:firstLineChars="0"/>
        <w:rPr>
          <w:rFonts w:hint="eastAsia" w:cs="Times New Roman"/>
          <w:color w:val="auto"/>
          <w:highlight w:val="none"/>
          <w:lang w:eastAsia="zh-CN"/>
        </w:rPr>
        <w:sectPr>
          <w:pgSz w:w="11906" w:h="16838"/>
          <w:pgMar w:top="1440" w:right="1531" w:bottom="1440" w:left="1531" w:header="851" w:footer="992" w:gutter="0"/>
          <w:pgBorders>
            <w:top w:val="none" w:sz="0" w:space="0"/>
            <w:left w:val="none" w:sz="0" w:space="0"/>
            <w:bottom w:val="none" w:sz="0" w:space="0"/>
            <w:right w:val="none" w:sz="0" w:space="0"/>
          </w:pgBorders>
          <w:pgNumType w:chapStyle="1"/>
          <w:cols w:space="720" w:num="1"/>
          <w:docGrid w:linePitch="312" w:charSpace="0"/>
        </w:sectPr>
      </w:pPr>
    </w:p>
    <w:tbl>
      <w:tblPr>
        <w:tblStyle w:val="25"/>
        <w:tblW w:w="5000" w:type="pct"/>
        <w:tblInd w:w="0" w:type="dxa"/>
        <w:shd w:val="clear" w:color="auto" w:fill="auto"/>
        <w:tblLayout w:type="autofit"/>
        <w:tblCellMar>
          <w:top w:w="0" w:type="dxa"/>
          <w:left w:w="108" w:type="dxa"/>
          <w:bottom w:w="0" w:type="dxa"/>
          <w:right w:w="108" w:type="dxa"/>
        </w:tblCellMar>
      </w:tblPr>
      <w:tblGrid>
        <w:gridCol w:w="1717"/>
        <w:gridCol w:w="2057"/>
        <w:gridCol w:w="1036"/>
        <w:gridCol w:w="1033"/>
        <w:gridCol w:w="1606"/>
        <w:gridCol w:w="1611"/>
      </w:tblGrid>
      <w:tr>
        <w:tblPrEx>
          <w:shd w:val="clear" w:color="auto" w:fill="auto"/>
          <w:tblCellMar>
            <w:top w:w="0" w:type="dxa"/>
            <w:left w:w="108" w:type="dxa"/>
            <w:bottom w:w="0" w:type="dxa"/>
            <w:right w:w="108" w:type="dxa"/>
          </w:tblCellMar>
        </w:tblPrEx>
        <w:trPr>
          <w:trHeight w:val="369"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单价表</w:t>
            </w:r>
            <w:r>
              <w:rPr>
                <w:rFonts w:hint="eastAsia" w:eastAsia="仿宋_GB2312" w:cs="Times New Roman"/>
                <w:color w:val="auto"/>
                <w:kern w:val="0"/>
                <w:sz w:val="21"/>
                <w:szCs w:val="21"/>
                <w:highlight w:val="none"/>
                <w:lang w:val="en-US" w:eastAsia="zh-CN"/>
              </w:rPr>
              <w:t>五</w:t>
            </w:r>
          </w:p>
        </w:tc>
      </w:tr>
      <w:tr>
        <w:tblPrEx>
          <w:tblCellMar>
            <w:top w:w="0" w:type="dxa"/>
            <w:left w:w="108" w:type="dxa"/>
            <w:bottom w:w="0" w:type="dxa"/>
            <w:right w:w="108" w:type="dxa"/>
          </w:tblCellMar>
        </w:tblPrEx>
        <w:trPr>
          <w:trHeight w:val="369"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防尘网苫盖</w:t>
            </w:r>
          </w:p>
        </w:tc>
      </w:tr>
      <w:tr>
        <w:tblPrEx>
          <w:tblCellMar>
            <w:top w:w="0" w:type="dxa"/>
            <w:left w:w="108" w:type="dxa"/>
            <w:bottom w:w="0" w:type="dxa"/>
            <w:right w:w="108" w:type="dxa"/>
          </w:tblCellMar>
        </w:tblPrEx>
        <w:trPr>
          <w:trHeight w:val="369"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定额编号</w:t>
            </w:r>
          </w:p>
        </w:tc>
        <w:tc>
          <w:tcPr>
            <w:tcW w:w="170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03003</w:t>
            </w:r>
          </w:p>
        </w:tc>
        <w:tc>
          <w:tcPr>
            <w:tcW w:w="14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定额单位：</w:t>
            </w:r>
          </w:p>
        </w:tc>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100m²</w:t>
            </w:r>
          </w:p>
        </w:tc>
      </w:tr>
      <w:tr>
        <w:tblPrEx>
          <w:tblCellMar>
            <w:top w:w="0" w:type="dxa"/>
            <w:left w:w="108" w:type="dxa"/>
            <w:bottom w:w="0" w:type="dxa"/>
            <w:right w:w="108" w:type="dxa"/>
          </w:tblCellMar>
        </w:tblPrEx>
        <w:trPr>
          <w:trHeight w:val="369"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施工方法：场内运输、铺设、接缝（针缝）</w:t>
            </w:r>
          </w:p>
        </w:tc>
      </w:tr>
      <w:tr>
        <w:tblPrEx>
          <w:tblCellMar>
            <w:top w:w="0" w:type="dxa"/>
            <w:left w:w="108" w:type="dxa"/>
            <w:bottom w:w="0" w:type="dxa"/>
            <w:right w:w="108" w:type="dxa"/>
          </w:tblCellMar>
        </w:tblPrEx>
        <w:trPr>
          <w:trHeight w:val="369"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序号</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项目名称</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单位</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数量</w:t>
            </w:r>
          </w:p>
        </w:tc>
        <w:tc>
          <w:tcPr>
            <w:tcW w:w="8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单价(元)</w:t>
            </w:r>
          </w:p>
        </w:tc>
        <w:tc>
          <w:tcPr>
            <w:tcW w:w="8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合计(元)</w:t>
            </w:r>
          </w:p>
        </w:tc>
      </w:tr>
      <w:tr>
        <w:tblPrEx>
          <w:tblCellMar>
            <w:top w:w="0" w:type="dxa"/>
            <w:left w:w="108" w:type="dxa"/>
            <w:bottom w:w="0" w:type="dxa"/>
            <w:right w:w="108" w:type="dxa"/>
          </w:tblCellMar>
        </w:tblPrEx>
        <w:trPr>
          <w:trHeight w:val="369" w:hRule="atLeast"/>
        </w:trPr>
        <w:tc>
          <w:tcPr>
            <w:tcW w:w="948" w:type="pct"/>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一</w:t>
            </w:r>
          </w:p>
        </w:tc>
        <w:tc>
          <w:tcPr>
            <w:tcW w:w="1136" w:type="pct"/>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直接工程费</w:t>
            </w:r>
          </w:p>
        </w:tc>
        <w:tc>
          <w:tcPr>
            <w:tcW w:w="1036"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033"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05"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1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566.24 </w:t>
            </w:r>
          </w:p>
        </w:tc>
      </w:tr>
      <w:tr>
        <w:tblPrEx>
          <w:tblCellMar>
            <w:top w:w="0" w:type="dxa"/>
            <w:left w:w="108" w:type="dxa"/>
            <w:bottom w:w="0" w:type="dxa"/>
            <w:right w:w="108" w:type="dxa"/>
          </w:tblCellMar>
        </w:tblPrEx>
        <w:trPr>
          <w:trHeight w:val="369"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(一)</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直接费</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536.72 </w:t>
            </w:r>
          </w:p>
        </w:tc>
      </w:tr>
      <w:tr>
        <w:tblPrEx>
          <w:tblCellMar>
            <w:top w:w="0" w:type="dxa"/>
            <w:left w:w="108" w:type="dxa"/>
            <w:bottom w:w="0" w:type="dxa"/>
            <w:right w:w="108" w:type="dxa"/>
          </w:tblCellMar>
        </w:tblPrEx>
        <w:trPr>
          <w:trHeight w:val="369"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人工费</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188.16 </w:t>
            </w:r>
          </w:p>
        </w:tc>
      </w:tr>
      <w:tr>
        <w:tblPrEx>
          <w:tblCellMar>
            <w:top w:w="0" w:type="dxa"/>
            <w:left w:w="108" w:type="dxa"/>
            <w:bottom w:w="0" w:type="dxa"/>
            <w:right w:w="108" w:type="dxa"/>
          </w:tblCellMar>
        </w:tblPrEx>
        <w:trPr>
          <w:trHeight w:val="369"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人工</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工时</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16</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11.76 </w:t>
            </w: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188.16 </w:t>
            </w:r>
          </w:p>
        </w:tc>
      </w:tr>
      <w:tr>
        <w:tblPrEx>
          <w:tblCellMar>
            <w:top w:w="0" w:type="dxa"/>
            <w:left w:w="108" w:type="dxa"/>
            <w:bottom w:w="0" w:type="dxa"/>
            <w:right w:w="108" w:type="dxa"/>
          </w:tblCellMar>
        </w:tblPrEx>
        <w:trPr>
          <w:trHeight w:val="369"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2</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材料费</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348.56 </w:t>
            </w:r>
          </w:p>
        </w:tc>
      </w:tr>
      <w:tr>
        <w:tblPrEx>
          <w:tblCellMar>
            <w:top w:w="0" w:type="dxa"/>
            <w:left w:w="108" w:type="dxa"/>
            <w:bottom w:w="0" w:type="dxa"/>
            <w:right w:w="108" w:type="dxa"/>
          </w:tblCellMar>
        </w:tblPrEx>
        <w:trPr>
          <w:trHeight w:val="369"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防尘网</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107</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3.19 </w:t>
            </w: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341.73 </w:t>
            </w:r>
          </w:p>
        </w:tc>
      </w:tr>
      <w:tr>
        <w:tblPrEx>
          <w:tblCellMar>
            <w:top w:w="0" w:type="dxa"/>
            <w:left w:w="108" w:type="dxa"/>
            <w:bottom w:w="0" w:type="dxa"/>
            <w:right w:w="108" w:type="dxa"/>
          </w:tblCellMar>
        </w:tblPrEx>
        <w:trPr>
          <w:trHeight w:val="369"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其他材料费</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341.73 </w:t>
            </w: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6.83 </w:t>
            </w:r>
          </w:p>
        </w:tc>
      </w:tr>
      <w:tr>
        <w:tblPrEx>
          <w:tblCellMar>
            <w:top w:w="0" w:type="dxa"/>
            <w:left w:w="108" w:type="dxa"/>
            <w:bottom w:w="0" w:type="dxa"/>
            <w:right w:w="108" w:type="dxa"/>
          </w:tblCellMar>
        </w:tblPrEx>
        <w:trPr>
          <w:trHeight w:val="369"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(二)</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其他直接费</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0.5</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536.72 </w:t>
            </w: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2.68 </w:t>
            </w:r>
          </w:p>
        </w:tc>
      </w:tr>
      <w:tr>
        <w:tblPrEx>
          <w:tblCellMar>
            <w:top w:w="0" w:type="dxa"/>
            <w:left w:w="108" w:type="dxa"/>
            <w:bottom w:w="0" w:type="dxa"/>
            <w:right w:w="108" w:type="dxa"/>
          </w:tblCellMar>
        </w:tblPrEx>
        <w:trPr>
          <w:trHeight w:val="369"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(三)</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现场经费</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5</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536.72 </w:t>
            </w: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26.84 </w:t>
            </w:r>
          </w:p>
        </w:tc>
      </w:tr>
      <w:tr>
        <w:tblPrEx>
          <w:tblCellMar>
            <w:top w:w="0" w:type="dxa"/>
            <w:left w:w="108" w:type="dxa"/>
            <w:bottom w:w="0" w:type="dxa"/>
            <w:right w:w="108" w:type="dxa"/>
          </w:tblCellMar>
        </w:tblPrEx>
        <w:trPr>
          <w:trHeight w:val="369"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二</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间接费</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4.4</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566.24 </w:t>
            </w: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24.91 </w:t>
            </w:r>
          </w:p>
        </w:tc>
      </w:tr>
      <w:tr>
        <w:tblPrEx>
          <w:tblCellMar>
            <w:top w:w="0" w:type="dxa"/>
            <w:left w:w="108" w:type="dxa"/>
            <w:bottom w:w="0" w:type="dxa"/>
            <w:right w:w="108" w:type="dxa"/>
          </w:tblCellMar>
        </w:tblPrEx>
        <w:trPr>
          <w:trHeight w:val="369"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三</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企业利润</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7</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591.15 </w:t>
            </w: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41.38 </w:t>
            </w:r>
          </w:p>
        </w:tc>
      </w:tr>
      <w:tr>
        <w:tblPrEx>
          <w:tblCellMar>
            <w:top w:w="0" w:type="dxa"/>
            <w:left w:w="108" w:type="dxa"/>
            <w:bottom w:w="0" w:type="dxa"/>
            <w:right w:w="108" w:type="dxa"/>
          </w:tblCellMar>
        </w:tblPrEx>
        <w:trPr>
          <w:trHeight w:val="369"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四</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税金</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9</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632.53 </w:t>
            </w: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56.93 </w:t>
            </w:r>
          </w:p>
        </w:tc>
      </w:tr>
      <w:tr>
        <w:tblPrEx>
          <w:tblCellMar>
            <w:top w:w="0" w:type="dxa"/>
            <w:left w:w="108" w:type="dxa"/>
            <w:bottom w:w="0" w:type="dxa"/>
            <w:right w:w="108" w:type="dxa"/>
          </w:tblCellMar>
        </w:tblPrEx>
        <w:trPr>
          <w:trHeight w:val="369"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小计</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689.46 </w:t>
            </w:r>
          </w:p>
        </w:tc>
      </w:tr>
      <w:tr>
        <w:tblPrEx>
          <w:tblCellMar>
            <w:top w:w="0" w:type="dxa"/>
            <w:left w:w="108" w:type="dxa"/>
            <w:bottom w:w="0" w:type="dxa"/>
            <w:right w:w="108" w:type="dxa"/>
          </w:tblCellMar>
        </w:tblPrEx>
        <w:trPr>
          <w:trHeight w:val="369" w:hRule="atLeast"/>
        </w:trPr>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五</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估算扩大</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10</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689.46 </w:t>
            </w:r>
          </w:p>
        </w:tc>
        <w:tc>
          <w:tcPr>
            <w:tcW w:w="1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68.95 </w:t>
            </w:r>
          </w:p>
        </w:tc>
      </w:tr>
      <w:tr>
        <w:tblPrEx>
          <w:tblCellMar>
            <w:top w:w="0" w:type="dxa"/>
            <w:left w:w="108" w:type="dxa"/>
            <w:bottom w:w="0" w:type="dxa"/>
            <w:right w:w="108" w:type="dxa"/>
          </w:tblCellMar>
        </w:tblPrEx>
        <w:trPr>
          <w:trHeight w:val="369" w:hRule="atLeast"/>
        </w:trPr>
        <w:tc>
          <w:tcPr>
            <w:tcW w:w="2084"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合计</w:t>
            </w:r>
          </w:p>
        </w:tc>
        <w:tc>
          <w:tcPr>
            <w:tcW w:w="103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033"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p>
        </w:tc>
        <w:tc>
          <w:tcPr>
            <w:tcW w:w="1610"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 xml:space="preserve">758.41 </w:t>
            </w:r>
          </w:p>
        </w:tc>
      </w:tr>
    </w:tbl>
    <w:p>
      <w:pPr>
        <w:pStyle w:val="55"/>
        <w:ind w:left="0" w:leftChars="0" w:firstLine="0" w:firstLineChars="0"/>
        <w:rPr>
          <w:rFonts w:hint="eastAsia" w:cs="Times New Roman"/>
          <w:color w:val="auto"/>
          <w:highlight w:val="none"/>
          <w:lang w:eastAsia="zh-CN"/>
        </w:rPr>
        <w:sectPr>
          <w:pgSz w:w="11906" w:h="16838"/>
          <w:pgMar w:top="1440" w:right="1531" w:bottom="1440" w:left="1531" w:header="851" w:footer="992" w:gutter="0"/>
          <w:pgBorders w:offsetFrom="page">
            <w:top w:val="none" w:sz="0" w:space="0"/>
            <w:left w:val="none" w:sz="0" w:space="0"/>
            <w:bottom w:val="none" w:sz="0" w:space="0"/>
            <w:right w:val="none" w:sz="0" w:space="0"/>
          </w:pgBorders>
          <w:pgNumType w:chapStyle="1"/>
          <w:cols w:space="720" w:num="1"/>
          <w:docGrid w:linePitch="312" w:charSpace="0"/>
        </w:sectPr>
      </w:pPr>
    </w:p>
    <w:tbl>
      <w:tblPr>
        <w:tblStyle w:val="25"/>
        <w:tblW w:w="5000" w:type="pct"/>
        <w:tblInd w:w="0" w:type="dxa"/>
        <w:shd w:val="clear" w:color="auto" w:fill="auto"/>
        <w:tblLayout w:type="autofit"/>
        <w:tblCellMar>
          <w:top w:w="0" w:type="dxa"/>
          <w:left w:w="108" w:type="dxa"/>
          <w:bottom w:w="0" w:type="dxa"/>
          <w:right w:w="108" w:type="dxa"/>
        </w:tblCellMar>
      </w:tblPr>
      <w:tblGrid>
        <w:gridCol w:w="1404"/>
        <w:gridCol w:w="2243"/>
        <w:gridCol w:w="982"/>
        <w:gridCol w:w="1055"/>
        <w:gridCol w:w="1687"/>
        <w:gridCol w:w="1689"/>
      </w:tblGrid>
      <w:tr>
        <w:tblPrEx>
          <w:shd w:val="clear" w:color="auto" w:fill="auto"/>
          <w:tblCellMar>
            <w:top w:w="0" w:type="dxa"/>
            <w:left w:w="108" w:type="dxa"/>
            <w:bottom w:w="0" w:type="dxa"/>
            <w:right w:w="108" w:type="dxa"/>
          </w:tblCellMar>
        </w:tblPrEx>
        <w:trPr>
          <w:trHeight w:val="369"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单价表六</w:t>
            </w:r>
          </w:p>
        </w:tc>
      </w:tr>
      <w:tr>
        <w:tblPrEx>
          <w:tblCellMar>
            <w:top w:w="0" w:type="dxa"/>
            <w:left w:w="108" w:type="dxa"/>
            <w:bottom w:w="0" w:type="dxa"/>
            <w:right w:w="108" w:type="dxa"/>
          </w:tblCellMar>
        </w:tblPrEx>
        <w:trPr>
          <w:trHeight w:val="369"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彩钢板拦挡</w:t>
            </w:r>
          </w:p>
        </w:tc>
      </w:tr>
      <w:tr>
        <w:tblPrEx>
          <w:tblCellMar>
            <w:top w:w="0" w:type="dxa"/>
            <w:left w:w="108" w:type="dxa"/>
            <w:bottom w:w="0" w:type="dxa"/>
            <w:right w:w="108" w:type="dxa"/>
          </w:tblCellMar>
        </w:tblPrEx>
        <w:trPr>
          <w:trHeight w:val="369" w:hRule="atLeast"/>
        </w:trPr>
        <w:tc>
          <w:tcPr>
            <w:tcW w:w="775" w:type="pct"/>
            <w:tcBorders>
              <w:top w:val="single" w:color="000000" w:sz="4" w:space="0"/>
              <w:left w:val="single" w:color="000000" w:sz="4" w:space="0"/>
              <w:bottom w:val="single" w:color="000000" w:sz="4" w:space="0"/>
              <w:right w:val="nil"/>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定额编号</w:t>
            </w:r>
          </w:p>
        </w:tc>
        <w:tc>
          <w:tcPr>
            <w:tcW w:w="178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03070</w:t>
            </w:r>
          </w:p>
        </w:tc>
        <w:tc>
          <w:tcPr>
            <w:tcW w:w="15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定额单位</w:t>
            </w: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100</w:t>
            </w:r>
            <w:r>
              <w:rPr>
                <w:rFonts w:hint="eastAsia" w:eastAsia="仿宋_GB2312" w:cs="Times New Roman"/>
                <w:color w:val="auto"/>
                <w:kern w:val="0"/>
                <w:sz w:val="21"/>
                <w:szCs w:val="21"/>
                <w:highlight w:val="none"/>
                <w:lang w:val="en-US" w:eastAsia="zh-CN"/>
              </w:rPr>
              <w:t>m²</w:t>
            </w:r>
          </w:p>
        </w:tc>
      </w:tr>
      <w:tr>
        <w:tblPrEx>
          <w:tblCellMar>
            <w:top w:w="0" w:type="dxa"/>
            <w:left w:w="108" w:type="dxa"/>
            <w:bottom w:w="0" w:type="dxa"/>
            <w:right w:w="108" w:type="dxa"/>
          </w:tblCellMar>
        </w:tblPrEx>
        <w:trPr>
          <w:trHeight w:val="369"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工作内容：场内运输、铺设、搭接</w:t>
            </w:r>
          </w:p>
        </w:tc>
      </w:tr>
      <w:tr>
        <w:tblPrEx>
          <w:tblCellMar>
            <w:top w:w="0" w:type="dxa"/>
            <w:left w:w="108" w:type="dxa"/>
            <w:bottom w:w="0" w:type="dxa"/>
            <w:right w:w="108" w:type="dxa"/>
          </w:tblCellMar>
        </w:tblPrEx>
        <w:trPr>
          <w:trHeight w:val="369" w:hRule="atLeast"/>
        </w:trPr>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编号</w:t>
            </w:r>
          </w:p>
        </w:tc>
        <w:tc>
          <w:tcPr>
            <w:tcW w:w="1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工程或费用名称</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单位</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数量</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单价（元）</w:t>
            </w: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合价（元）</w:t>
            </w:r>
          </w:p>
        </w:tc>
      </w:tr>
      <w:tr>
        <w:tblPrEx>
          <w:tblCellMar>
            <w:top w:w="0" w:type="dxa"/>
            <w:left w:w="108" w:type="dxa"/>
            <w:bottom w:w="0" w:type="dxa"/>
            <w:right w:w="108" w:type="dxa"/>
          </w:tblCellMar>
        </w:tblPrEx>
        <w:trPr>
          <w:trHeight w:val="369" w:hRule="atLeast"/>
        </w:trPr>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一</w:t>
            </w:r>
          </w:p>
        </w:tc>
        <w:tc>
          <w:tcPr>
            <w:tcW w:w="1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直接工程费</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7019.63 </w:t>
            </w:r>
          </w:p>
        </w:tc>
      </w:tr>
      <w:tr>
        <w:tblPrEx>
          <w:tblCellMar>
            <w:top w:w="0" w:type="dxa"/>
            <w:left w:w="108" w:type="dxa"/>
            <w:bottom w:w="0" w:type="dxa"/>
            <w:right w:w="108" w:type="dxa"/>
          </w:tblCellMar>
        </w:tblPrEx>
        <w:trPr>
          <w:trHeight w:val="369" w:hRule="atLeast"/>
        </w:trPr>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（一）</w:t>
            </w:r>
          </w:p>
        </w:tc>
        <w:tc>
          <w:tcPr>
            <w:tcW w:w="1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直接费</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6653.67 </w:t>
            </w:r>
          </w:p>
        </w:tc>
      </w:tr>
      <w:tr>
        <w:tblPrEx>
          <w:tblCellMar>
            <w:top w:w="0" w:type="dxa"/>
            <w:left w:w="108" w:type="dxa"/>
            <w:bottom w:w="0" w:type="dxa"/>
            <w:right w:w="108" w:type="dxa"/>
          </w:tblCellMar>
        </w:tblPrEx>
        <w:trPr>
          <w:trHeight w:val="369" w:hRule="atLeast"/>
        </w:trPr>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w:t>
            </w:r>
          </w:p>
        </w:tc>
        <w:tc>
          <w:tcPr>
            <w:tcW w:w="1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人工费</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191.10 </w:t>
            </w:r>
          </w:p>
        </w:tc>
      </w:tr>
      <w:tr>
        <w:tblPrEx>
          <w:tblCellMar>
            <w:top w:w="0" w:type="dxa"/>
            <w:left w:w="108" w:type="dxa"/>
            <w:bottom w:w="0" w:type="dxa"/>
            <w:right w:w="108" w:type="dxa"/>
          </w:tblCellMar>
        </w:tblPrEx>
        <w:trPr>
          <w:trHeight w:val="369" w:hRule="atLeast"/>
        </w:trPr>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人工</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工时</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16.25</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11.76 </w:t>
            </w: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191.10 </w:t>
            </w:r>
          </w:p>
        </w:tc>
      </w:tr>
      <w:tr>
        <w:tblPrEx>
          <w:tblCellMar>
            <w:top w:w="0" w:type="dxa"/>
            <w:left w:w="108" w:type="dxa"/>
            <w:bottom w:w="0" w:type="dxa"/>
            <w:right w:w="108" w:type="dxa"/>
          </w:tblCellMar>
        </w:tblPrEx>
        <w:trPr>
          <w:trHeight w:val="369" w:hRule="atLeast"/>
        </w:trPr>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2</w:t>
            </w:r>
          </w:p>
        </w:tc>
        <w:tc>
          <w:tcPr>
            <w:tcW w:w="1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材料费</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6462.57 </w:t>
            </w:r>
          </w:p>
        </w:tc>
      </w:tr>
      <w:tr>
        <w:tblPrEx>
          <w:tblCellMar>
            <w:top w:w="0" w:type="dxa"/>
            <w:left w:w="108" w:type="dxa"/>
            <w:bottom w:w="0" w:type="dxa"/>
            <w:right w:w="108" w:type="dxa"/>
          </w:tblCellMar>
        </w:tblPrEx>
        <w:trPr>
          <w:trHeight w:val="369" w:hRule="atLeast"/>
        </w:trPr>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彩钢板</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eastAsia="仿宋_GB2312" w:cs="Times New Roman"/>
                <w:color w:val="auto"/>
                <w:kern w:val="0"/>
                <w:sz w:val="21"/>
                <w:szCs w:val="21"/>
                <w:highlight w:val="none"/>
                <w:lang w:val="en-US" w:eastAsia="zh-CN"/>
              </w:rPr>
              <w:t>m²</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125.00 </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51.19 </w:t>
            </w: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6398.59 </w:t>
            </w:r>
          </w:p>
        </w:tc>
      </w:tr>
      <w:tr>
        <w:tblPrEx>
          <w:tblCellMar>
            <w:top w:w="0" w:type="dxa"/>
            <w:left w:w="108" w:type="dxa"/>
            <w:bottom w:w="0" w:type="dxa"/>
            <w:right w:w="108" w:type="dxa"/>
          </w:tblCellMar>
        </w:tblPrEx>
        <w:trPr>
          <w:trHeight w:val="369" w:hRule="atLeast"/>
        </w:trPr>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其他材料费</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6398.59 </w:t>
            </w: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63.99 </w:t>
            </w:r>
          </w:p>
        </w:tc>
      </w:tr>
      <w:tr>
        <w:tblPrEx>
          <w:tblCellMar>
            <w:top w:w="0" w:type="dxa"/>
            <w:left w:w="108" w:type="dxa"/>
            <w:bottom w:w="0" w:type="dxa"/>
            <w:right w:w="108" w:type="dxa"/>
          </w:tblCellMar>
        </w:tblPrEx>
        <w:trPr>
          <w:trHeight w:val="369" w:hRule="atLeast"/>
        </w:trPr>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（二）</w:t>
            </w:r>
          </w:p>
        </w:tc>
        <w:tc>
          <w:tcPr>
            <w:tcW w:w="1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其它直接费</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0.5</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6653.67 </w:t>
            </w: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33.27 </w:t>
            </w:r>
          </w:p>
        </w:tc>
      </w:tr>
      <w:tr>
        <w:tblPrEx>
          <w:tblCellMar>
            <w:top w:w="0" w:type="dxa"/>
            <w:left w:w="108" w:type="dxa"/>
            <w:bottom w:w="0" w:type="dxa"/>
            <w:right w:w="108" w:type="dxa"/>
          </w:tblCellMar>
        </w:tblPrEx>
        <w:trPr>
          <w:trHeight w:val="369" w:hRule="atLeast"/>
        </w:trPr>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（三）</w:t>
            </w:r>
          </w:p>
        </w:tc>
        <w:tc>
          <w:tcPr>
            <w:tcW w:w="1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现场经费</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5</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6653.67 </w:t>
            </w: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332.68 </w:t>
            </w:r>
          </w:p>
        </w:tc>
      </w:tr>
      <w:tr>
        <w:tblPrEx>
          <w:tblCellMar>
            <w:top w:w="0" w:type="dxa"/>
            <w:left w:w="108" w:type="dxa"/>
            <w:bottom w:w="0" w:type="dxa"/>
            <w:right w:w="108" w:type="dxa"/>
          </w:tblCellMar>
        </w:tblPrEx>
        <w:trPr>
          <w:trHeight w:val="369" w:hRule="atLeast"/>
        </w:trPr>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二</w:t>
            </w:r>
          </w:p>
        </w:tc>
        <w:tc>
          <w:tcPr>
            <w:tcW w:w="1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间接费</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4.4</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7019.63 </w:t>
            </w: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308.86 </w:t>
            </w:r>
          </w:p>
        </w:tc>
      </w:tr>
      <w:tr>
        <w:tblPrEx>
          <w:tblCellMar>
            <w:top w:w="0" w:type="dxa"/>
            <w:left w:w="108" w:type="dxa"/>
            <w:bottom w:w="0" w:type="dxa"/>
            <w:right w:w="108" w:type="dxa"/>
          </w:tblCellMar>
        </w:tblPrEx>
        <w:trPr>
          <w:trHeight w:val="369" w:hRule="atLeast"/>
        </w:trPr>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三</w:t>
            </w:r>
          </w:p>
        </w:tc>
        <w:tc>
          <w:tcPr>
            <w:tcW w:w="1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企业利润</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7</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7328.49 </w:t>
            </w: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512.99 </w:t>
            </w:r>
          </w:p>
        </w:tc>
      </w:tr>
      <w:tr>
        <w:tblPrEx>
          <w:tblCellMar>
            <w:top w:w="0" w:type="dxa"/>
            <w:left w:w="108" w:type="dxa"/>
            <w:bottom w:w="0" w:type="dxa"/>
            <w:right w:w="108" w:type="dxa"/>
          </w:tblCellMar>
        </w:tblPrEx>
        <w:trPr>
          <w:trHeight w:val="369" w:hRule="atLeast"/>
        </w:trPr>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四</w:t>
            </w:r>
          </w:p>
        </w:tc>
        <w:tc>
          <w:tcPr>
            <w:tcW w:w="1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税金</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9</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7841.48 </w:t>
            </w: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705.73 </w:t>
            </w:r>
          </w:p>
        </w:tc>
      </w:tr>
      <w:tr>
        <w:tblPrEx>
          <w:tblCellMar>
            <w:top w:w="0" w:type="dxa"/>
            <w:left w:w="108" w:type="dxa"/>
            <w:bottom w:w="0" w:type="dxa"/>
            <w:right w:w="108" w:type="dxa"/>
          </w:tblCellMar>
        </w:tblPrEx>
        <w:trPr>
          <w:trHeight w:val="369" w:hRule="atLeast"/>
        </w:trPr>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1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小计</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8547.22 </w:t>
            </w:r>
          </w:p>
        </w:tc>
      </w:tr>
      <w:tr>
        <w:tblPrEx>
          <w:tblCellMar>
            <w:top w:w="0" w:type="dxa"/>
            <w:left w:w="108" w:type="dxa"/>
            <w:bottom w:w="0" w:type="dxa"/>
            <w:right w:w="108" w:type="dxa"/>
          </w:tblCellMar>
        </w:tblPrEx>
        <w:trPr>
          <w:trHeight w:val="369" w:hRule="atLeast"/>
        </w:trPr>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五</w:t>
            </w:r>
          </w:p>
        </w:tc>
        <w:tc>
          <w:tcPr>
            <w:tcW w:w="1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估算扩大</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10</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8547.22 </w:t>
            </w: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854.72 </w:t>
            </w:r>
          </w:p>
        </w:tc>
      </w:tr>
      <w:tr>
        <w:tblPrEx>
          <w:tblCellMar>
            <w:top w:w="0" w:type="dxa"/>
            <w:left w:w="108" w:type="dxa"/>
            <w:bottom w:w="0" w:type="dxa"/>
            <w:right w:w="108" w:type="dxa"/>
          </w:tblCellMar>
        </w:tblPrEx>
        <w:trPr>
          <w:trHeight w:val="369" w:hRule="atLeast"/>
        </w:trPr>
        <w:tc>
          <w:tcPr>
            <w:tcW w:w="20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合</w:t>
            </w:r>
            <w:r>
              <w:rPr>
                <w:rFonts w:hint="default" w:ascii="Times New Roman" w:hAnsi="Times New Roman" w:eastAsia="仿宋_GB2312" w:cs="Times New Roman"/>
                <w:color w:val="auto"/>
                <w:kern w:val="0"/>
                <w:sz w:val="21"/>
                <w:szCs w:val="21"/>
                <w:highlight w:val="none"/>
                <w:lang w:val="en-US" w:eastAsia="zh-CN"/>
              </w:rPr>
              <w:t xml:space="preserve">     </w:t>
            </w:r>
            <w:r>
              <w:rPr>
                <w:rFonts w:hint="eastAsia" w:ascii="Times New Roman" w:hAnsi="Times New Roman" w:eastAsia="仿宋_GB2312" w:cs="Times New Roman"/>
                <w:color w:val="auto"/>
                <w:kern w:val="0"/>
                <w:sz w:val="21"/>
                <w:szCs w:val="21"/>
                <w:highlight w:val="none"/>
                <w:lang w:val="en-US" w:eastAsia="zh-CN"/>
              </w:rPr>
              <w:t>计</w:t>
            </w:r>
          </w:p>
        </w:tc>
        <w:tc>
          <w:tcPr>
            <w:tcW w:w="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 xml:space="preserve">9401.94 </w:t>
            </w:r>
          </w:p>
        </w:tc>
      </w:tr>
    </w:tbl>
    <w:p>
      <w:pPr>
        <w:pStyle w:val="55"/>
        <w:ind w:left="0" w:leftChars="0" w:firstLine="0" w:firstLineChars="0"/>
        <w:rPr>
          <w:rFonts w:hint="eastAsia" w:cs="Times New Roman"/>
          <w:color w:val="auto"/>
          <w:highlight w:val="none"/>
          <w:lang w:eastAsia="zh-CN"/>
        </w:rPr>
        <w:sectPr>
          <w:headerReference r:id="rId31" w:type="default"/>
          <w:pgSz w:w="11906" w:h="16838"/>
          <w:pgMar w:top="1440" w:right="1531" w:bottom="1440" w:left="1531" w:header="851" w:footer="992" w:gutter="0"/>
          <w:pgBorders w:offsetFrom="page">
            <w:top w:val="none" w:sz="0" w:space="0"/>
            <w:left w:val="none" w:sz="0" w:space="0"/>
            <w:bottom w:val="none" w:sz="0" w:space="0"/>
            <w:right w:val="none" w:sz="0" w:space="0"/>
          </w:pgBorders>
          <w:pgNumType w:chapStyle="1"/>
          <w:cols w:space="720" w:num="1"/>
          <w:docGrid w:linePitch="312" w:charSpace="0"/>
        </w:sectPr>
      </w:pPr>
    </w:p>
    <w:p>
      <w:pPr>
        <w:pStyle w:val="55"/>
        <w:keepNext w:val="0"/>
        <w:keepLines w:val="0"/>
        <w:pageBreakBefore w:val="0"/>
        <w:widowControl/>
        <w:kinsoku/>
        <w:wordWrap/>
        <w:overflowPunct/>
        <w:topLinePunct w:val="0"/>
        <w:autoSpaceDE/>
        <w:autoSpaceDN/>
        <w:bidi w:val="0"/>
        <w:adjustRightInd w:val="0"/>
        <w:snapToGrid w:val="0"/>
        <w:ind w:left="0" w:leftChars="0" w:firstLine="0" w:firstLineChars="0"/>
        <w:textAlignment w:val="auto"/>
        <w:outlineLvl w:val="0"/>
        <w:rPr>
          <w:rFonts w:hint="eastAsia" w:cs="Times New Roman"/>
          <w:color w:val="auto"/>
          <w:highlight w:val="none"/>
          <w:lang w:eastAsia="zh-CN"/>
        </w:rPr>
      </w:pPr>
      <w:r>
        <w:rPr>
          <w:rFonts w:hint="eastAsia" w:cs="Times New Roman"/>
          <w:color w:val="auto"/>
          <w:highlight w:val="none"/>
          <w:lang w:eastAsia="zh-CN"/>
        </w:rPr>
        <w:t>附件</w:t>
      </w:r>
      <w:r>
        <w:rPr>
          <w:rFonts w:hint="eastAsia" w:cs="Times New Roman"/>
          <w:color w:val="auto"/>
          <w:highlight w:val="none"/>
          <w:lang w:val="en-US" w:eastAsia="zh-CN"/>
        </w:rPr>
        <w:t>1</w:t>
      </w:r>
      <w:r>
        <w:rPr>
          <w:rFonts w:hint="eastAsia" w:cs="Times New Roman"/>
          <w:color w:val="auto"/>
          <w:highlight w:val="none"/>
          <w:lang w:eastAsia="zh-CN"/>
        </w:rPr>
        <w:t>：水土保持方案委托书</w:t>
      </w:r>
    </w:p>
    <w:p>
      <w:pPr>
        <w:pStyle w:val="55"/>
        <w:ind w:left="0" w:leftChars="0" w:firstLine="0" w:firstLineChars="0"/>
        <w:rPr>
          <w:rFonts w:hint="default" w:cs="Times New Roman"/>
          <w:color w:val="auto"/>
          <w:highlight w:val="none"/>
          <w:lang w:val="en-US" w:eastAsia="zh-CN"/>
        </w:rPr>
      </w:pPr>
    </w:p>
    <w:p>
      <w:pPr>
        <w:pStyle w:val="55"/>
        <w:ind w:left="0" w:leftChars="0" w:firstLine="0" w:firstLineChars="0"/>
        <w:jc w:val="center"/>
        <w:rPr>
          <w:rFonts w:hint="eastAsia" w:cs="Times New Roman"/>
          <w:b/>
          <w:bCs/>
          <w:color w:val="auto"/>
          <w:sz w:val="44"/>
          <w:szCs w:val="44"/>
          <w:highlight w:val="none"/>
          <w:lang w:val="en-US" w:eastAsia="zh-CN"/>
        </w:rPr>
      </w:pPr>
      <w:r>
        <w:rPr>
          <w:rFonts w:hint="eastAsia" w:cs="Times New Roman"/>
          <w:b/>
          <w:bCs/>
          <w:color w:val="auto"/>
          <w:sz w:val="44"/>
          <w:szCs w:val="44"/>
          <w:highlight w:val="none"/>
          <w:lang w:val="en-US" w:eastAsia="zh-CN"/>
        </w:rPr>
        <w:t>委托书</w:t>
      </w:r>
    </w:p>
    <w:p>
      <w:pPr>
        <w:pStyle w:val="55"/>
        <w:ind w:left="0" w:leftChars="0" w:firstLine="0" w:firstLineChars="0"/>
        <w:rPr>
          <w:rFonts w:hint="eastAsia" w:cs="Times New Roman"/>
          <w:b/>
          <w:bCs/>
          <w:color w:val="auto"/>
          <w:highlight w:val="none"/>
          <w:lang w:val="en-US" w:eastAsia="zh-CN"/>
        </w:rPr>
      </w:pPr>
      <w:r>
        <w:rPr>
          <w:rFonts w:hint="eastAsia" w:cs="Times New Roman"/>
          <w:b/>
          <w:bCs/>
          <w:color w:val="auto"/>
          <w:highlight w:val="none"/>
          <w:lang w:val="en-US" w:eastAsia="zh-CN"/>
        </w:rPr>
        <w:t>新疆万汇工程项目管理有限公司：</w:t>
      </w:r>
    </w:p>
    <w:p>
      <w:pPr>
        <w:pStyle w:val="55"/>
        <w:ind w:left="0" w:leftChars="0" w:firstLine="480" w:firstLineChars="200"/>
        <w:rPr>
          <w:rFonts w:hint="eastAsia" w:cs="Times New Roman"/>
          <w:color w:val="auto"/>
          <w:highlight w:val="none"/>
          <w:lang w:val="en-US" w:eastAsia="zh-CN"/>
        </w:rPr>
      </w:pPr>
      <w:r>
        <w:rPr>
          <w:rFonts w:hint="eastAsia" w:cs="Times New Roman"/>
          <w:color w:val="auto"/>
          <w:highlight w:val="none"/>
          <w:lang w:val="en-US" w:eastAsia="zh-CN"/>
        </w:rPr>
        <w:t>根据《中华人名共和国水土保持法》相关规定，策勒县城东加油站水土保持方案报告表编制工作，现特委托你公司开展此项目。</w:t>
      </w:r>
    </w:p>
    <w:p>
      <w:pPr>
        <w:pStyle w:val="55"/>
        <w:ind w:left="0" w:leftChars="0" w:firstLine="480" w:firstLineChars="200"/>
        <w:rPr>
          <w:rFonts w:hint="eastAsia" w:cs="Times New Roman"/>
          <w:color w:val="auto"/>
          <w:highlight w:val="none"/>
          <w:lang w:val="en-US" w:eastAsia="zh-CN"/>
        </w:rPr>
      </w:pPr>
      <w:r>
        <w:rPr>
          <w:rFonts w:hint="eastAsia" w:cs="Times New Roman"/>
          <w:color w:val="auto"/>
          <w:highlight w:val="none"/>
          <w:lang w:val="en-US" w:eastAsia="zh-CN"/>
        </w:rPr>
        <w:t>请你方根据《开发建设项目水土保持方案编制审批管理规定》、《开发建设项目水土保持方案技术规范》，按照水利部对建设项目水土保持相关工作要求，在接此委托书后开展工作，并在三日后来我单位签订相关合同。</w:t>
      </w:r>
    </w:p>
    <w:p>
      <w:pPr>
        <w:pStyle w:val="55"/>
        <w:ind w:left="0" w:leftChars="0" w:firstLine="480" w:firstLineChars="200"/>
        <w:rPr>
          <w:rFonts w:hint="default" w:cs="Times New Roman"/>
          <w:color w:val="auto"/>
          <w:highlight w:val="none"/>
          <w:lang w:val="en-US" w:eastAsia="zh-CN"/>
        </w:rPr>
      </w:pPr>
      <w:r>
        <w:rPr>
          <w:rFonts w:hint="eastAsia" w:cs="Times New Roman"/>
          <w:color w:val="auto"/>
          <w:highlight w:val="none"/>
          <w:lang w:val="en-US" w:eastAsia="zh-CN"/>
        </w:rPr>
        <w:t>特此委托。</w:t>
      </w:r>
    </w:p>
    <w:p>
      <w:pPr>
        <w:pStyle w:val="55"/>
        <w:ind w:left="0" w:leftChars="0" w:firstLine="0" w:firstLineChars="0"/>
        <w:rPr>
          <w:rFonts w:hint="eastAsia" w:cs="Times New Roman"/>
          <w:color w:val="auto"/>
          <w:highlight w:val="none"/>
          <w:lang w:val="en-US" w:eastAsia="zh-CN"/>
        </w:rPr>
      </w:pPr>
    </w:p>
    <w:p>
      <w:pPr>
        <w:pStyle w:val="55"/>
        <w:ind w:left="0" w:leftChars="0" w:firstLine="0" w:firstLineChars="0"/>
        <w:rPr>
          <w:rFonts w:hint="eastAsia" w:cs="Times New Roman"/>
          <w:color w:val="auto"/>
          <w:highlight w:val="none"/>
          <w:lang w:val="en-US" w:eastAsia="zh-CN"/>
        </w:rPr>
      </w:pPr>
    </w:p>
    <w:p>
      <w:pPr>
        <w:pStyle w:val="55"/>
        <w:ind w:left="0" w:leftChars="0" w:firstLine="0" w:firstLineChars="0"/>
        <w:rPr>
          <w:rFonts w:hint="eastAsia" w:cs="Times New Roman"/>
          <w:color w:val="auto"/>
          <w:highlight w:val="none"/>
          <w:lang w:val="en-US" w:eastAsia="zh-CN"/>
        </w:rPr>
      </w:pPr>
    </w:p>
    <w:p>
      <w:pPr>
        <w:pStyle w:val="55"/>
        <w:ind w:left="0" w:leftChars="0" w:firstLine="0" w:firstLineChars="0"/>
        <w:jc w:val="right"/>
        <w:rPr>
          <w:rFonts w:hint="eastAsia" w:cs="Times New Roman"/>
          <w:b/>
          <w:bCs/>
          <w:color w:val="auto"/>
          <w:highlight w:val="none"/>
          <w:lang w:val="en-US" w:eastAsia="zh-CN"/>
        </w:rPr>
      </w:pPr>
      <w:r>
        <w:rPr>
          <w:rFonts w:hint="eastAsia" w:ascii="Times New Roman" w:hAnsi="Times New Roman" w:eastAsia="仿宋_GB2312" w:cs="Times New Roman"/>
          <w:b/>
          <w:bCs/>
          <w:color w:val="auto"/>
          <w:highlight w:val="none"/>
          <w:lang w:eastAsia="zh-CN"/>
        </w:rPr>
        <w:t>中国石化销售</w:t>
      </w:r>
      <w:r>
        <w:rPr>
          <w:rFonts w:hint="eastAsia" w:cs="Times New Roman"/>
          <w:b/>
          <w:bCs/>
          <w:color w:val="auto"/>
          <w:highlight w:val="none"/>
          <w:lang w:eastAsia="zh-CN"/>
        </w:rPr>
        <w:t>股份</w:t>
      </w:r>
      <w:r>
        <w:rPr>
          <w:rFonts w:hint="eastAsia" w:ascii="Times New Roman" w:hAnsi="Times New Roman" w:eastAsia="仿宋_GB2312" w:cs="Times New Roman"/>
          <w:b/>
          <w:bCs/>
          <w:color w:val="auto"/>
          <w:highlight w:val="none"/>
          <w:lang w:eastAsia="zh-CN"/>
        </w:rPr>
        <w:t>有限公司新疆和田石油分公司</w:t>
      </w:r>
    </w:p>
    <w:p>
      <w:pPr>
        <w:pStyle w:val="55"/>
        <w:ind w:left="0" w:leftChars="0" w:firstLine="0" w:firstLineChars="0"/>
        <w:jc w:val="right"/>
        <w:rPr>
          <w:rFonts w:hint="default" w:cs="Times New Roman"/>
          <w:b/>
          <w:bCs/>
          <w:color w:val="auto"/>
          <w:highlight w:val="none"/>
          <w:lang w:val="en-US" w:eastAsia="zh-CN"/>
        </w:rPr>
        <w:sectPr>
          <w:headerReference r:id="rId32" w:type="default"/>
          <w:pgSz w:w="11906" w:h="16838"/>
          <w:pgMar w:top="1440" w:right="1531" w:bottom="1440" w:left="1531" w:header="851" w:footer="992" w:gutter="0"/>
          <w:pgBorders w:offsetFrom="page">
            <w:top w:val="none" w:sz="0" w:space="0"/>
            <w:left w:val="none" w:sz="0" w:space="0"/>
            <w:bottom w:val="none" w:sz="0" w:space="0"/>
            <w:right w:val="none" w:sz="0" w:space="0"/>
          </w:pgBorders>
          <w:pgNumType w:chapStyle="1"/>
          <w:cols w:space="720" w:num="1"/>
          <w:docGrid w:linePitch="312" w:charSpace="0"/>
        </w:sectPr>
      </w:pPr>
      <w:r>
        <w:rPr>
          <w:rFonts w:hint="eastAsia" w:cs="Times New Roman"/>
          <w:b/>
          <w:bCs/>
          <w:color w:val="auto"/>
          <w:highlight w:val="none"/>
          <w:lang w:val="en-US" w:eastAsia="zh-CN"/>
        </w:rPr>
        <w:t xml:space="preserve">                                   2021年7月</w:t>
      </w:r>
    </w:p>
    <w:p>
      <w:pPr>
        <w:pStyle w:val="55"/>
        <w:keepNext w:val="0"/>
        <w:keepLines w:val="0"/>
        <w:pageBreakBefore w:val="0"/>
        <w:widowControl/>
        <w:kinsoku/>
        <w:wordWrap/>
        <w:overflowPunct/>
        <w:topLinePunct w:val="0"/>
        <w:autoSpaceDE/>
        <w:autoSpaceDN/>
        <w:bidi w:val="0"/>
        <w:adjustRightInd w:val="0"/>
        <w:snapToGrid w:val="0"/>
        <w:ind w:left="0" w:leftChars="0" w:firstLine="0" w:firstLineChars="0"/>
        <w:textAlignment w:val="auto"/>
        <w:outlineLvl w:val="0"/>
        <w:rPr>
          <w:rFonts w:hint="eastAsia" w:cs="Times New Roman"/>
          <w:color w:val="auto"/>
          <w:highlight w:val="none"/>
          <w:lang w:val="en-US" w:eastAsia="zh-CN"/>
        </w:rPr>
      </w:pPr>
      <w:r>
        <w:rPr>
          <w:rFonts w:hint="eastAsia" w:cs="Times New Roman"/>
          <w:color w:val="auto"/>
          <w:highlight w:val="none"/>
          <w:lang w:eastAsia="zh-CN"/>
        </w:rPr>
        <w:t>附件</w:t>
      </w:r>
      <w:r>
        <w:rPr>
          <w:rFonts w:hint="eastAsia" w:cs="Times New Roman"/>
          <w:color w:val="auto"/>
          <w:highlight w:val="none"/>
          <w:lang w:val="en-US" w:eastAsia="zh-CN"/>
        </w:rPr>
        <w:t>2：项目备案证</w:t>
      </w:r>
    </w:p>
    <w:p>
      <w:pPr>
        <w:pStyle w:val="55"/>
        <w:ind w:left="0" w:leftChars="0" w:firstLine="0" w:firstLineChars="0"/>
        <w:rPr>
          <w:rFonts w:hint="eastAsia" w:cs="Times New Roman"/>
          <w:color w:val="auto"/>
          <w:highlight w:val="none"/>
          <w:lang w:val="en-US" w:eastAsia="zh-CN"/>
        </w:rPr>
      </w:pPr>
      <w:r>
        <w:rPr>
          <w:rFonts w:hint="eastAsia" w:cs="Times New Roman"/>
          <w:color w:val="auto"/>
          <w:highlight w:val="none"/>
          <w:lang w:val="en-US" w:eastAsia="zh-CN"/>
        </w:rPr>
        <w:drawing>
          <wp:inline distT="0" distB="0" distL="114300" distR="114300">
            <wp:extent cx="5610860" cy="7261225"/>
            <wp:effectExtent l="0" t="0" r="8890" b="15875"/>
            <wp:docPr id="7" name="图片 7" descr="附件2-策勒城东发改委备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2-策勒城东发改委备案_00"/>
                    <pic:cNvPicPr>
                      <a:picLocks noChangeAspect="1"/>
                    </pic:cNvPicPr>
                  </pic:nvPicPr>
                  <pic:blipFill>
                    <a:blip r:embed="rId43"/>
                    <a:stretch>
                      <a:fillRect/>
                    </a:stretch>
                  </pic:blipFill>
                  <pic:spPr>
                    <a:xfrm>
                      <a:off x="0" y="0"/>
                      <a:ext cx="5610860" cy="7261225"/>
                    </a:xfrm>
                    <a:prstGeom prst="rect">
                      <a:avLst/>
                    </a:prstGeom>
                  </pic:spPr>
                </pic:pic>
              </a:graphicData>
            </a:graphic>
          </wp:inline>
        </w:drawing>
      </w:r>
    </w:p>
    <w:p>
      <w:pPr>
        <w:pStyle w:val="55"/>
        <w:ind w:left="0" w:leftChars="0" w:firstLine="0" w:firstLineChars="0"/>
        <w:rPr>
          <w:rFonts w:hint="default" w:cs="Times New Roman"/>
          <w:color w:val="auto"/>
          <w:highlight w:val="none"/>
          <w:lang w:val="en-US" w:eastAsia="zh-CN"/>
        </w:rPr>
        <w:sectPr>
          <w:pgSz w:w="11906" w:h="16838"/>
          <w:pgMar w:top="1440" w:right="1531" w:bottom="1440" w:left="1531" w:header="851" w:footer="992" w:gutter="0"/>
          <w:pgBorders w:offsetFrom="page">
            <w:top w:val="none" w:sz="0" w:space="0"/>
            <w:left w:val="none" w:sz="0" w:space="0"/>
            <w:bottom w:val="none" w:sz="0" w:space="0"/>
            <w:right w:val="none" w:sz="0" w:space="0"/>
          </w:pgBorders>
          <w:pgNumType w:chapStyle="1"/>
          <w:cols w:space="720" w:num="1"/>
          <w:docGrid w:linePitch="312" w:charSpace="0"/>
        </w:sectPr>
      </w:pPr>
    </w:p>
    <w:p>
      <w:pPr>
        <w:pStyle w:val="55"/>
        <w:keepNext w:val="0"/>
        <w:keepLines w:val="0"/>
        <w:pageBreakBefore w:val="0"/>
        <w:widowControl/>
        <w:kinsoku/>
        <w:wordWrap/>
        <w:overflowPunct/>
        <w:topLinePunct w:val="0"/>
        <w:autoSpaceDE/>
        <w:autoSpaceDN/>
        <w:bidi w:val="0"/>
        <w:adjustRightInd w:val="0"/>
        <w:snapToGrid w:val="0"/>
        <w:ind w:left="0" w:leftChars="0" w:firstLine="0" w:firstLineChars="0"/>
        <w:textAlignment w:val="auto"/>
        <w:outlineLvl w:val="0"/>
        <w:rPr>
          <w:rFonts w:hint="eastAsia" w:cs="Times New Roman"/>
          <w:color w:val="auto"/>
          <w:highlight w:val="none"/>
          <w:lang w:val="en-US" w:eastAsia="zh-CN"/>
        </w:rPr>
      </w:pPr>
      <w:r>
        <w:rPr>
          <w:rFonts w:hint="eastAsia" w:cs="Times New Roman"/>
          <w:color w:val="auto"/>
          <w:highlight w:val="none"/>
          <w:lang w:val="en-US" w:eastAsia="zh-CN"/>
        </w:rPr>
        <w:t>附件3：建设用地规划许可证</w:t>
      </w:r>
    </w:p>
    <w:p>
      <w:pPr>
        <w:pStyle w:val="55"/>
        <w:ind w:left="0" w:leftChars="0" w:firstLine="0" w:firstLineChars="0"/>
        <w:jc w:val="center"/>
        <w:rPr>
          <w:rFonts w:hint="default" w:cs="Times New Roman"/>
          <w:color w:val="auto"/>
          <w:highlight w:val="none"/>
          <w:lang w:val="en-US" w:eastAsia="zh-CN"/>
        </w:rPr>
        <w:sectPr>
          <w:pgSz w:w="11906" w:h="16838"/>
          <w:pgMar w:top="1440" w:right="1531" w:bottom="1440" w:left="1531" w:header="851" w:footer="992" w:gutter="0"/>
          <w:pgBorders w:offsetFrom="page">
            <w:top w:val="none" w:sz="0" w:space="0"/>
            <w:left w:val="none" w:sz="0" w:space="0"/>
            <w:bottom w:val="none" w:sz="0" w:space="0"/>
            <w:right w:val="none" w:sz="0" w:space="0"/>
          </w:pgBorders>
          <w:pgNumType w:chapStyle="1"/>
          <w:cols w:space="720" w:num="1"/>
          <w:docGrid w:linePitch="312" w:charSpace="0"/>
        </w:sectPr>
      </w:pPr>
      <w:r>
        <w:rPr>
          <w:rFonts w:hint="default" w:cs="Times New Roman"/>
          <w:color w:val="auto"/>
          <w:highlight w:val="none"/>
          <w:lang w:val="en-US" w:eastAsia="zh-CN"/>
        </w:rPr>
        <w:drawing>
          <wp:inline distT="0" distB="0" distL="114300" distR="114300">
            <wp:extent cx="5610225" cy="4335145"/>
            <wp:effectExtent l="0" t="0" r="8255" b="9525"/>
            <wp:docPr id="19" name="图片 19" descr="附件5-建设用地许可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附件5-建设用地许可证_00"/>
                    <pic:cNvPicPr>
                      <a:picLocks noChangeAspect="1"/>
                    </pic:cNvPicPr>
                  </pic:nvPicPr>
                  <pic:blipFill>
                    <a:blip r:embed="rId44"/>
                    <a:stretch>
                      <a:fillRect/>
                    </a:stretch>
                  </pic:blipFill>
                  <pic:spPr>
                    <a:xfrm rot="5400000">
                      <a:off x="0" y="0"/>
                      <a:ext cx="5610225" cy="4335145"/>
                    </a:xfrm>
                    <a:prstGeom prst="rect">
                      <a:avLst/>
                    </a:prstGeom>
                  </pic:spPr>
                </pic:pic>
              </a:graphicData>
            </a:graphic>
          </wp:inline>
        </w:drawing>
      </w:r>
    </w:p>
    <w:p>
      <w:pPr>
        <w:pStyle w:val="55"/>
        <w:keepNext w:val="0"/>
        <w:keepLines w:val="0"/>
        <w:pageBreakBefore w:val="0"/>
        <w:widowControl/>
        <w:kinsoku/>
        <w:wordWrap/>
        <w:overflowPunct/>
        <w:topLinePunct w:val="0"/>
        <w:autoSpaceDE/>
        <w:autoSpaceDN/>
        <w:bidi w:val="0"/>
        <w:adjustRightInd w:val="0"/>
        <w:snapToGrid w:val="0"/>
        <w:ind w:left="0" w:leftChars="0" w:firstLine="0" w:firstLineChars="0"/>
        <w:textAlignment w:val="auto"/>
        <w:outlineLvl w:val="0"/>
        <w:rPr>
          <w:rFonts w:hint="eastAsia" w:cs="Times New Roman"/>
          <w:color w:val="auto"/>
          <w:highlight w:val="none"/>
          <w:lang w:val="en-US" w:eastAsia="zh-CN"/>
        </w:rPr>
      </w:pPr>
      <w:r>
        <w:rPr>
          <w:rFonts w:hint="eastAsia" w:cs="Times New Roman"/>
          <w:color w:val="auto"/>
          <w:highlight w:val="none"/>
          <w:lang w:eastAsia="zh-CN"/>
        </w:rPr>
        <w:t>附件</w:t>
      </w:r>
      <w:r>
        <w:rPr>
          <w:rFonts w:hint="eastAsia" w:cs="Times New Roman"/>
          <w:color w:val="auto"/>
          <w:highlight w:val="none"/>
          <w:lang w:val="en-US" w:eastAsia="zh-CN"/>
        </w:rPr>
        <w:t>4：建设项目环境影响报告表批复</w:t>
      </w:r>
    </w:p>
    <w:p>
      <w:pPr>
        <w:pStyle w:val="55"/>
        <w:ind w:left="0" w:leftChars="0" w:firstLine="0" w:firstLineChars="0"/>
        <w:rPr>
          <w:rFonts w:hint="eastAsia" w:cs="Times New Roman"/>
          <w:color w:val="auto"/>
          <w:highlight w:val="none"/>
          <w:lang w:val="en-US" w:eastAsia="zh-CN"/>
        </w:rPr>
      </w:pPr>
      <w:r>
        <w:rPr>
          <w:rFonts w:hint="eastAsia" w:cs="Times New Roman"/>
          <w:color w:val="auto"/>
          <w:highlight w:val="none"/>
          <w:lang w:val="en-US" w:eastAsia="zh-CN"/>
        </w:rPr>
        <w:drawing>
          <wp:inline distT="0" distB="0" distL="114300" distR="114300">
            <wp:extent cx="5610860" cy="7261225"/>
            <wp:effectExtent l="0" t="0" r="8890" b="15875"/>
            <wp:docPr id="8" name="图片 8" descr="附件3-策勒县城东环保批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3-策勒县城东环保批复_00"/>
                    <pic:cNvPicPr>
                      <a:picLocks noChangeAspect="1"/>
                    </pic:cNvPicPr>
                  </pic:nvPicPr>
                  <pic:blipFill>
                    <a:blip r:embed="rId45"/>
                    <a:stretch>
                      <a:fillRect/>
                    </a:stretch>
                  </pic:blipFill>
                  <pic:spPr>
                    <a:xfrm>
                      <a:off x="0" y="0"/>
                      <a:ext cx="5610860" cy="7261225"/>
                    </a:xfrm>
                    <a:prstGeom prst="rect">
                      <a:avLst/>
                    </a:prstGeom>
                  </pic:spPr>
                </pic:pic>
              </a:graphicData>
            </a:graphic>
          </wp:inline>
        </w:drawing>
      </w:r>
    </w:p>
    <w:p>
      <w:pPr>
        <w:pStyle w:val="55"/>
        <w:ind w:left="0" w:leftChars="0" w:firstLine="0" w:firstLineChars="0"/>
        <w:rPr>
          <w:rFonts w:hint="default" w:cs="Times New Roman"/>
          <w:color w:val="auto"/>
          <w:highlight w:val="none"/>
          <w:lang w:val="en-US" w:eastAsia="zh-CN"/>
        </w:rPr>
        <w:sectPr>
          <w:pgSz w:w="11906" w:h="16838"/>
          <w:pgMar w:top="1440" w:right="1531" w:bottom="1440" w:left="1531" w:header="851" w:footer="992" w:gutter="0"/>
          <w:pgBorders w:offsetFrom="page">
            <w:top w:val="none" w:sz="0" w:space="0"/>
            <w:left w:val="none" w:sz="0" w:space="0"/>
            <w:bottom w:val="none" w:sz="0" w:space="0"/>
            <w:right w:val="none" w:sz="0" w:space="0"/>
          </w:pgBorders>
          <w:pgNumType w:chapStyle="1"/>
          <w:cols w:space="720" w:num="1"/>
          <w:docGrid w:linePitch="312" w:charSpace="0"/>
        </w:sectPr>
      </w:pPr>
    </w:p>
    <w:p>
      <w:pPr>
        <w:pStyle w:val="55"/>
        <w:ind w:left="0" w:leftChars="0" w:firstLine="0" w:firstLineChars="0"/>
        <w:rPr>
          <w:rFonts w:hint="eastAsia" w:cs="Times New Roman"/>
          <w:color w:val="auto"/>
          <w:highlight w:val="none"/>
          <w:lang w:eastAsia="zh-CN"/>
        </w:rPr>
        <w:sectPr>
          <w:pgSz w:w="11906" w:h="16838"/>
          <w:pgMar w:top="1440" w:right="1531" w:bottom="1440" w:left="1531" w:header="851" w:footer="992" w:gutter="0"/>
          <w:pgBorders w:offsetFrom="page">
            <w:top w:val="none" w:sz="0" w:space="0"/>
            <w:left w:val="none" w:sz="0" w:space="0"/>
            <w:bottom w:val="none" w:sz="0" w:space="0"/>
            <w:right w:val="none" w:sz="0" w:space="0"/>
          </w:pgBorders>
          <w:pgNumType w:chapStyle="1"/>
          <w:cols w:space="720" w:num="1"/>
          <w:docGrid w:linePitch="312" w:charSpace="0"/>
        </w:sectPr>
      </w:pPr>
      <w:r>
        <w:rPr>
          <w:rFonts w:hint="eastAsia" w:cs="Times New Roman"/>
          <w:color w:val="auto"/>
          <w:highlight w:val="none"/>
          <w:lang w:eastAsia="zh-CN"/>
        </w:rPr>
        <w:drawing>
          <wp:inline distT="0" distB="0" distL="114300" distR="114300">
            <wp:extent cx="5610860" cy="7261225"/>
            <wp:effectExtent l="0" t="0" r="8890" b="15875"/>
            <wp:docPr id="9" name="图片 9" descr="附件3-策勒县城东环保批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件3-策勒县城东环保批复_01"/>
                    <pic:cNvPicPr>
                      <a:picLocks noChangeAspect="1"/>
                    </pic:cNvPicPr>
                  </pic:nvPicPr>
                  <pic:blipFill>
                    <a:blip r:embed="rId46"/>
                    <a:stretch>
                      <a:fillRect/>
                    </a:stretch>
                  </pic:blipFill>
                  <pic:spPr>
                    <a:xfrm>
                      <a:off x="0" y="0"/>
                      <a:ext cx="5610860" cy="7261225"/>
                    </a:xfrm>
                    <a:prstGeom prst="rect">
                      <a:avLst/>
                    </a:prstGeom>
                  </pic:spPr>
                </pic:pic>
              </a:graphicData>
            </a:graphic>
          </wp:inline>
        </w:drawing>
      </w:r>
    </w:p>
    <w:p>
      <w:pPr>
        <w:pStyle w:val="55"/>
        <w:ind w:left="0" w:leftChars="0" w:firstLine="0" w:firstLineChars="0"/>
        <w:rPr>
          <w:rFonts w:hint="eastAsia" w:cs="Times New Roman"/>
          <w:color w:val="auto"/>
          <w:highlight w:val="none"/>
          <w:lang w:eastAsia="zh-CN"/>
        </w:rPr>
        <w:sectPr>
          <w:pgSz w:w="11906" w:h="16838"/>
          <w:pgMar w:top="1440" w:right="1531" w:bottom="1440" w:left="1531" w:header="851" w:footer="992" w:gutter="0"/>
          <w:pgBorders w:offsetFrom="page">
            <w:top w:val="none" w:sz="0" w:space="0"/>
            <w:left w:val="none" w:sz="0" w:space="0"/>
            <w:bottom w:val="none" w:sz="0" w:space="0"/>
            <w:right w:val="none" w:sz="0" w:space="0"/>
          </w:pgBorders>
          <w:pgNumType w:chapStyle="1"/>
          <w:cols w:space="720" w:num="1"/>
          <w:docGrid w:linePitch="312" w:charSpace="0"/>
        </w:sectPr>
      </w:pPr>
      <w:r>
        <w:rPr>
          <w:rFonts w:hint="eastAsia" w:cs="Times New Roman"/>
          <w:color w:val="auto"/>
          <w:highlight w:val="none"/>
          <w:lang w:eastAsia="zh-CN"/>
        </w:rPr>
        <w:drawing>
          <wp:inline distT="0" distB="0" distL="114300" distR="114300">
            <wp:extent cx="5610860" cy="7261225"/>
            <wp:effectExtent l="0" t="0" r="8890" b="15875"/>
            <wp:docPr id="10" name="图片 10" descr="附件3-策勒县城东环保批复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件3-策勒县城东环保批复_02"/>
                    <pic:cNvPicPr>
                      <a:picLocks noChangeAspect="1"/>
                    </pic:cNvPicPr>
                  </pic:nvPicPr>
                  <pic:blipFill>
                    <a:blip r:embed="rId47"/>
                    <a:stretch>
                      <a:fillRect/>
                    </a:stretch>
                  </pic:blipFill>
                  <pic:spPr>
                    <a:xfrm>
                      <a:off x="0" y="0"/>
                      <a:ext cx="5610860" cy="7261225"/>
                    </a:xfrm>
                    <a:prstGeom prst="rect">
                      <a:avLst/>
                    </a:prstGeom>
                  </pic:spPr>
                </pic:pic>
              </a:graphicData>
            </a:graphic>
          </wp:inline>
        </w:drawing>
      </w:r>
    </w:p>
    <w:p>
      <w:pPr>
        <w:pStyle w:val="55"/>
        <w:ind w:left="0" w:leftChars="0" w:firstLine="0" w:firstLineChars="0"/>
        <w:rPr>
          <w:rFonts w:hint="eastAsia" w:cs="Times New Roman"/>
          <w:color w:val="auto"/>
          <w:highlight w:val="none"/>
          <w:lang w:eastAsia="zh-CN"/>
        </w:rPr>
        <w:sectPr>
          <w:pgSz w:w="11906" w:h="16838"/>
          <w:pgMar w:top="1440" w:right="1531" w:bottom="1440" w:left="1531" w:header="851" w:footer="992" w:gutter="0"/>
          <w:pgBorders w:offsetFrom="page">
            <w:top w:val="none" w:sz="0" w:space="0"/>
            <w:left w:val="none" w:sz="0" w:space="0"/>
            <w:bottom w:val="none" w:sz="0" w:space="0"/>
            <w:right w:val="none" w:sz="0" w:space="0"/>
          </w:pgBorders>
          <w:pgNumType w:chapStyle="1"/>
          <w:cols w:space="720" w:num="1"/>
          <w:docGrid w:linePitch="312" w:charSpace="0"/>
        </w:sectPr>
      </w:pPr>
      <w:r>
        <w:rPr>
          <w:rFonts w:hint="eastAsia" w:cs="Times New Roman"/>
          <w:color w:val="auto"/>
          <w:highlight w:val="none"/>
          <w:lang w:eastAsia="zh-CN"/>
        </w:rPr>
        <w:drawing>
          <wp:inline distT="0" distB="0" distL="114300" distR="114300">
            <wp:extent cx="5610860" cy="7261225"/>
            <wp:effectExtent l="0" t="0" r="8890" b="15875"/>
            <wp:docPr id="11" name="图片 11" descr="附件3-策勒县城东环保批复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件3-策勒县城东环保批复_03"/>
                    <pic:cNvPicPr>
                      <a:picLocks noChangeAspect="1"/>
                    </pic:cNvPicPr>
                  </pic:nvPicPr>
                  <pic:blipFill>
                    <a:blip r:embed="rId48"/>
                    <a:stretch>
                      <a:fillRect/>
                    </a:stretch>
                  </pic:blipFill>
                  <pic:spPr>
                    <a:xfrm>
                      <a:off x="0" y="0"/>
                      <a:ext cx="5610860" cy="7261225"/>
                    </a:xfrm>
                    <a:prstGeom prst="rect">
                      <a:avLst/>
                    </a:prstGeom>
                  </pic:spPr>
                </pic:pic>
              </a:graphicData>
            </a:graphic>
          </wp:inline>
        </w:drawing>
      </w:r>
    </w:p>
    <w:p>
      <w:pPr>
        <w:pStyle w:val="55"/>
        <w:keepNext w:val="0"/>
        <w:keepLines w:val="0"/>
        <w:pageBreakBefore w:val="0"/>
        <w:widowControl/>
        <w:kinsoku/>
        <w:wordWrap/>
        <w:overflowPunct/>
        <w:topLinePunct w:val="0"/>
        <w:autoSpaceDE/>
        <w:autoSpaceDN/>
        <w:bidi w:val="0"/>
        <w:adjustRightInd w:val="0"/>
        <w:snapToGrid w:val="0"/>
        <w:ind w:left="0" w:leftChars="0" w:firstLine="0" w:firstLineChars="0"/>
        <w:textAlignment w:val="auto"/>
        <w:outlineLvl w:val="0"/>
        <w:rPr>
          <w:rFonts w:hint="eastAsia" w:cs="Times New Roman"/>
          <w:color w:val="auto"/>
          <w:highlight w:val="none"/>
          <w:lang w:val="en-US" w:eastAsia="zh-CN"/>
        </w:rPr>
      </w:pPr>
      <w:r>
        <w:rPr>
          <w:rFonts w:hint="eastAsia" w:cs="Times New Roman"/>
          <w:color w:val="auto"/>
          <w:highlight w:val="none"/>
          <w:lang w:eastAsia="zh-CN"/>
        </w:rPr>
        <w:t>附件</w:t>
      </w:r>
      <w:r>
        <w:rPr>
          <w:rFonts w:hint="eastAsia" w:cs="Times New Roman"/>
          <w:color w:val="auto"/>
          <w:highlight w:val="none"/>
          <w:lang w:val="en-US" w:eastAsia="zh-CN"/>
        </w:rPr>
        <w:t>5：项目商务立项批复</w:t>
      </w:r>
    </w:p>
    <w:p>
      <w:pPr>
        <w:pStyle w:val="55"/>
        <w:ind w:left="0" w:leftChars="0" w:firstLine="0" w:firstLineChars="0"/>
        <w:rPr>
          <w:rFonts w:hint="default" w:cs="Times New Roman"/>
          <w:color w:val="auto"/>
          <w:highlight w:val="none"/>
          <w:lang w:val="en-US" w:eastAsia="zh-CN"/>
        </w:rPr>
        <w:sectPr>
          <w:pgSz w:w="11906" w:h="16838"/>
          <w:pgMar w:top="1440" w:right="1531" w:bottom="1440" w:left="1531" w:header="851" w:footer="992" w:gutter="0"/>
          <w:pgBorders w:offsetFrom="page">
            <w:top w:val="none" w:sz="0" w:space="0"/>
            <w:left w:val="none" w:sz="0" w:space="0"/>
            <w:bottom w:val="none" w:sz="0" w:space="0"/>
            <w:right w:val="none" w:sz="0" w:space="0"/>
          </w:pgBorders>
          <w:pgNumType w:chapStyle="1"/>
          <w:cols w:space="720" w:num="1"/>
          <w:docGrid w:linePitch="312" w:charSpace="0"/>
        </w:sectPr>
      </w:pPr>
      <w:r>
        <w:rPr>
          <w:rFonts w:hint="default" w:cs="Times New Roman"/>
          <w:color w:val="auto"/>
          <w:highlight w:val="none"/>
          <w:lang w:val="en-US" w:eastAsia="zh-CN"/>
        </w:rPr>
        <w:drawing>
          <wp:inline distT="0" distB="0" distL="114300" distR="114300">
            <wp:extent cx="5610860" cy="7261225"/>
            <wp:effectExtent l="0" t="0" r="8890" b="15875"/>
            <wp:docPr id="12" name="图片 12" descr="附件4-策勒城东商务立项批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附件4-策勒城东商务立项批复_00"/>
                    <pic:cNvPicPr>
                      <a:picLocks noChangeAspect="1"/>
                    </pic:cNvPicPr>
                  </pic:nvPicPr>
                  <pic:blipFill>
                    <a:blip r:embed="rId49"/>
                    <a:stretch>
                      <a:fillRect/>
                    </a:stretch>
                  </pic:blipFill>
                  <pic:spPr>
                    <a:xfrm>
                      <a:off x="0" y="0"/>
                      <a:ext cx="5610860" cy="7261225"/>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jc w:val="both"/>
        <w:textAlignment w:val="auto"/>
        <w:rPr>
          <w:rFonts w:hint="eastAsia" w:ascii="Times New Roman" w:hAnsi="Times New Roman" w:eastAsia="仿宋_GB2312" w:cs="Times New Roman"/>
          <w:b/>
          <w:bCs/>
          <w:color w:val="000000" w:themeColor="text1"/>
          <w:kern w:val="0"/>
          <w:sz w:val="30"/>
          <w:szCs w:val="30"/>
          <w:lang w:val="en-US" w:eastAsia="zh-CN" w:bidi="ar"/>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b/>
          <w:bCs/>
          <w:color w:val="000000" w:themeColor="text1"/>
          <w:kern w:val="0"/>
          <w:sz w:val="30"/>
          <w:szCs w:val="30"/>
          <w:lang w:val="en-US" w:eastAsia="zh-CN" w:bidi="ar"/>
          <w14:textFill>
            <w14:solidFill>
              <w14:schemeClr w14:val="tx1"/>
            </w14:solidFill>
          </w14:textFill>
        </w:rPr>
        <w:drawing>
          <wp:inline distT="0" distB="0" distL="114300" distR="114300">
            <wp:extent cx="5271135" cy="7453630"/>
            <wp:effectExtent l="0" t="0" r="5715" b="13970"/>
            <wp:docPr id="1" name="图片 1" descr="策勒县城东加油站项目水土保持方案报告表-黄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策勒县城东加油站项目水土保持方案报告表-黄_00"/>
                    <pic:cNvPicPr>
                      <a:picLocks noChangeAspect="1"/>
                    </pic:cNvPicPr>
                  </pic:nvPicPr>
                  <pic:blipFill>
                    <a:blip r:embed="rId50"/>
                    <a:stretch>
                      <a:fillRect/>
                    </a:stretch>
                  </pic:blipFill>
                  <pic:spPr>
                    <a:xfrm>
                      <a:off x="0" y="0"/>
                      <a:ext cx="5271135" cy="745363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仿宋_GB2312" w:cs="Times New Roman"/>
          <w:b/>
          <w:bCs/>
          <w:color w:val="000000" w:themeColor="text1"/>
          <w:kern w:val="0"/>
          <w:sz w:val="30"/>
          <w:szCs w:val="30"/>
          <w:lang w:val="en-US" w:eastAsia="zh-CN" w:bidi="ar"/>
          <w14:textFill>
            <w14:solidFill>
              <w14:schemeClr w14:val="tx1"/>
            </w14:solidFill>
          </w14:textFill>
        </w:rPr>
      </w:pPr>
      <w:r>
        <w:rPr>
          <w:rFonts w:hint="eastAsia" w:ascii="Times New Roman" w:hAnsi="Times New Roman" w:eastAsia="仿宋_GB2312" w:cs="Times New Roman"/>
          <w:b/>
          <w:bCs/>
          <w:color w:val="000000" w:themeColor="text1"/>
          <w:kern w:val="0"/>
          <w:sz w:val="30"/>
          <w:szCs w:val="30"/>
          <w:lang w:val="en-US" w:eastAsia="zh-CN" w:bidi="ar"/>
          <w14:textFill>
            <w14:solidFill>
              <w14:schemeClr w14:val="tx1"/>
            </w14:solidFill>
          </w14:textFill>
        </w:rPr>
        <w:t>策勒县城东加油站项目水土保持方案报告表修改说明</w:t>
      </w:r>
    </w:p>
    <w:p>
      <w:pPr>
        <w:pStyle w:val="13"/>
        <w:keepNext w:val="0"/>
        <w:keepLines w:val="0"/>
        <w:pageBreakBefore w:val="0"/>
        <w:numPr>
          <w:ilvl w:val="0"/>
          <w:numId w:val="0"/>
        </w:numPr>
        <w:kinsoku/>
        <w:wordWrap/>
        <w:overflowPunct/>
        <w:topLinePunct w:val="0"/>
        <w:autoSpaceDE/>
        <w:autoSpaceDN/>
        <w:bidi w:val="0"/>
        <w:adjustRightInd/>
        <w:snapToGrid w:val="0"/>
        <w:spacing w:line="360" w:lineRule="auto"/>
        <w:textAlignment w:val="auto"/>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黄骁勇专家意见</w:t>
      </w:r>
    </w:p>
    <w:p>
      <w:pPr>
        <w:keepNext w:val="0"/>
        <w:keepLines w:val="0"/>
        <w:pageBreakBefore w:val="0"/>
        <w:widowControl/>
        <w:numPr>
          <w:ilvl w:val="0"/>
          <w:numId w:val="10"/>
        </w:numPr>
        <w:suppressLineNumbers w:val="0"/>
        <w:kinsoku/>
        <w:wordWrap/>
        <w:overflowPunct/>
        <w:topLinePunct w:val="0"/>
        <w:autoSpaceDE/>
        <w:autoSpaceDN/>
        <w:bidi w:val="0"/>
        <w:adjustRightInd/>
        <w:snapToGrid w:val="0"/>
        <w:spacing w:line="360" w:lineRule="auto"/>
        <w:jc w:val="left"/>
        <w:textAlignment w:val="auto"/>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在综合说明中进一步完善项目概况和项目区概况，完善施工组织设计相关情况；复核编制依据、设计水平年（推后一年）；完善方案特性表。</w:t>
      </w:r>
    </w:p>
    <w:p>
      <w:pPr>
        <w:pStyle w:val="13"/>
        <w:keepNext w:val="0"/>
        <w:keepLines w:val="0"/>
        <w:pageBreakBefore w:val="0"/>
        <w:numPr>
          <w:ilvl w:val="0"/>
          <w:numId w:val="0"/>
        </w:numPr>
        <w:kinsoku/>
        <w:wordWrap/>
        <w:overflowPunct/>
        <w:topLinePunct w:val="0"/>
        <w:autoSpaceDE/>
        <w:autoSpaceDN/>
        <w:bidi w:val="0"/>
        <w:adjustRightInd/>
        <w:snapToGrid w:val="0"/>
        <w:spacing w:line="360" w:lineRule="auto"/>
        <w:textAlignment w:val="auto"/>
        <w:rPr>
          <w:rFonts w:hint="default" w:ascii="Times New Roman" w:hAnsi="Times New Roman" w:eastAsia="仿宋_GB2312" w:cs="Times New Roman"/>
          <w:color w:val="000000" w:themeColor="text1"/>
          <w:sz w:val="24"/>
          <w:szCs w:val="24"/>
          <w:lang w:val="en-US"/>
          <w14:textFill>
            <w14:solidFill>
              <w14:schemeClr w14:val="tx1"/>
            </w14:solidFill>
          </w14:textFill>
        </w:rPr>
      </w:pP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修改说明：</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已根据专家意见补充完善相关内容</w:t>
      </w:r>
      <w:r>
        <w:rPr>
          <w:rFonts w:hint="eastAsia" w:ascii="Times New Roman" w:hAnsi="Times New Roman" w:eastAsia="仿宋_GB2312" w:cs="Times New Roman"/>
          <w:color w:val="000000" w:themeColor="text1"/>
          <w:kern w:val="0"/>
          <w:sz w:val="24"/>
          <w:szCs w:val="24"/>
          <w:lang w:val="en-US" w:eastAsia="zh-CN" w:bidi="ar"/>
          <w14:textFill>
            <w14:solidFill>
              <w14:schemeClr w14:val="tx1"/>
            </w14:solidFill>
          </w14:textFill>
        </w:rPr>
        <w:t>，已复核编制依据、设计水平年及两区，特性表已完善。</w:t>
      </w:r>
      <w:r>
        <w:rPr>
          <w:rFonts w:hint="eastAsia" w:eastAsia="仿宋_GB2312" w:cs="Times New Roman"/>
          <w:color w:val="000000" w:themeColor="text1"/>
          <w:kern w:val="0"/>
          <w:sz w:val="24"/>
          <w:szCs w:val="24"/>
          <w:lang w:val="en-US" w:eastAsia="zh-CN" w:bidi="ar"/>
          <w14:textFill>
            <w14:solidFill>
              <w14:schemeClr w14:val="tx1"/>
            </w14:solidFill>
          </w14:textFill>
        </w:rPr>
        <w:t>（P3-5）</w:t>
      </w:r>
    </w:p>
    <w:p>
      <w:pPr>
        <w:keepNext w:val="0"/>
        <w:keepLines w:val="0"/>
        <w:pageBreakBefore w:val="0"/>
        <w:widowControl/>
        <w:numPr>
          <w:ilvl w:val="0"/>
          <w:numId w:val="10"/>
        </w:numPr>
        <w:suppressLineNumbers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bidi="ar"/>
          <w14:textFill>
            <w14:solidFill>
              <w14:schemeClr w14:val="tx1"/>
            </w14:solidFill>
          </w14:textFill>
        </w:rPr>
        <w:t>完善竖向布置，明确各防治分区高程；进一步完善工程项目组成的内容的介绍，应图、文和表共同介绍，应着重介绍与土石方相关的内容；项目概况太简单；尤其应进一步完善建筑物区（明确站房、油罐区、加油区罩棚、加油机基础建筑物基础设计尺寸，管线工程区单列，不放入此区，绿化内容在工程概况中介绍缺失，明确绿化覆土来源和灌溉水源、土石方量、占地）、道路及硬化区（进场道路跟此区合并，明确进场道路是否在红线内，补充道路垫层量及来源）、管线工程区（此区单列，明确管线施工作业带、垫层和管材等；复核长度）、永久供水、永久供电和施工生产生活区的布设，补充典型剖面图；绿化可不单独分区；补充施工用水和施工用电等的介绍；复核有无临时堆土区；复核工程占地和土石方平衡，复核占地面积和类型，复核有无表土剥离，补充完善外借土方；补充各防治分区拐点坐标。进一步完善工程区的气象、土壤、植被章节的内容。</w:t>
      </w:r>
    </w:p>
    <w:p>
      <w:pPr>
        <w:pStyle w:val="13"/>
        <w:keepNext w:val="0"/>
        <w:keepLines w:val="0"/>
        <w:pageBreakBefore w:val="0"/>
        <w:numPr>
          <w:ilvl w:val="0"/>
          <w:numId w:val="0"/>
        </w:numPr>
        <w:kinsoku/>
        <w:wordWrap/>
        <w:overflowPunct/>
        <w:topLinePunct w:val="0"/>
        <w:autoSpaceDE/>
        <w:autoSpaceDN/>
        <w:bidi w:val="0"/>
        <w:adjustRightInd/>
        <w:snapToGrid w:val="0"/>
        <w:spacing w:line="360" w:lineRule="auto"/>
        <w:ind w:leftChars="0"/>
        <w:textAlignment w:val="auto"/>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24"/>
          <w:szCs w:val="24"/>
          <w:lang w:val="en-US" w:eastAsia="zh-CN" w:bidi="ar"/>
          <w14:textFill>
            <w14:solidFill>
              <w14:schemeClr w14:val="tx1"/>
            </w14:solidFill>
          </w14:textFill>
        </w:rPr>
        <w:t>修改说明</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：根据专家意见补充完善相关内容，</w:t>
      </w:r>
      <w:r>
        <w:rPr>
          <w:rFonts w:hint="eastAsia" w:eastAsia="仿宋_GB2312" w:cs="Times New Roman"/>
          <w:color w:val="000000" w:themeColor="text1"/>
          <w:kern w:val="0"/>
          <w:sz w:val="24"/>
          <w:szCs w:val="24"/>
          <w:lang w:val="en-US" w:eastAsia="zh-CN" w:bidi="ar"/>
          <w14:textFill>
            <w14:solidFill>
              <w14:schemeClr w14:val="tx1"/>
            </w14:solidFill>
          </w14:textFill>
        </w:rPr>
        <w:t>并</w:t>
      </w:r>
      <w:r>
        <w:rPr>
          <w:rFonts w:hint="eastAsia" w:ascii="Times New Roman" w:hAnsi="Times New Roman" w:eastAsia="仿宋_GB2312" w:cs="Times New Roman"/>
          <w:color w:val="000000" w:themeColor="text1"/>
          <w:kern w:val="0"/>
          <w:sz w:val="24"/>
          <w:szCs w:val="24"/>
          <w:lang w:val="en-US" w:eastAsia="zh-CN" w:bidi="ar"/>
          <w14:textFill>
            <w14:solidFill>
              <w14:schemeClr w14:val="tx1"/>
            </w14:solidFill>
          </w14:textFill>
        </w:rPr>
        <w:t>补充区内</w:t>
      </w:r>
      <w:r>
        <w:rPr>
          <w:rFonts w:hint="eastAsia" w:eastAsia="仿宋_GB2312" w:cs="Times New Roman"/>
          <w:color w:val="000000" w:themeColor="text1"/>
          <w:kern w:val="0"/>
          <w:sz w:val="24"/>
          <w:szCs w:val="24"/>
          <w:lang w:val="en-US" w:eastAsia="zh-CN" w:bidi="ar"/>
          <w14:textFill>
            <w14:solidFill>
              <w14:schemeClr w14:val="tx1"/>
            </w14:solidFill>
          </w14:textFill>
        </w:rPr>
        <w:t>绿化内容</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w:t>
      </w:r>
      <w:r>
        <w:rPr>
          <w:rFonts w:hint="eastAsia" w:eastAsia="仿宋_GB2312" w:cs="Times New Roman"/>
          <w:color w:val="000000" w:themeColor="text1"/>
          <w:kern w:val="0"/>
          <w:sz w:val="24"/>
          <w:szCs w:val="24"/>
          <w:lang w:val="en-US" w:eastAsia="zh-CN" w:bidi="ar"/>
          <w14:textFill>
            <w14:solidFill>
              <w14:schemeClr w14:val="tx1"/>
            </w14:solidFill>
          </w14:textFill>
        </w:rPr>
        <w:t>并对</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相关内容</w:t>
      </w:r>
      <w:r>
        <w:rPr>
          <w:rFonts w:hint="eastAsia" w:eastAsia="仿宋_GB2312" w:cs="Times New Roman"/>
          <w:color w:val="000000" w:themeColor="text1"/>
          <w:kern w:val="0"/>
          <w:sz w:val="24"/>
          <w:szCs w:val="24"/>
          <w:lang w:val="en-US" w:eastAsia="zh-CN" w:bidi="ar"/>
          <w14:textFill>
            <w14:solidFill>
              <w14:schemeClr w14:val="tx1"/>
            </w14:solidFill>
          </w14:textFill>
        </w:rPr>
        <w:t>进行了复核。（P15-18）</w:t>
      </w:r>
    </w:p>
    <w:p>
      <w:pPr>
        <w:pStyle w:val="13"/>
        <w:keepNext w:val="0"/>
        <w:keepLines w:val="0"/>
        <w:pageBreakBefore w:val="0"/>
        <w:numPr>
          <w:ilvl w:val="0"/>
          <w:numId w:val="0"/>
        </w:numPr>
        <w:kinsoku/>
        <w:wordWrap/>
        <w:overflowPunct/>
        <w:topLinePunct w:val="0"/>
        <w:autoSpaceDE/>
        <w:autoSpaceDN/>
        <w:bidi w:val="0"/>
        <w:adjustRightInd/>
        <w:snapToGrid w:val="0"/>
        <w:spacing w:line="360" w:lineRule="auto"/>
        <w:ind w:leftChars="0"/>
        <w:textAlignment w:val="auto"/>
        <w:rPr>
          <w:rFonts w:hint="eastAsia" w:ascii="Times New Roman" w:hAnsi="Times New Roman" w:eastAsia="仿宋_GB2312"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bidi="ar"/>
          <w14:textFill>
            <w14:solidFill>
              <w14:schemeClr w14:val="tx1"/>
            </w14:solidFill>
          </w14:textFill>
        </w:rPr>
        <w:t>3、进一步完善制约性因素分析，完善占用塔里木河国家级水土流失重点预防区的制约性因素分析；进一步完善主体工程水土保持分析与评价的内容，复核纳入水保方案的措施和工程量，道路区土地平整不算水保措施，施工生产生活区土地平整算主体已有具有水保功能的措施，绿化补充覆土和灌溉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Chars="0"/>
        <w:jc w:val="left"/>
        <w:textAlignment w:val="auto"/>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24"/>
          <w:szCs w:val="24"/>
          <w:lang w:val="en-US" w:eastAsia="zh-CN" w:bidi="ar"/>
          <w14:textFill>
            <w14:solidFill>
              <w14:schemeClr w14:val="tx1"/>
            </w14:solidFill>
          </w14:textFill>
        </w:rPr>
        <w:t>修改说明：</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根据专家意见进一步完善制约性因素分析，</w:t>
      </w:r>
      <w:r>
        <w:rPr>
          <w:rFonts w:hint="eastAsia" w:ascii="Times New Roman" w:hAnsi="Times New Roman" w:eastAsia="仿宋_GB2312" w:cs="Times New Roman"/>
          <w:color w:val="000000" w:themeColor="text1"/>
          <w:kern w:val="0"/>
          <w:sz w:val="24"/>
          <w:szCs w:val="24"/>
          <w:lang w:val="en-US" w:eastAsia="zh-CN" w:bidi="ar"/>
          <w14:textFill>
            <w14:solidFill>
              <w14:schemeClr w14:val="tx1"/>
            </w14:solidFill>
          </w14:textFill>
        </w:rPr>
        <w:t>已复核纳入水保方案的措施和工程量，绿化区灌溉采取人工灌溉</w:t>
      </w:r>
      <w:r>
        <w:rPr>
          <w:rFonts w:hint="eastAsia" w:eastAsia="仿宋_GB2312" w:cs="Times New Roman"/>
          <w:color w:val="000000" w:themeColor="text1"/>
          <w:kern w:val="0"/>
          <w:sz w:val="24"/>
          <w:szCs w:val="24"/>
          <w:lang w:val="en-US" w:eastAsia="zh-CN" w:bidi="ar"/>
          <w14:textFill>
            <w14:solidFill>
              <w14:schemeClr w14:val="tx1"/>
            </w14:solidFill>
          </w14:textFill>
        </w:rPr>
        <w:t>的灌溉方式</w:t>
      </w:r>
      <w:r>
        <w:rPr>
          <w:rFonts w:hint="eastAsia" w:ascii="Times New Roman" w:hAnsi="Times New Roman" w:eastAsia="仿宋_GB2312" w:cs="Times New Roman"/>
          <w:color w:val="000000" w:themeColor="text1"/>
          <w:kern w:val="0"/>
          <w:sz w:val="24"/>
          <w:szCs w:val="24"/>
          <w:lang w:val="en-US" w:eastAsia="zh-CN" w:bidi="ar"/>
          <w14:textFill>
            <w14:solidFill>
              <w14:schemeClr w14:val="tx1"/>
            </w14:solidFill>
          </w14:textFill>
        </w:rPr>
        <w:t>。项目区在采取全面整地措施后土壤条件可满足植被生长，故不采取绿化覆土措施，</w:t>
      </w:r>
      <w:r>
        <w:rPr>
          <w:rFonts w:hint="eastAsia" w:eastAsia="仿宋_GB2312" w:cs="Times New Roman"/>
          <w:color w:val="000000" w:themeColor="text1"/>
          <w:kern w:val="0"/>
          <w:sz w:val="24"/>
          <w:szCs w:val="24"/>
          <w:lang w:val="en-US" w:eastAsia="zh-CN" w:bidi="ar"/>
          <w14:textFill>
            <w14:solidFill>
              <w14:schemeClr w14:val="tx1"/>
            </w14:solidFill>
          </w14:textFill>
        </w:rPr>
        <w:t>有利于水土流失防治</w:t>
      </w:r>
      <w:r>
        <w:rPr>
          <w:rFonts w:hint="eastAsia" w:ascii="Times New Roman" w:hAnsi="Times New Roman" w:eastAsia="仿宋_GB2312" w:cs="Times New Roman"/>
          <w:color w:val="000000" w:themeColor="text1"/>
          <w:kern w:val="0"/>
          <w:sz w:val="24"/>
          <w:szCs w:val="24"/>
          <w:lang w:val="en-US" w:eastAsia="zh-CN" w:bidi="ar"/>
          <w14:textFill>
            <w14:solidFill>
              <w14:schemeClr w14:val="tx1"/>
            </w14:solidFill>
          </w14:textFill>
        </w:rPr>
        <w:t>。</w:t>
      </w:r>
      <w:r>
        <w:rPr>
          <w:rFonts w:hint="eastAsia" w:eastAsia="仿宋_GB2312" w:cs="Times New Roman"/>
          <w:color w:val="000000" w:themeColor="text1"/>
          <w:kern w:val="0"/>
          <w:sz w:val="24"/>
          <w:szCs w:val="24"/>
          <w:lang w:val="en-US" w:eastAsia="zh-CN" w:bidi="ar"/>
          <w14:textFill>
            <w14:solidFill>
              <w14:schemeClr w14:val="tx1"/>
            </w14:solidFill>
          </w14:textFill>
        </w:rPr>
        <w:t>（P26）</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Chars="0"/>
        <w:jc w:val="left"/>
        <w:textAlignment w:val="auto"/>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bidi="ar"/>
          <w14:textFill>
            <w14:solidFill>
              <w14:schemeClr w14:val="tx1"/>
            </w14:solidFill>
          </w14:textFill>
        </w:rPr>
        <w:t>4、完善水土流失现状章节；应补充完善本工程与类比工程的类比分析表，细化土壤、土层理化性质和植被描述，明确扰动模数后的修正过程，复核水土流失预测总量</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w:t>
      </w:r>
    </w:p>
    <w:p>
      <w:pPr>
        <w:pStyle w:val="13"/>
        <w:keepNext w:val="0"/>
        <w:keepLines w:val="0"/>
        <w:pageBreakBefore w:val="0"/>
        <w:numPr>
          <w:ilvl w:val="0"/>
          <w:numId w:val="0"/>
        </w:numPr>
        <w:kinsoku/>
        <w:wordWrap/>
        <w:overflowPunct/>
        <w:topLinePunct w:val="0"/>
        <w:autoSpaceDE/>
        <w:autoSpaceDN/>
        <w:bidi w:val="0"/>
        <w:adjustRightInd/>
        <w:snapToGrid w:val="0"/>
        <w:spacing w:line="360" w:lineRule="auto"/>
        <w:ind w:leftChars="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kern w:val="0"/>
          <w:sz w:val="24"/>
          <w:szCs w:val="24"/>
          <w:lang w:val="en-US" w:eastAsia="zh-CN" w:bidi="ar"/>
          <w14:textFill>
            <w14:solidFill>
              <w14:schemeClr w14:val="tx1"/>
            </w14:solidFill>
          </w14:textFill>
        </w:rPr>
        <w:t>修改说明：</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根据专家意见进一步补充完善本工程与类比工程的类比分析表,复核水土流失预测总量</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w:t>
      </w:r>
      <w:r>
        <w:rPr>
          <w:rFonts w:hint="eastAsia" w:eastAsia="仿宋_GB2312" w:cs="Times New Roman"/>
          <w:color w:val="000000" w:themeColor="text1"/>
          <w:kern w:val="0"/>
          <w:sz w:val="24"/>
          <w:szCs w:val="24"/>
          <w:lang w:val="en-US" w:eastAsia="zh-CN" w:bidi="ar"/>
          <w14:textFill>
            <w14:solidFill>
              <w14:schemeClr w14:val="tx1"/>
            </w14:solidFill>
          </w14:textFill>
        </w:rPr>
        <w:t>（P40）</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Chars="0"/>
        <w:jc w:val="left"/>
        <w:textAlignment w:val="auto"/>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bidi="ar"/>
          <w14:textFill>
            <w14:solidFill>
              <w14:schemeClr w14:val="tx1"/>
            </w14:solidFill>
          </w14:textFill>
        </w:rPr>
        <w:t>5、</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复核防治分区，补充水土流失防治责任范围各防治分区的边界条件；</w:t>
      </w:r>
      <w:r>
        <w:rPr>
          <w:rFonts w:hint="eastAsia" w:ascii="Times New Roman" w:hAnsi="Times New Roman" w:eastAsia="仿宋_GB2312" w:cs="Times New Roman"/>
          <w:color w:val="000000" w:themeColor="text1"/>
          <w:kern w:val="0"/>
          <w:sz w:val="24"/>
          <w:szCs w:val="24"/>
          <w:lang w:val="en-US" w:eastAsia="zh-CN" w:bidi="ar"/>
          <w14:textFill>
            <w14:solidFill>
              <w14:schemeClr w14:val="tx1"/>
            </w14:solidFill>
          </w14:textFill>
        </w:rPr>
        <w:t>进一步复核完善防治措施体系框图，细化措施设计，复核措施的可行性，复核土地平整和洒水量；明确实施的部位和时间；需进一步完善水土保持施工方法。明确工程量确定的依据；复核水土保持工程量。</w:t>
      </w:r>
    </w:p>
    <w:p>
      <w:pPr>
        <w:pStyle w:val="13"/>
        <w:keepNext w:val="0"/>
        <w:keepLines w:val="0"/>
        <w:pageBreakBefore w:val="0"/>
        <w:numPr>
          <w:ilvl w:val="0"/>
          <w:numId w:val="0"/>
        </w:numPr>
        <w:kinsoku/>
        <w:wordWrap/>
        <w:overflowPunct/>
        <w:topLinePunct w:val="0"/>
        <w:autoSpaceDE/>
        <w:autoSpaceDN/>
        <w:bidi w:val="0"/>
        <w:adjustRightInd/>
        <w:snapToGrid w:val="0"/>
        <w:spacing w:line="360" w:lineRule="auto"/>
        <w:ind w:leftChars="0"/>
        <w:textAlignment w:val="auto"/>
        <w:rPr>
          <w:rFonts w:hint="default" w:ascii="Times New Roman" w:hAnsi="Times New Roman" w:eastAsia="仿宋_GB2312" w:cs="Times New Roman"/>
          <w:color w:val="000000" w:themeColor="text1"/>
          <w:sz w:val="24"/>
          <w:szCs w:val="24"/>
          <w:lang w:val="en-US"/>
          <w14:textFill>
            <w14:solidFill>
              <w14:schemeClr w14:val="tx1"/>
            </w14:solidFill>
          </w14:textFill>
        </w:rPr>
      </w:pPr>
      <w:r>
        <w:rPr>
          <w:rFonts w:hint="default" w:ascii="Times New Roman" w:hAnsi="Times New Roman" w:eastAsia="仿宋_GB2312" w:cs="Times New Roman"/>
          <w:b/>
          <w:bCs/>
          <w:color w:val="000000" w:themeColor="text1"/>
          <w:kern w:val="0"/>
          <w:sz w:val="24"/>
          <w:szCs w:val="24"/>
          <w:lang w:val="en-US" w:eastAsia="zh-CN" w:bidi="ar"/>
          <w14:textFill>
            <w14:solidFill>
              <w14:schemeClr w14:val="tx1"/>
            </w14:solidFill>
          </w14:textFill>
        </w:rPr>
        <w:t>修改说明：</w:t>
      </w:r>
      <w:r>
        <w:rPr>
          <w:rFonts w:hint="eastAsia" w:cs="Times New Roman"/>
          <w:color w:val="000000" w:themeColor="text1"/>
          <w:kern w:val="0"/>
          <w:sz w:val="24"/>
          <w:szCs w:val="24"/>
          <w:lang w:val="en-US" w:eastAsia="zh-CN" w:bidi="ar"/>
          <w14:textFill>
            <w14:solidFill>
              <w14:schemeClr w14:val="tx1"/>
            </w14:solidFill>
          </w14:textFill>
        </w:rPr>
        <w:t>已</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根据专家意见进一步补充边界条件</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复核体系框图</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eastAsia="仿宋_GB2312" w:cs="Times New Roman"/>
          <w:color w:val="000000" w:themeColor="text1"/>
          <w:kern w:val="0"/>
          <w:sz w:val="24"/>
          <w:szCs w:val="24"/>
          <w:lang w:val="en-US" w:eastAsia="zh-CN" w:bidi="ar"/>
          <w14:textFill>
            <w14:solidFill>
              <w14:schemeClr w14:val="tx1"/>
            </w14:solidFill>
          </w14:textFill>
        </w:rPr>
        <w:t>（P45）</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Chars="0"/>
        <w:jc w:val="left"/>
        <w:textAlignment w:val="auto"/>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bidi="ar"/>
          <w14:textFill>
            <w14:solidFill>
              <w14:schemeClr w14:val="tx1"/>
            </w14:solidFill>
          </w14:textFill>
        </w:rPr>
        <w:t>6、</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 xml:space="preserve">复核水土保持投资，复核独立费用和相应的单价。 </w:t>
      </w:r>
    </w:p>
    <w:p>
      <w:pPr>
        <w:pStyle w:val="13"/>
        <w:keepNext w:val="0"/>
        <w:keepLines w:val="0"/>
        <w:pageBreakBefore w:val="0"/>
        <w:numPr>
          <w:ilvl w:val="0"/>
          <w:numId w:val="0"/>
        </w:numPr>
        <w:kinsoku/>
        <w:wordWrap/>
        <w:overflowPunct/>
        <w:topLinePunct w:val="0"/>
        <w:autoSpaceDE/>
        <w:autoSpaceDN/>
        <w:bidi w:val="0"/>
        <w:adjustRightInd/>
        <w:snapToGrid w:val="0"/>
        <w:spacing w:line="360" w:lineRule="auto"/>
        <w:ind w:leftChars="0"/>
        <w:textAlignment w:val="auto"/>
        <w:rPr>
          <w:rFonts w:hint="default" w:ascii="Times New Roman" w:hAnsi="Times New Roman" w:eastAsia="仿宋_GB2312" w:cs="Times New Roman"/>
          <w:color w:val="000000" w:themeColor="text1"/>
          <w:sz w:val="24"/>
          <w:szCs w:val="24"/>
          <w:lang w:val="en-US"/>
          <w14:textFill>
            <w14:solidFill>
              <w14:schemeClr w14:val="tx1"/>
            </w14:solidFill>
          </w14:textFill>
        </w:rPr>
      </w:pPr>
      <w:r>
        <w:rPr>
          <w:rFonts w:hint="default" w:ascii="Times New Roman" w:hAnsi="Times New Roman" w:eastAsia="仿宋_GB2312" w:cs="Times New Roman"/>
          <w:b/>
          <w:bCs/>
          <w:color w:val="000000" w:themeColor="text1"/>
          <w:kern w:val="0"/>
          <w:sz w:val="24"/>
          <w:szCs w:val="24"/>
          <w:lang w:val="en-US" w:eastAsia="zh-CN" w:bidi="ar"/>
          <w14:textFill>
            <w14:solidFill>
              <w14:schemeClr w14:val="tx1"/>
            </w14:solidFill>
          </w14:textFill>
        </w:rPr>
        <w:t>修改说明：</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根据专家意见</w:t>
      </w:r>
      <w:r>
        <w:rPr>
          <w:rFonts w:hint="eastAsia" w:cs="Times New Roman"/>
          <w:color w:val="000000" w:themeColor="text1"/>
          <w:kern w:val="0"/>
          <w:sz w:val="24"/>
          <w:szCs w:val="24"/>
          <w:lang w:val="en-US" w:eastAsia="zh-CN" w:bidi="ar"/>
          <w14:textFill>
            <w14:solidFill>
              <w14:schemeClr w14:val="tx1"/>
            </w14:solidFill>
          </w14:textFill>
        </w:rPr>
        <w:t>复核</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相关内容</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w:t>
      </w:r>
      <w:r>
        <w:rPr>
          <w:rFonts w:hint="eastAsia" w:eastAsia="仿宋_GB2312" w:cs="Times New Roman"/>
          <w:color w:val="000000" w:themeColor="text1"/>
          <w:kern w:val="0"/>
          <w:sz w:val="24"/>
          <w:szCs w:val="24"/>
          <w:lang w:val="en-US" w:eastAsia="zh-CN" w:bidi="ar"/>
          <w14:textFill>
            <w14:solidFill>
              <w14:schemeClr w14:val="tx1"/>
            </w14:solidFill>
          </w14:textFill>
        </w:rPr>
        <w:t>（P56-59）</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Chars="0"/>
        <w:jc w:val="left"/>
        <w:textAlignment w:val="auto"/>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bidi="ar"/>
          <w14:textFill>
            <w14:solidFill>
              <w14:schemeClr w14:val="tx1"/>
            </w14:solidFill>
          </w14:textFill>
        </w:rPr>
        <w:t>7、</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完善组织保障措施，按照规范文件要求完善开工备案、监理、监测和验收等保障措施。</w:t>
      </w:r>
    </w:p>
    <w:p>
      <w:pPr>
        <w:pStyle w:val="13"/>
        <w:keepNext w:val="0"/>
        <w:keepLines w:val="0"/>
        <w:pageBreakBefore w:val="0"/>
        <w:numPr>
          <w:ilvl w:val="0"/>
          <w:numId w:val="0"/>
        </w:numPr>
        <w:kinsoku/>
        <w:wordWrap/>
        <w:overflowPunct/>
        <w:topLinePunct w:val="0"/>
        <w:autoSpaceDE/>
        <w:autoSpaceDN/>
        <w:bidi w:val="0"/>
        <w:adjustRightInd/>
        <w:snapToGrid w:val="0"/>
        <w:spacing w:line="360" w:lineRule="auto"/>
        <w:ind w:leftChars="0"/>
        <w:textAlignment w:val="auto"/>
        <w:rPr>
          <w:rFonts w:hint="default" w:ascii="Times New Roman" w:hAnsi="Times New Roman" w:eastAsia="仿宋_GB2312" w:cs="Times New Roman"/>
          <w:color w:val="000000" w:themeColor="text1"/>
          <w:sz w:val="24"/>
          <w:szCs w:val="24"/>
          <w:lang w:val="en-US"/>
          <w14:textFill>
            <w14:solidFill>
              <w14:schemeClr w14:val="tx1"/>
            </w14:solidFill>
          </w14:textFill>
        </w:rPr>
      </w:pPr>
      <w:r>
        <w:rPr>
          <w:rFonts w:hint="default" w:ascii="Times New Roman" w:hAnsi="Times New Roman" w:eastAsia="仿宋_GB2312" w:cs="Times New Roman"/>
          <w:b/>
          <w:bCs/>
          <w:color w:val="000000" w:themeColor="text1"/>
          <w:kern w:val="0"/>
          <w:sz w:val="24"/>
          <w:szCs w:val="24"/>
          <w:lang w:val="en-US" w:eastAsia="zh-CN" w:bidi="ar"/>
          <w14:textFill>
            <w14:solidFill>
              <w14:schemeClr w14:val="tx1"/>
            </w14:solidFill>
          </w14:textFill>
        </w:rPr>
        <w:t>修改说明：</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根据专家意见完善相关内容</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w:t>
      </w:r>
      <w:r>
        <w:rPr>
          <w:rFonts w:hint="eastAsia" w:eastAsia="仿宋_GB2312" w:cs="Times New Roman"/>
          <w:color w:val="000000" w:themeColor="text1"/>
          <w:kern w:val="0"/>
          <w:sz w:val="24"/>
          <w:szCs w:val="24"/>
          <w:lang w:val="en-US" w:eastAsia="zh-CN" w:bidi="ar"/>
          <w14:textFill>
            <w14:solidFill>
              <w14:schemeClr w14:val="tx1"/>
            </w14:solidFill>
          </w14:textFill>
        </w:rPr>
        <w:t>（P64）</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Chars="0"/>
        <w:jc w:val="left"/>
        <w:textAlignment w:val="auto"/>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val="en-US" w:eastAsia="zh-CN" w:bidi="ar"/>
          <w14:textFill>
            <w14:solidFill>
              <w14:schemeClr w14:val="tx1"/>
            </w14:solidFill>
          </w14:textFill>
        </w:rPr>
        <w:t>8、</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完善附件和附图，完善典型设计图件。</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Chars="0"/>
        <w:jc w:val="left"/>
        <w:textAlignment w:val="auto"/>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24"/>
          <w:szCs w:val="24"/>
          <w:lang w:val="en-US" w:eastAsia="zh-CN" w:bidi="ar"/>
          <w14:textFill>
            <w14:solidFill>
              <w14:schemeClr w14:val="tx1"/>
            </w14:solidFill>
          </w14:textFill>
        </w:rPr>
        <w:t>修改说明：</w:t>
      </w: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根据专家意见完善相关内容</w:t>
      </w:r>
      <w:r>
        <w:rPr>
          <w:rFonts w:hint="eastAsia" w:ascii="Times New Roman" w:hAnsi="Times New Roman" w:eastAsia="仿宋_GB2312" w:cs="Times New Roman"/>
          <w:color w:val="000000" w:themeColor="text1"/>
          <w:kern w:val="0"/>
          <w:sz w:val="24"/>
          <w:szCs w:val="24"/>
          <w:lang w:val="en-US" w:eastAsia="zh-CN" w:bidi="ar"/>
          <w14:textFill>
            <w14:solidFill>
              <w14:schemeClr w14:val="tx1"/>
            </w14:solidFill>
          </w14:textFill>
        </w:rPr>
        <w:t>。</w:t>
      </w:r>
    </w:p>
    <w:p>
      <w:pP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pPr>
    </w:p>
    <w:p>
      <w:pPr>
        <w:ind w:left="0" w:leftChars="0" w:firstLine="0" w:firstLineChars="0"/>
        <w:rPr>
          <w:rFonts w:hint="default" w:cs="Times New Roman"/>
          <w:color w:val="auto"/>
          <w:highlight w:val="none"/>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TimesNewRomanPSMT">
    <w:altName w:val="Times New Roman"/>
    <w:panose1 w:val="00000000000000000000"/>
    <w:charset w:val="00"/>
    <w:family w:val="roman"/>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647"/>
      </w:tabs>
      <w:ind w:firstLine="420"/>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jc w:val="center"/>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rPr>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line="480" w:lineRule="auto"/>
      <w:ind w:firstLine="0" w:firstLineChars="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single" w:color="auto" w:sz="4" w:space="1"/>
      </w:pBdr>
      <w:spacing w:line="480" w:lineRule="auto"/>
      <w:ind w:firstLine="0" w:firstLineChars="0"/>
      <w:rPr>
        <w:rFonts w:ascii="仿宋_GB2312" w:eastAsia="仿宋_GB2312"/>
      </w:rPr>
    </w:pPr>
    <w:r>
      <w:rPr>
        <w:rFonts w:ascii="仿宋_GB2312" w:eastAsia="仿宋_GB231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pacing w:line="240" w:lineRule="auto"/>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13</w:t>
                          </w:r>
                          <w:r>
                            <w:rPr>
                              <w:rFonts w:hint="eastAsia"/>
                              <w:sz w:val="18"/>
                            </w:rPr>
                            <w:fldChar w:fldCharType="end"/>
                          </w:r>
                        </w:p>
                      </w:txbxContent>
                    </wps:txbx>
                    <wps:bodyPr wrap="none" lIns="0" tIns="0" rIns="0" bIns="0" upright="1">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k6BjHOAQAAqQMAAA4AAAAAAAAAAQAgAAAAHgEAAGRycy9l&#10;Mm9Eb2MueG1sUEsFBgAAAAAGAAYAWQEAAF4FAAAAAA==&#10;">
              <v:fill on="f" focussize="0,0"/>
              <v:stroke on="f"/>
              <v:imagedata o:title=""/>
              <o:lock v:ext="edit" aspectratio="f"/>
              <v:textbox inset="0mm,0mm,0mm,0mm" style="mso-fit-shape-to-text:t;">
                <w:txbxContent>
                  <w:p>
                    <w:pPr>
                      <w:spacing w:line="240" w:lineRule="auto"/>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13</w:t>
                    </w:r>
                    <w:r>
                      <w:rPr>
                        <w:rFonts w:hint="eastAsia"/>
                        <w:sz w:val="18"/>
                      </w:rPr>
                      <w:fldChar w:fldCharType="end"/>
                    </w:r>
                  </w:p>
                </w:txbxContent>
              </v:textbox>
            </v:shape>
          </w:pict>
        </mc:Fallback>
      </mc:AlternateContent>
    </w:r>
    <w:r>
      <w:rPr>
        <w:rFonts w:hint="eastAsia" w:ascii="仿宋_GB2312" w:eastAsia="仿宋_GB2312"/>
      </w:rPr>
      <w:t>新疆万汇工程项目管理有限公司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single" w:color="auto" w:sz="4" w:space="1"/>
      </w:pBdr>
      <w:spacing w:line="480" w:lineRule="auto"/>
      <w:ind w:firstLine="0" w:firstLineChars="0"/>
      <w:rPr>
        <w:rFonts w:ascii="仿宋_GB2312" w:eastAsia="仿宋_GB2312"/>
      </w:rPr>
    </w:pPr>
    <w:r>
      <w:rPr>
        <w:rFonts w:hint="eastAsia" w:ascii="仿宋_GB2312" w:eastAsia="仿宋_GB2312"/>
      </w:rPr>
      <w:t>新疆万汇工程项目管理有限公司</w:t>
    </w:r>
    <w:r>
      <w:rPr>
        <w:rFonts w:ascii="仿宋_GB2312" w:eastAsia="仿宋_GB231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pacing w:line="240" w:lineRule="auto"/>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wrap="none" lIns="0" tIns="0" rIns="0" bIns="0" upright="1">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xFHA8oBAACbAwAADgAAAAAAAAABACAAAAAeAQAAZHJzL2Uyb0Rv&#10;Yy54bWxQSwUGAAAAAAYABgBZAQAAWgUAAAAA&#10;">
              <v:fill on="f" focussize="0,0"/>
              <v:stroke on="f"/>
              <v:imagedata o:title=""/>
              <o:lock v:ext="edit" aspectratio="f"/>
              <v:textbox inset="0mm,0mm,0mm,0mm" style="mso-fit-shape-to-text:t;">
                <w:txbxContent>
                  <w:p>
                    <w:pPr>
                      <w:spacing w:line="240" w:lineRule="auto"/>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eastAsia="仿宋_GB2312"/>
      </w:rPr>
    </w:pPr>
    <w:r>
      <w:rPr>
        <w:rFonts w:ascii="仿宋_GB2312" w:eastAsia="仿宋_GB2312"/>
      </w:rPr>
      <w:t>3 项目水土保持评价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rPr>
      <w:t>3</w:t>
    </w:r>
    <w:r>
      <w:rPr>
        <w:rFonts w:hint="eastAsia" w:ascii="仿宋_GB2312" w:eastAsia="仿宋_GB2312"/>
      </w:rPr>
      <w:t xml:space="preserve"> 项目水土保持评价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rPr>
      <w:t xml:space="preserve">4 </w:t>
    </w:r>
    <w:r>
      <w:rPr>
        <w:rFonts w:hint="eastAsia" w:ascii="仿宋_GB2312" w:eastAsia="仿宋_GB2312"/>
      </w:rPr>
      <w:t>水土流失分析与预测（调查）</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rPr>
      <w:t xml:space="preserve">5 </w:t>
    </w:r>
    <w:r>
      <w:rPr>
        <w:rFonts w:hint="eastAsia" w:ascii="仿宋_GB2312" w:eastAsia="仿宋_GB2312"/>
      </w:rPr>
      <w:t>水土保持措施</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rPr>
      <w:t>6</w:t>
    </w:r>
    <w:r>
      <w:t xml:space="preserve"> </w:t>
    </w:r>
    <w:r>
      <w:rPr>
        <w:rFonts w:hint="eastAsia" w:ascii="仿宋_GB2312" w:eastAsia="仿宋_GB2312"/>
      </w:rPr>
      <w:t>水土保持监测</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eastAsia="仿宋_GB2312"/>
      </w:rPr>
    </w:pPr>
    <w:r>
      <w:rPr>
        <w:rFonts w:hint="eastAsia" w:ascii="仿宋_GB2312" w:eastAsia="仿宋_GB2312"/>
      </w:rPr>
      <w:t>7</w:t>
    </w:r>
    <w:r>
      <w:rPr>
        <w:rFonts w:ascii="仿宋_GB2312" w:eastAsia="仿宋_GB2312"/>
      </w:rPr>
      <w:t xml:space="preserve"> </w:t>
    </w:r>
    <w:r>
      <w:rPr>
        <w:rFonts w:hint="eastAsia" w:ascii="仿宋_GB2312" w:eastAsia="仿宋_GB2312"/>
      </w:rPr>
      <w:t>水土保持投资估算及效益分析</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eastAsia="仿宋_GB2312"/>
      </w:rPr>
    </w:pPr>
    <w:r>
      <w:rPr>
        <w:rFonts w:hint="eastAsia" w:ascii="仿宋_GB2312" w:eastAsia="仿宋_GB2312"/>
      </w:rPr>
      <w:t>8 水土保持管理</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hint="eastAsia" w:ascii="仿宋_GB2312" w:eastAsia="仿宋_GB2312"/>
        <w:lang w:eastAsia="zh-CN"/>
      </w:rPr>
    </w:pPr>
    <w:r>
      <w:rPr>
        <w:rFonts w:hint="eastAsia" w:ascii="仿宋_GB2312" w:eastAsia="仿宋_GB2312"/>
        <w:lang w:eastAsia="zh-CN"/>
      </w:rPr>
      <w:t>附表</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hint="eastAsia" w:ascii="仿宋_GB2312" w:eastAsia="仿宋_GB2312"/>
        <w:lang w:eastAsia="zh-CN"/>
      </w:rPr>
    </w:pPr>
    <w:r>
      <w:rPr>
        <w:rFonts w:hint="eastAsia" w:ascii="仿宋_GB2312" w:eastAsia="仿宋_GB2312"/>
        <w:lang w:eastAsia="zh-CN"/>
      </w:rPr>
      <w:t>附表</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hint="eastAsia" w:ascii="仿宋_GB2312" w:eastAsia="仿宋_GB2312"/>
        <w:lang w:eastAsia="zh-CN"/>
      </w:rPr>
    </w:pPr>
    <w:r>
      <w:rPr>
        <w:rFonts w:hint="eastAsia" w:ascii="仿宋_GB2312" w:eastAsia="仿宋_GB2312"/>
        <w:lang w:eastAsia="zh-CN"/>
      </w:rPr>
      <w:t>附件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1"/>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ascii="仿宋_GB2312" w:eastAsia="仿宋_GB2312"/>
      </w:rPr>
      <w:t>1 综合说明</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rPr>
        <w:rFonts w:ascii="仿宋_GB2312" w:hAnsi="宋体" w:eastAsia="仿宋_GB2312"/>
        <w:sz w:val="21"/>
        <w:szCs w:val="21"/>
      </w:rPr>
    </w:pPr>
    <w:r>
      <w:rPr>
        <w:rFonts w:hint="eastAsia" w:ascii="仿宋_GB2312" w:eastAsia="仿宋_GB2312"/>
      </w:rPr>
      <w:t>2 项目概况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54C8E7"/>
    <w:multiLevelType w:val="singleLevel"/>
    <w:tmpl w:val="9E54C8E7"/>
    <w:lvl w:ilvl="0" w:tentative="0">
      <w:start w:val="1"/>
      <w:numFmt w:val="decimal"/>
      <w:suff w:val="nothing"/>
      <w:lvlText w:val="%1、"/>
      <w:lvlJc w:val="left"/>
    </w:lvl>
  </w:abstractNum>
  <w:abstractNum w:abstractNumId="1">
    <w:nsid w:val="FBBF3CCD"/>
    <w:multiLevelType w:val="singleLevel"/>
    <w:tmpl w:val="FBBF3CCD"/>
    <w:lvl w:ilvl="0" w:tentative="0">
      <w:start w:val="4"/>
      <w:numFmt w:val="chineseCounting"/>
      <w:suff w:val="nothing"/>
      <w:lvlText w:val="%1．"/>
      <w:lvlJc w:val="left"/>
      <w:rPr>
        <w:rFonts w:hint="eastAsia"/>
      </w:rPr>
    </w:lvl>
  </w:abstractNum>
  <w:abstractNum w:abstractNumId="2">
    <w:nsid w:val="05805A12"/>
    <w:multiLevelType w:val="singleLevel"/>
    <w:tmpl w:val="05805A12"/>
    <w:lvl w:ilvl="0" w:tentative="0">
      <w:start w:val="1"/>
      <w:numFmt w:val="decimal"/>
      <w:suff w:val="nothing"/>
      <w:lvlText w:val="%1、"/>
      <w:lvlJc w:val="left"/>
    </w:lvl>
  </w:abstractNum>
  <w:abstractNum w:abstractNumId="3">
    <w:nsid w:val="14122750"/>
    <w:multiLevelType w:val="multilevel"/>
    <w:tmpl w:val="14122750"/>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4EA0E3B"/>
    <w:multiLevelType w:val="multilevel"/>
    <w:tmpl w:val="14EA0E3B"/>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36F7706D"/>
    <w:multiLevelType w:val="multilevel"/>
    <w:tmpl w:val="36F7706D"/>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638B1C81"/>
    <w:multiLevelType w:val="multilevel"/>
    <w:tmpl w:val="638B1C81"/>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75686115"/>
    <w:multiLevelType w:val="multilevel"/>
    <w:tmpl w:val="75686115"/>
    <w:lvl w:ilvl="0" w:tentative="0">
      <w:start w:val="1"/>
      <w:numFmt w:val="decimal"/>
      <w:suff w:val="space"/>
      <w:lvlText w:val="（%1）"/>
      <w:lvlJc w:val="left"/>
      <w:pPr>
        <w:ind w:left="0" w:firstLine="176"/>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76752C32"/>
    <w:multiLevelType w:val="singleLevel"/>
    <w:tmpl w:val="76752C32"/>
    <w:lvl w:ilvl="0" w:tentative="0">
      <w:start w:val="1"/>
      <w:numFmt w:val="decimal"/>
      <w:suff w:val="nothing"/>
      <w:lvlText w:val="%1、"/>
      <w:lvlJc w:val="left"/>
    </w:lvl>
  </w:abstractNum>
  <w:abstractNum w:abstractNumId="9">
    <w:nsid w:val="7B92645D"/>
    <w:multiLevelType w:val="multilevel"/>
    <w:tmpl w:val="7B92645D"/>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5"/>
  </w:num>
  <w:num w:numId="3">
    <w:abstractNumId w:val="6"/>
  </w:num>
  <w:num w:numId="4">
    <w:abstractNumId w:val="8"/>
  </w:num>
  <w:num w:numId="5">
    <w:abstractNumId w:val="2"/>
  </w:num>
  <w:num w:numId="6">
    <w:abstractNumId w:val="1"/>
  </w:num>
  <w:num w:numId="7">
    <w:abstractNumId w:val="3"/>
  </w:num>
  <w:num w:numId="8">
    <w:abstractNumId w:val="9"/>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hideSpellingErrors/>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CEA"/>
    <w:rsid w:val="0000018F"/>
    <w:rsid w:val="0000101D"/>
    <w:rsid w:val="00001940"/>
    <w:rsid w:val="00002A41"/>
    <w:rsid w:val="0000337F"/>
    <w:rsid w:val="000034EB"/>
    <w:rsid w:val="00003F49"/>
    <w:rsid w:val="00005208"/>
    <w:rsid w:val="0000764C"/>
    <w:rsid w:val="00010282"/>
    <w:rsid w:val="00010734"/>
    <w:rsid w:val="00010FF0"/>
    <w:rsid w:val="0001167E"/>
    <w:rsid w:val="00011FAC"/>
    <w:rsid w:val="00013384"/>
    <w:rsid w:val="000134B9"/>
    <w:rsid w:val="0001431D"/>
    <w:rsid w:val="00015668"/>
    <w:rsid w:val="0001580E"/>
    <w:rsid w:val="00015DB8"/>
    <w:rsid w:val="00015F91"/>
    <w:rsid w:val="00016EED"/>
    <w:rsid w:val="00017DA7"/>
    <w:rsid w:val="00017EE8"/>
    <w:rsid w:val="000218A5"/>
    <w:rsid w:val="00023426"/>
    <w:rsid w:val="0002356C"/>
    <w:rsid w:val="00023979"/>
    <w:rsid w:val="00023EE7"/>
    <w:rsid w:val="0002436F"/>
    <w:rsid w:val="000255A8"/>
    <w:rsid w:val="00025EB6"/>
    <w:rsid w:val="00026496"/>
    <w:rsid w:val="00027777"/>
    <w:rsid w:val="000301A6"/>
    <w:rsid w:val="000302F5"/>
    <w:rsid w:val="00031B95"/>
    <w:rsid w:val="00031EC9"/>
    <w:rsid w:val="00033A87"/>
    <w:rsid w:val="00035960"/>
    <w:rsid w:val="0003596C"/>
    <w:rsid w:val="00035B4A"/>
    <w:rsid w:val="000366BD"/>
    <w:rsid w:val="00036E28"/>
    <w:rsid w:val="000371BF"/>
    <w:rsid w:val="0004072D"/>
    <w:rsid w:val="00040A28"/>
    <w:rsid w:val="00041358"/>
    <w:rsid w:val="0004182F"/>
    <w:rsid w:val="000418C0"/>
    <w:rsid w:val="00041A91"/>
    <w:rsid w:val="00042421"/>
    <w:rsid w:val="000434D9"/>
    <w:rsid w:val="0004422F"/>
    <w:rsid w:val="000457C1"/>
    <w:rsid w:val="00045C2C"/>
    <w:rsid w:val="00046F26"/>
    <w:rsid w:val="00047804"/>
    <w:rsid w:val="00050CEC"/>
    <w:rsid w:val="00052993"/>
    <w:rsid w:val="00053775"/>
    <w:rsid w:val="0005446A"/>
    <w:rsid w:val="000544FE"/>
    <w:rsid w:val="0005533E"/>
    <w:rsid w:val="00055398"/>
    <w:rsid w:val="00055AEB"/>
    <w:rsid w:val="00056D57"/>
    <w:rsid w:val="000573C7"/>
    <w:rsid w:val="00057981"/>
    <w:rsid w:val="00057C95"/>
    <w:rsid w:val="00060635"/>
    <w:rsid w:val="00060B9B"/>
    <w:rsid w:val="00060F63"/>
    <w:rsid w:val="00060F88"/>
    <w:rsid w:val="0006149C"/>
    <w:rsid w:val="00063734"/>
    <w:rsid w:val="00063A61"/>
    <w:rsid w:val="00063FEB"/>
    <w:rsid w:val="00064000"/>
    <w:rsid w:val="00064091"/>
    <w:rsid w:val="00064567"/>
    <w:rsid w:val="00065A11"/>
    <w:rsid w:val="00065E20"/>
    <w:rsid w:val="00066AC6"/>
    <w:rsid w:val="00070A2F"/>
    <w:rsid w:val="00071A89"/>
    <w:rsid w:val="00071CD1"/>
    <w:rsid w:val="0007267F"/>
    <w:rsid w:val="00073501"/>
    <w:rsid w:val="00075B01"/>
    <w:rsid w:val="00075D58"/>
    <w:rsid w:val="00075EA7"/>
    <w:rsid w:val="00076BF6"/>
    <w:rsid w:val="00077B9A"/>
    <w:rsid w:val="00077EE8"/>
    <w:rsid w:val="00077FE3"/>
    <w:rsid w:val="000806F0"/>
    <w:rsid w:val="00082B9D"/>
    <w:rsid w:val="00084057"/>
    <w:rsid w:val="0008420C"/>
    <w:rsid w:val="0008423E"/>
    <w:rsid w:val="00084967"/>
    <w:rsid w:val="00084F07"/>
    <w:rsid w:val="000858DE"/>
    <w:rsid w:val="000862A8"/>
    <w:rsid w:val="00086BBD"/>
    <w:rsid w:val="0008782E"/>
    <w:rsid w:val="00087C2D"/>
    <w:rsid w:val="00087F8E"/>
    <w:rsid w:val="0009178D"/>
    <w:rsid w:val="00091EA2"/>
    <w:rsid w:val="00092CBC"/>
    <w:rsid w:val="0009414A"/>
    <w:rsid w:val="00095BE5"/>
    <w:rsid w:val="00097800"/>
    <w:rsid w:val="00097BA4"/>
    <w:rsid w:val="000A14F1"/>
    <w:rsid w:val="000A1F82"/>
    <w:rsid w:val="000A33AD"/>
    <w:rsid w:val="000A3962"/>
    <w:rsid w:val="000A53CC"/>
    <w:rsid w:val="000A58A2"/>
    <w:rsid w:val="000A6234"/>
    <w:rsid w:val="000A6AF8"/>
    <w:rsid w:val="000A7626"/>
    <w:rsid w:val="000A7670"/>
    <w:rsid w:val="000A7758"/>
    <w:rsid w:val="000B0628"/>
    <w:rsid w:val="000B0D70"/>
    <w:rsid w:val="000B13F5"/>
    <w:rsid w:val="000B49E1"/>
    <w:rsid w:val="000B4A50"/>
    <w:rsid w:val="000B4A63"/>
    <w:rsid w:val="000B52E5"/>
    <w:rsid w:val="000B5631"/>
    <w:rsid w:val="000B615C"/>
    <w:rsid w:val="000B63D9"/>
    <w:rsid w:val="000B672B"/>
    <w:rsid w:val="000B6BC8"/>
    <w:rsid w:val="000B6C64"/>
    <w:rsid w:val="000B7273"/>
    <w:rsid w:val="000B7FED"/>
    <w:rsid w:val="000C01CF"/>
    <w:rsid w:val="000C131E"/>
    <w:rsid w:val="000C1832"/>
    <w:rsid w:val="000C28C7"/>
    <w:rsid w:val="000C3679"/>
    <w:rsid w:val="000C3AFB"/>
    <w:rsid w:val="000C3DF3"/>
    <w:rsid w:val="000C4271"/>
    <w:rsid w:val="000C4CC4"/>
    <w:rsid w:val="000C588D"/>
    <w:rsid w:val="000C5C43"/>
    <w:rsid w:val="000C6B80"/>
    <w:rsid w:val="000D01C9"/>
    <w:rsid w:val="000D1B2F"/>
    <w:rsid w:val="000D208F"/>
    <w:rsid w:val="000D2161"/>
    <w:rsid w:val="000D2E5F"/>
    <w:rsid w:val="000D3326"/>
    <w:rsid w:val="000D3CA9"/>
    <w:rsid w:val="000D3CB2"/>
    <w:rsid w:val="000D45E1"/>
    <w:rsid w:val="000D4979"/>
    <w:rsid w:val="000D5391"/>
    <w:rsid w:val="000D64FD"/>
    <w:rsid w:val="000D6A91"/>
    <w:rsid w:val="000D75B2"/>
    <w:rsid w:val="000E0530"/>
    <w:rsid w:val="000E0ECD"/>
    <w:rsid w:val="000E25A6"/>
    <w:rsid w:val="000E4024"/>
    <w:rsid w:val="000E5E4D"/>
    <w:rsid w:val="000F0922"/>
    <w:rsid w:val="000F181C"/>
    <w:rsid w:val="000F1A61"/>
    <w:rsid w:val="000F1D19"/>
    <w:rsid w:val="000F2C20"/>
    <w:rsid w:val="000F2D8D"/>
    <w:rsid w:val="000F41B1"/>
    <w:rsid w:val="000F59D4"/>
    <w:rsid w:val="000F6A2E"/>
    <w:rsid w:val="000F6E92"/>
    <w:rsid w:val="000F704C"/>
    <w:rsid w:val="000F790F"/>
    <w:rsid w:val="001002C3"/>
    <w:rsid w:val="00100800"/>
    <w:rsid w:val="001029F8"/>
    <w:rsid w:val="00102DC8"/>
    <w:rsid w:val="00103CD3"/>
    <w:rsid w:val="00104067"/>
    <w:rsid w:val="0010458F"/>
    <w:rsid w:val="00105076"/>
    <w:rsid w:val="00105EDC"/>
    <w:rsid w:val="001075FB"/>
    <w:rsid w:val="0011001A"/>
    <w:rsid w:val="001111A9"/>
    <w:rsid w:val="001120BB"/>
    <w:rsid w:val="001125D2"/>
    <w:rsid w:val="00112C33"/>
    <w:rsid w:val="001136F2"/>
    <w:rsid w:val="001139D2"/>
    <w:rsid w:val="00113F89"/>
    <w:rsid w:val="001147F3"/>
    <w:rsid w:val="001148CF"/>
    <w:rsid w:val="001163FC"/>
    <w:rsid w:val="001165A4"/>
    <w:rsid w:val="001172C8"/>
    <w:rsid w:val="00120359"/>
    <w:rsid w:val="00120F53"/>
    <w:rsid w:val="00121284"/>
    <w:rsid w:val="00121324"/>
    <w:rsid w:val="00121FDC"/>
    <w:rsid w:val="0012220D"/>
    <w:rsid w:val="00124207"/>
    <w:rsid w:val="001245DC"/>
    <w:rsid w:val="00124F89"/>
    <w:rsid w:val="001259D3"/>
    <w:rsid w:val="00125B92"/>
    <w:rsid w:val="00125DF0"/>
    <w:rsid w:val="00126F45"/>
    <w:rsid w:val="001318CC"/>
    <w:rsid w:val="00132396"/>
    <w:rsid w:val="001323DB"/>
    <w:rsid w:val="00133CFE"/>
    <w:rsid w:val="00134178"/>
    <w:rsid w:val="001346CC"/>
    <w:rsid w:val="00134E24"/>
    <w:rsid w:val="001359E8"/>
    <w:rsid w:val="00136B40"/>
    <w:rsid w:val="00136D12"/>
    <w:rsid w:val="0013720C"/>
    <w:rsid w:val="0014158E"/>
    <w:rsid w:val="00141E6A"/>
    <w:rsid w:val="00141E9A"/>
    <w:rsid w:val="00142EBB"/>
    <w:rsid w:val="001433AB"/>
    <w:rsid w:val="00143B30"/>
    <w:rsid w:val="001442D4"/>
    <w:rsid w:val="00144C37"/>
    <w:rsid w:val="00144E53"/>
    <w:rsid w:val="00144F66"/>
    <w:rsid w:val="001454B8"/>
    <w:rsid w:val="00147748"/>
    <w:rsid w:val="00150338"/>
    <w:rsid w:val="00152714"/>
    <w:rsid w:val="00152B1B"/>
    <w:rsid w:val="0015347E"/>
    <w:rsid w:val="00153CF8"/>
    <w:rsid w:val="0015437C"/>
    <w:rsid w:val="0015476A"/>
    <w:rsid w:val="0015481E"/>
    <w:rsid w:val="00154BE5"/>
    <w:rsid w:val="0015511B"/>
    <w:rsid w:val="00155880"/>
    <w:rsid w:val="00155973"/>
    <w:rsid w:val="001560F7"/>
    <w:rsid w:val="00157CD7"/>
    <w:rsid w:val="00160D23"/>
    <w:rsid w:val="00160DEB"/>
    <w:rsid w:val="00161E43"/>
    <w:rsid w:val="001630D8"/>
    <w:rsid w:val="0016394F"/>
    <w:rsid w:val="001642EB"/>
    <w:rsid w:val="0016437E"/>
    <w:rsid w:val="001643F4"/>
    <w:rsid w:val="00164FBB"/>
    <w:rsid w:val="001667AD"/>
    <w:rsid w:val="00166FE2"/>
    <w:rsid w:val="001706C9"/>
    <w:rsid w:val="00170985"/>
    <w:rsid w:val="0017117C"/>
    <w:rsid w:val="00171CFD"/>
    <w:rsid w:val="00171DCB"/>
    <w:rsid w:val="00171FC7"/>
    <w:rsid w:val="00172BFA"/>
    <w:rsid w:val="001739C0"/>
    <w:rsid w:val="001751D9"/>
    <w:rsid w:val="00175A2D"/>
    <w:rsid w:val="00177CB3"/>
    <w:rsid w:val="00180849"/>
    <w:rsid w:val="001816CF"/>
    <w:rsid w:val="00182AA9"/>
    <w:rsid w:val="00183C9A"/>
    <w:rsid w:val="0018482B"/>
    <w:rsid w:val="00185252"/>
    <w:rsid w:val="00185B00"/>
    <w:rsid w:val="00185C91"/>
    <w:rsid w:val="00187452"/>
    <w:rsid w:val="00187675"/>
    <w:rsid w:val="0019092A"/>
    <w:rsid w:val="00190B6E"/>
    <w:rsid w:val="00190E44"/>
    <w:rsid w:val="0019203F"/>
    <w:rsid w:val="0019532A"/>
    <w:rsid w:val="0019611E"/>
    <w:rsid w:val="001A04A5"/>
    <w:rsid w:val="001A0ACF"/>
    <w:rsid w:val="001A0C79"/>
    <w:rsid w:val="001A3768"/>
    <w:rsid w:val="001A4569"/>
    <w:rsid w:val="001A5059"/>
    <w:rsid w:val="001A536C"/>
    <w:rsid w:val="001A56D7"/>
    <w:rsid w:val="001A787F"/>
    <w:rsid w:val="001B096F"/>
    <w:rsid w:val="001B0AB0"/>
    <w:rsid w:val="001B0AC5"/>
    <w:rsid w:val="001B0EC7"/>
    <w:rsid w:val="001B1198"/>
    <w:rsid w:val="001B1830"/>
    <w:rsid w:val="001B272D"/>
    <w:rsid w:val="001B3373"/>
    <w:rsid w:val="001B42F6"/>
    <w:rsid w:val="001B4AB6"/>
    <w:rsid w:val="001B4B33"/>
    <w:rsid w:val="001B54AE"/>
    <w:rsid w:val="001B587B"/>
    <w:rsid w:val="001B58E5"/>
    <w:rsid w:val="001B67C3"/>
    <w:rsid w:val="001C03E4"/>
    <w:rsid w:val="001C1845"/>
    <w:rsid w:val="001C1C22"/>
    <w:rsid w:val="001C23EB"/>
    <w:rsid w:val="001C290C"/>
    <w:rsid w:val="001C2B64"/>
    <w:rsid w:val="001C327A"/>
    <w:rsid w:val="001C34AD"/>
    <w:rsid w:val="001C3C81"/>
    <w:rsid w:val="001C47BD"/>
    <w:rsid w:val="001C4873"/>
    <w:rsid w:val="001C5B92"/>
    <w:rsid w:val="001C7021"/>
    <w:rsid w:val="001C73B2"/>
    <w:rsid w:val="001C79C4"/>
    <w:rsid w:val="001C7E3F"/>
    <w:rsid w:val="001D07FC"/>
    <w:rsid w:val="001D1209"/>
    <w:rsid w:val="001D1A78"/>
    <w:rsid w:val="001D1BFE"/>
    <w:rsid w:val="001D1D71"/>
    <w:rsid w:val="001D20F8"/>
    <w:rsid w:val="001D269C"/>
    <w:rsid w:val="001D2A0E"/>
    <w:rsid w:val="001D3002"/>
    <w:rsid w:val="001D406B"/>
    <w:rsid w:val="001D4305"/>
    <w:rsid w:val="001D451B"/>
    <w:rsid w:val="001D57B2"/>
    <w:rsid w:val="001D585C"/>
    <w:rsid w:val="001D5A75"/>
    <w:rsid w:val="001D7FE5"/>
    <w:rsid w:val="001E0B59"/>
    <w:rsid w:val="001E0E1F"/>
    <w:rsid w:val="001E15DB"/>
    <w:rsid w:val="001E15EA"/>
    <w:rsid w:val="001E38A6"/>
    <w:rsid w:val="001E3E81"/>
    <w:rsid w:val="001E4161"/>
    <w:rsid w:val="001E452C"/>
    <w:rsid w:val="001E4C72"/>
    <w:rsid w:val="001E5CD6"/>
    <w:rsid w:val="001E64DC"/>
    <w:rsid w:val="001E7043"/>
    <w:rsid w:val="001E712F"/>
    <w:rsid w:val="001E7F90"/>
    <w:rsid w:val="001F0154"/>
    <w:rsid w:val="001F08A9"/>
    <w:rsid w:val="001F1298"/>
    <w:rsid w:val="001F17C2"/>
    <w:rsid w:val="001F1CCF"/>
    <w:rsid w:val="001F28E2"/>
    <w:rsid w:val="001F3CBD"/>
    <w:rsid w:val="001F45BB"/>
    <w:rsid w:val="001F5E52"/>
    <w:rsid w:val="001F73BF"/>
    <w:rsid w:val="001F77CA"/>
    <w:rsid w:val="001F79A2"/>
    <w:rsid w:val="0020129A"/>
    <w:rsid w:val="00201C52"/>
    <w:rsid w:val="00201D0B"/>
    <w:rsid w:val="00202215"/>
    <w:rsid w:val="00202F1E"/>
    <w:rsid w:val="002030F8"/>
    <w:rsid w:val="0020389E"/>
    <w:rsid w:val="002050D7"/>
    <w:rsid w:val="0020533F"/>
    <w:rsid w:val="00205B1E"/>
    <w:rsid w:val="00206139"/>
    <w:rsid w:val="00207F22"/>
    <w:rsid w:val="00207FDE"/>
    <w:rsid w:val="002109E8"/>
    <w:rsid w:val="00211184"/>
    <w:rsid w:val="002134C6"/>
    <w:rsid w:val="00213D16"/>
    <w:rsid w:val="00214AB4"/>
    <w:rsid w:val="00214E09"/>
    <w:rsid w:val="00215883"/>
    <w:rsid w:val="00216832"/>
    <w:rsid w:val="00222228"/>
    <w:rsid w:val="00222D0F"/>
    <w:rsid w:val="00222DE3"/>
    <w:rsid w:val="00222EAC"/>
    <w:rsid w:val="00222F31"/>
    <w:rsid w:val="0022382B"/>
    <w:rsid w:val="00223A2B"/>
    <w:rsid w:val="00224650"/>
    <w:rsid w:val="00224AC9"/>
    <w:rsid w:val="00225B2A"/>
    <w:rsid w:val="00226863"/>
    <w:rsid w:val="0022774B"/>
    <w:rsid w:val="00231494"/>
    <w:rsid w:val="00231988"/>
    <w:rsid w:val="00231AD7"/>
    <w:rsid w:val="0023213A"/>
    <w:rsid w:val="00232206"/>
    <w:rsid w:val="002326E2"/>
    <w:rsid w:val="00232E54"/>
    <w:rsid w:val="00232FDB"/>
    <w:rsid w:val="002331FE"/>
    <w:rsid w:val="00233BA6"/>
    <w:rsid w:val="00233F00"/>
    <w:rsid w:val="00234944"/>
    <w:rsid w:val="002349D9"/>
    <w:rsid w:val="00234EB3"/>
    <w:rsid w:val="00235467"/>
    <w:rsid w:val="00236AA1"/>
    <w:rsid w:val="002376F2"/>
    <w:rsid w:val="00237CCE"/>
    <w:rsid w:val="00237ED4"/>
    <w:rsid w:val="0024046D"/>
    <w:rsid w:val="00240661"/>
    <w:rsid w:val="002406EF"/>
    <w:rsid w:val="00240982"/>
    <w:rsid w:val="00240A45"/>
    <w:rsid w:val="00241BB2"/>
    <w:rsid w:val="00241CEB"/>
    <w:rsid w:val="00241F74"/>
    <w:rsid w:val="002424F8"/>
    <w:rsid w:val="00242AEF"/>
    <w:rsid w:val="00244D0A"/>
    <w:rsid w:val="00244E39"/>
    <w:rsid w:val="00245CCC"/>
    <w:rsid w:val="00246050"/>
    <w:rsid w:val="0024613B"/>
    <w:rsid w:val="002467A8"/>
    <w:rsid w:val="0025014A"/>
    <w:rsid w:val="002503EF"/>
    <w:rsid w:val="002505A7"/>
    <w:rsid w:val="00252524"/>
    <w:rsid w:val="0025275E"/>
    <w:rsid w:val="002527F0"/>
    <w:rsid w:val="00252837"/>
    <w:rsid w:val="0025385F"/>
    <w:rsid w:val="00253BD2"/>
    <w:rsid w:val="00254806"/>
    <w:rsid w:val="00254CF3"/>
    <w:rsid w:val="0025570F"/>
    <w:rsid w:val="00255FDC"/>
    <w:rsid w:val="002569BB"/>
    <w:rsid w:val="002602A5"/>
    <w:rsid w:val="002604CA"/>
    <w:rsid w:val="00260964"/>
    <w:rsid w:val="0026198F"/>
    <w:rsid w:val="00263B30"/>
    <w:rsid w:val="00265500"/>
    <w:rsid w:val="00266191"/>
    <w:rsid w:val="002666BD"/>
    <w:rsid w:val="002669B8"/>
    <w:rsid w:val="00266F90"/>
    <w:rsid w:val="0026776C"/>
    <w:rsid w:val="00270077"/>
    <w:rsid w:val="002704F3"/>
    <w:rsid w:val="00270C22"/>
    <w:rsid w:val="002712CE"/>
    <w:rsid w:val="00273752"/>
    <w:rsid w:val="002767C8"/>
    <w:rsid w:val="00277288"/>
    <w:rsid w:val="002773EC"/>
    <w:rsid w:val="0028067C"/>
    <w:rsid w:val="00280B11"/>
    <w:rsid w:val="00280C0B"/>
    <w:rsid w:val="00280DB6"/>
    <w:rsid w:val="00281734"/>
    <w:rsid w:val="00281AF3"/>
    <w:rsid w:val="002824AE"/>
    <w:rsid w:val="002825E6"/>
    <w:rsid w:val="002826BC"/>
    <w:rsid w:val="00282B5F"/>
    <w:rsid w:val="00283986"/>
    <w:rsid w:val="00284C7D"/>
    <w:rsid w:val="002853A5"/>
    <w:rsid w:val="00286406"/>
    <w:rsid w:val="002879A5"/>
    <w:rsid w:val="00287EAA"/>
    <w:rsid w:val="0029091A"/>
    <w:rsid w:val="00290A4A"/>
    <w:rsid w:val="00292772"/>
    <w:rsid w:val="00293BD8"/>
    <w:rsid w:val="002953E6"/>
    <w:rsid w:val="00295D08"/>
    <w:rsid w:val="0029679E"/>
    <w:rsid w:val="00296BEF"/>
    <w:rsid w:val="00297180"/>
    <w:rsid w:val="002A1CCB"/>
    <w:rsid w:val="002A1D2B"/>
    <w:rsid w:val="002A3482"/>
    <w:rsid w:val="002A3D60"/>
    <w:rsid w:val="002A4A6E"/>
    <w:rsid w:val="002A4B40"/>
    <w:rsid w:val="002A4DB5"/>
    <w:rsid w:val="002A521D"/>
    <w:rsid w:val="002A5647"/>
    <w:rsid w:val="002A5C2E"/>
    <w:rsid w:val="002A6888"/>
    <w:rsid w:val="002A7852"/>
    <w:rsid w:val="002B0C9E"/>
    <w:rsid w:val="002B25FB"/>
    <w:rsid w:val="002B2C32"/>
    <w:rsid w:val="002B3051"/>
    <w:rsid w:val="002B378A"/>
    <w:rsid w:val="002B5A87"/>
    <w:rsid w:val="002B6500"/>
    <w:rsid w:val="002B668C"/>
    <w:rsid w:val="002B7D15"/>
    <w:rsid w:val="002C0324"/>
    <w:rsid w:val="002C0A56"/>
    <w:rsid w:val="002C12F6"/>
    <w:rsid w:val="002C142B"/>
    <w:rsid w:val="002C243E"/>
    <w:rsid w:val="002C3483"/>
    <w:rsid w:val="002C357F"/>
    <w:rsid w:val="002C4138"/>
    <w:rsid w:val="002C5691"/>
    <w:rsid w:val="002C5E48"/>
    <w:rsid w:val="002C60A0"/>
    <w:rsid w:val="002C7EFA"/>
    <w:rsid w:val="002C7FCA"/>
    <w:rsid w:val="002D0A57"/>
    <w:rsid w:val="002D21AA"/>
    <w:rsid w:val="002D2526"/>
    <w:rsid w:val="002D25E1"/>
    <w:rsid w:val="002D3782"/>
    <w:rsid w:val="002D3D62"/>
    <w:rsid w:val="002D3EFD"/>
    <w:rsid w:val="002D4FC7"/>
    <w:rsid w:val="002D53F2"/>
    <w:rsid w:val="002D688D"/>
    <w:rsid w:val="002D71B2"/>
    <w:rsid w:val="002E0EFC"/>
    <w:rsid w:val="002E1984"/>
    <w:rsid w:val="002E1D23"/>
    <w:rsid w:val="002E2151"/>
    <w:rsid w:val="002E26AE"/>
    <w:rsid w:val="002E3436"/>
    <w:rsid w:val="002E3BA9"/>
    <w:rsid w:val="002E4475"/>
    <w:rsid w:val="002E571D"/>
    <w:rsid w:val="002E5FC4"/>
    <w:rsid w:val="002E6942"/>
    <w:rsid w:val="002E6DF4"/>
    <w:rsid w:val="002F0241"/>
    <w:rsid w:val="002F03DF"/>
    <w:rsid w:val="002F074A"/>
    <w:rsid w:val="002F0F13"/>
    <w:rsid w:val="002F1BF4"/>
    <w:rsid w:val="002F1E7E"/>
    <w:rsid w:val="002F2442"/>
    <w:rsid w:val="002F42B2"/>
    <w:rsid w:val="002F4D3E"/>
    <w:rsid w:val="002F4F96"/>
    <w:rsid w:val="002F5120"/>
    <w:rsid w:val="002F58F5"/>
    <w:rsid w:val="002F5940"/>
    <w:rsid w:val="002F6653"/>
    <w:rsid w:val="002F6741"/>
    <w:rsid w:val="002F6819"/>
    <w:rsid w:val="002F69D2"/>
    <w:rsid w:val="002F6D7E"/>
    <w:rsid w:val="002F74EA"/>
    <w:rsid w:val="002F78C8"/>
    <w:rsid w:val="00300D5D"/>
    <w:rsid w:val="00301C2C"/>
    <w:rsid w:val="00302379"/>
    <w:rsid w:val="003024D2"/>
    <w:rsid w:val="00302A63"/>
    <w:rsid w:val="00302CA9"/>
    <w:rsid w:val="00302D5B"/>
    <w:rsid w:val="00302D7E"/>
    <w:rsid w:val="003039E9"/>
    <w:rsid w:val="00303EEB"/>
    <w:rsid w:val="00304569"/>
    <w:rsid w:val="0030619E"/>
    <w:rsid w:val="00306426"/>
    <w:rsid w:val="0030676D"/>
    <w:rsid w:val="0031060A"/>
    <w:rsid w:val="00310ADA"/>
    <w:rsid w:val="00310FB8"/>
    <w:rsid w:val="00311643"/>
    <w:rsid w:val="0031171B"/>
    <w:rsid w:val="00311F7A"/>
    <w:rsid w:val="003131AE"/>
    <w:rsid w:val="0031331F"/>
    <w:rsid w:val="003134F4"/>
    <w:rsid w:val="003135CA"/>
    <w:rsid w:val="0031381E"/>
    <w:rsid w:val="0031382E"/>
    <w:rsid w:val="003139C0"/>
    <w:rsid w:val="00313B75"/>
    <w:rsid w:val="00313F93"/>
    <w:rsid w:val="00316783"/>
    <w:rsid w:val="00316974"/>
    <w:rsid w:val="003176B4"/>
    <w:rsid w:val="00317E41"/>
    <w:rsid w:val="0032023C"/>
    <w:rsid w:val="003220E9"/>
    <w:rsid w:val="003231E6"/>
    <w:rsid w:val="0032407E"/>
    <w:rsid w:val="003248B6"/>
    <w:rsid w:val="00325543"/>
    <w:rsid w:val="003258BD"/>
    <w:rsid w:val="003262F7"/>
    <w:rsid w:val="00326954"/>
    <w:rsid w:val="0032749D"/>
    <w:rsid w:val="00327669"/>
    <w:rsid w:val="00327C2C"/>
    <w:rsid w:val="00332FE8"/>
    <w:rsid w:val="00333489"/>
    <w:rsid w:val="00333DC1"/>
    <w:rsid w:val="003349C5"/>
    <w:rsid w:val="00337311"/>
    <w:rsid w:val="003374B7"/>
    <w:rsid w:val="00341667"/>
    <w:rsid w:val="003421AE"/>
    <w:rsid w:val="00342B61"/>
    <w:rsid w:val="0034449E"/>
    <w:rsid w:val="00344509"/>
    <w:rsid w:val="00344E44"/>
    <w:rsid w:val="00344F07"/>
    <w:rsid w:val="0034565F"/>
    <w:rsid w:val="00345D03"/>
    <w:rsid w:val="003466AD"/>
    <w:rsid w:val="0034713B"/>
    <w:rsid w:val="00347449"/>
    <w:rsid w:val="00350E8F"/>
    <w:rsid w:val="00351B7F"/>
    <w:rsid w:val="00351B8C"/>
    <w:rsid w:val="003540C8"/>
    <w:rsid w:val="00354268"/>
    <w:rsid w:val="00355516"/>
    <w:rsid w:val="00355655"/>
    <w:rsid w:val="00355E99"/>
    <w:rsid w:val="00356546"/>
    <w:rsid w:val="003566D1"/>
    <w:rsid w:val="00356E16"/>
    <w:rsid w:val="00356F25"/>
    <w:rsid w:val="003571E3"/>
    <w:rsid w:val="00357C6D"/>
    <w:rsid w:val="003604F1"/>
    <w:rsid w:val="00360717"/>
    <w:rsid w:val="003625D5"/>
    <w:rsid w:val="0036268B"/>
    <w:rsid w:val="00363BF9"/>
    <w:rsid w:val="00365BD4"/>
    <w:rsid w:val="00365F7A"/>
    <w:rsid w:val="00365FDB"/>
    <w:rsid w:val="00367759"/>
    <w:rsid w:val="00367A93"/>
    <w:rsid w:val="00367C3C"/>
    <w:rsid w:val="00367E69"/>
    <w:rsid w:val="0037053B"/>
    <w:rsid w:val="003716B7"/>
    <w:rsid w:val="00371AB1"/>
    <w:rsid w:val="00372547"/>
    <w:rsid w:val="003730D8"/>
    <w:rsid w:val="003734FE"/>
    <w:rsid w:val="003739ED"/>
    <w:rsid w:val="00374EA2"/>
    <w:rsid w:val="00375910"/>
    <w:rsid w:val="00376439"/>
    <w:rsid w:val="00376613"/>
    <w:rsid w:val="003766B6"/>
    <w:rsid w:val="00376C3F"/>
    <w:rsid w:val="00377027"/>
    <w:rsid w:val="003771DE"/>
    <w:rsid w:val="00377C61"/>
    <w:rsid w:val="00380B90"/>
    <w:rsid w:val="00380D68"/>
    <w:rsid w:val="003817F8"/>
    <w:rsid w:val="00381D1D"/>
    <w:rsid w:val="003820FB"/>
    <w:rsid w:val="003822D1"/>
    <w:rsid w:val="00384264"/>
    <w:rsid w:val="00384BA5"/>
    <w:rsid w:val="00384C2E"/>
    <w:rsid w:val="00385590"/>
    <w:rsid w:val="0038585F"/>
    <w:rsid w:val="0038632D"/>
    <w:rsid w:val="003865DC"/>
    <w:rsid w:val="00386B9F"/>
    <w:rsid w:val="0038718A"/>
    <w:rsid w:val="00387542"/>
    <w:rsid w:val="003875A4"/>
    <w:rsid w:val="00387882"/>
    <w:rsid w:val="00387E7B"/>
    <w:rsid w:val="00387EA4"/>
    <w:rsid w:val="00387FAF"/>
    <w:rsid w:val="00387FB4"/>
    <w:rsid w:val="00390EE8"/>
    <w:rsid w:val="003911F7"/>
    <w:rsid w:val="0039174C"/>
    <w:rsid w:val="00392A75"/>
    <w:rsid w:val="00393284"/>
    <w:rsid w:val="00393B12"/>
    <w:rsid w:val="00393E67"/>
    <w:rsid w:val="00394304"/>
    <w:rsid w:val="00395AF8"/>
    <w:rsid w:val="00396105"/>
    <w:rsid w:val="00396E56"/>
    <w:rsid w:val="00396EA2"/>
    <w:rsid w:val="003A0301"/>
    <w:rsid w:val="003A03C7"/>
    <w:rsid w:val="003A0987"/>
    <w:rsid w:val="003A0F79"/>
    <w:rsid w:val="003A1329"/>
    <w:rsid w:val="003A1C76"/>
    <w:rsid w:val="003A2582"/>
    <w:rsid w:val="003A2695"/>
    <w:rsid w:val="003A2899"/>
    <w:rsid w:val="003A3150"/>
    <w:rsid w:val="003A3505"/>
    <w:rsid w:val="003A6434"/>
    <w:rsid w:val="003A669D"/>
    <w:rsid w:val="003A75B3"/>
    <w:rsid w:val="003A784F"/>
    <w:rsid w:val="003A7877"/>
    <w:rsid w:val="003B0166"/>
    <w:rsid w:val="003B0634"/>
    <w:rsid w:val="003B1293"/>
    <w:rsid w:val="003B1ED2"/>
    <w:rsid w:val="003B2234"/>
    <w:rsid w:val="003B3642"/>
    <w:rsid w:val="003B37E0"/>
    <w:rsid w:val="003B39A8"/>
    <w:rsid w:val="003B42CA"/>
    <w:rsid w:val="003B519F"/>
    <w:rsid w:val="003B57E2"/>
    <w:rsid w:val="003B6CF8"/>
    <w:rsid w:val="003B6D49"/>
    <w:rsid w:val="003B7387"/>
    <w:rsid w:val="003B78D1"/>
    <w:rsid w:val="003C078D"/>
    <w:rsid w:val="003C0C4B"/>
    <w:rsid w:val="003C1329"/>
    <w:rsid w:val="003C2A20"/>
    <w:rsid w:val="003C305B"/>
    <w:rsid w:val="003C5A56"/>
    <w:rsid w:val="003C5ED6"/>
    <w:rsid w:val="003C6478"/>
    <w:rsid w:val="003C6C9D"/>
    <w:rsid w:val="003C767A"/>
    <w:rsid w:val="003D00C0"/>
    <w:rsid w:val="003D0CC8"/>
    <w:rsid w:val="003D1689"/>
    <w:rsid w:val="003D1BAD"/>
    <w:rsid w:val="003D1DEB"/>
    <w:rsid w:val="003D27E4"/>
    <w:rsid w:val="003D34CC"/>
    <w:rsid w:val="003D55AF"/>
    <w:rsid w:val="003D7ED1"/>
    <w:rsid w:val="003E0441"/>
    <w:rsid w:val="003E04DD"/>
    <w:rsid w:val="003E1080"/>
    <w:rsid w:val="003E2F61"/>
    <w:rsid w:val="003E319B"/>
    <w:rsid w:val="003E5BB0"/>
    <w:rsid w:val="003E6918"/>
    <w:rsid w:val="003E6D48"/>
    <w:rsid w:val="003E79CA"/>
    <w:rsid w:val="003F0235"/>
    <w:rsid w:val="003F1923"/>
    <w:rsid w:val="003F1995"/>
    <w:rsid w:val="003F1F3B"/>
    <w:rsid w:val="003F36A7"/>
    <w:rsid w:val="003F4272"/>
    <w:rsid w:val="003F5A6A"/>
    <w:rsid w:val="003F6BE5"/>
    <w:rsid w:val="003F7E35"/>
    <w:rsid w:val="00401DDD"/>
    <w:rsid w:val="00401F13"/>
    <w:rsid w:val="00401F66"/>
    <w:rsid w:val="00402040"/>
    <w:rsid w:val="00403518"/>
    <w:rsid w:val="004035C3"/>
    <w:rsid w:val="00404091"/>
    <w:rsid w:val="004044BA"/>
    <w:rsid w:val="00405F5D"/>
    <w:rsid w:val="004068BA"/>
    <w:rsid w:val="00407993"/>
    <w:rsid w:val="00407D1D"/>
    <w:rsid w:val="00407D2C"/>
    <w:rsid w:val="00411577"/>
    <w:rsid w:val="00411D8C"/>
    <w:rsid w:val="004139EC"/>
    <w:rsid w:val="00415647"/>
    <w:rsid w:val="0041565A"/>
    <w:rsid w:val="00415CD3"/>
    <w:rsid w:val="004164E5"/>
    <w:rsid w:val="004176BD"/>
    <w:rsid w:val="00417C8D"/>
    <w:rsid w:val="00420A86"/>
    <w:rsid w:val="00421231"/>
    <w:rsid w:val="00423831"/>
    <w:rsid w:val="00423BBB"/>
    <w:rsid w:val="00423D85"/>
    <w:rsid w:val="004252AE"/>
    <w:rsid w:val="00425843"/>
    <w:rsid w:val="00427625"/>
    <w:rsid w:val="004276C0"/>
    <w:rsid w:val="00427EDF"/>
    <w:rsid w:val="00430622"/>
    <w:rsid w:val="00430A04"/>
    <w:rsid w:val="0043159C"/>
    <w:rsid w:val="00431AA4"/>
    <w:rsid w:val="00431E56"/>
    <w:rsid w:val="00432A80"/>
    <w:rsid w:val="0043357D"/>
    <w:rsid w:val="00433F33"/>
    <w:rsid w:val="004341AF"/>
    <w:rsid w:val="0043421F"/>
    <w:rsid w:val="004364BA"/>
    <w:rsid w:val="00436CD9"/>
    <w:rsid w:val="004406B6"/>
    <w:rsid w:val="004413BE"/>
    <w:rsid w:val="0044162D"/>
    <w:rsid w:val="00443567"/>
    <w:rsid w:val="00443697"/>
    <w:rsid w:val="00444C8F"/>
    <w:rsid w:val="004459A8"/>
    <w:rsid w:val="0044603C"/>
    <w:rsid w:val="00446E78"/>
    <w:rsid w:val="00447753"/>
    <w:rsid w:val="00451E43"/>
    <w:rsid w:val="004540E8"/>
    <w:rsid w:val="0045418D"/>
    <w:rsid w:val="00454949"/>
    <w:rsid w:val="004555AE"/>
    <w:rsid w:val="0045561C"/>
    <w:rsid w:val="00455A96"/>
    <w:rsid w:val="0045610C"/>
    <w:rsid w:val="00456210"/>
    <w:rsid w:val="004573EA"/>
    <w:rsid w:val="00460D75"/>
    <w:rsid w:val="00460F5F"/>
    <w:rsid w:val="00461601"/>
    <w:rsid w:val="00461705"/>
    <w:rsid w:val="00461A7F"/>
    <w:rsid w:val="00461A8D"/>
    <w:rsid w:val="00461DE1"/>
    <w:rsid w:val="00461DE4"/>
    <w:rsid w:val="00462B15"/>
    <w:rsid w:val="00462B48"/>
    <w:rsid w:val="00462D76"/>
    <w:rsid w:val="00462E41"/>
    <w:rsid w:val="00463026"/>
    <w:rsid w:val="004646DB"/>
    <w:rsid w:val="00465336"/>
    <w:rsid w:val="00465757"/>
    <w:rsid w:val="00465A25"/>
    <w:rsid w:val="004673A9"/>
    <w:rsid w:val="00470003"/>
    <w:rsid w:val="00470E90"/>
    <w:rsid w:val="0047150C"/>
    <w:rsid w:val="00471A3A"/>
    <w:rsid w:val="004740EC"/>
    <w:rsid w:val="00475CCA"/>
    <w:rsid w:val="00475EF6"/>
    <w:rsid w:val="004760F0"/>
    <w:rsid w:val="00476FC5"/>
    <w:rsid w:val="00477D83"/>
    <w:rsid w:val="004800DE"/>
    <w:rsid w:val="004825F5"/>
    <w:rsid w:val="0048393C"/>
    <w:rsid w:val="004840ED"/>
    <w:rsid w:val="004849BF"/>
    <w:rsid w:val="00484A89"/>
    <w:rsid w:val="00485083"/>
    <w:rsid w:val="004852B2"/>
    <w:rsid w:val="0048646B"/>
    <w:rsid w:val="0048767B"/>
    <w:rsid w:val="004876A7"/>
    <w:rsid w:val="00487B9C"/>
    <w:rsid w:val="0049040B"/>
    <w:rsid w:val="004908A1"/>
    <w:rsid w:val="004910A1"/>
    <w:rsid w:val="00492413"/>
    <w:rsid w:val="00492704"/>
    <w:rsid w:val="00493691"/>
    <w:rsid w:val="00493BB7"/>
    <w:rsid w:val="00493FF0"/>
    <w:rsid w:val="004949BE"/>
    <w:rsid w:val="00495CC5"/>
    <w:rsid w:val="004969CD"/>
    <w:rsid w:val="00497255"/>
    <w:rsid w:val="004976D5"/>
    <w:rsid w:val="00497749"/>
    <w:rsid w:val="004A10EC"/>
    <w:rsid w:val="004A1AC6"/>
    <w:rsid w:val="004A36E6"/>
    <w:rsid w:val="004A37AD"/>
    <w:rsid w:val="004A4EB7"/>
    <w:rsid w:val="004A5435"/>
    <w:rsid w:val="004A55CC"/>
    <w:rsid w:val="004A600F"/>
    <w:rsid w:val="004A626D"/>
    <w:rsid w:val="004A7977"/>
    <w:rsid w:val="004A7E68"/>
    <w:rsid w:val="004B0552"/>
    <w:rsid w:val="004B0B9C"/>
    <w:rsid w:val="004B0F15"/>
    <w:rsid w:val="004B1DFE"/>
    <w:rsid w:val="004B2360"/>
    <w:rsid w:val="004B258E"/>
    <w:rsid w:val="004B2897"/>
    <w:rsid w:val="004B3D3D"/>
    <w:rsid w:val="004B4B3C"/>
    <w:rsid w:val="004B4E23"/>
    <w:rsid w:val="004B4E54"/>
    <w:rsid w:val="004B62A7"/>
    <w:rsid w:val="004B637A"/>
    <w:rsid w:val="004B6713"/>
    <w:rsid w:val="004B77CC"/>
    <w:rsid w:val="004B7A72"/>
    <w:rsid w:val="004C1374"/>
    <w:rsid w:val="004C1601"/>
    <w:rsid w:val="004C1DA8"/>
    <w:rsid w:val="004C315D"/>
    <w:rsid w:val="004C50A6"/>
    <w:rsid w:val="004C53B2"/>
    <w:rsid w:val="004C56D7"/>
    <w:rsid w:val="004C578B"/>
    <w:rsid w:val="004C7368"/>
    <w:rsid w:val="004D02ED"/>
    <w:rsid w:val="004D0B18"/>
    <w:rsid w:val="004D2155"/>
    <w:rsid w:val="004D22F3"/>
    <w:rsid w:val="004D4275"/>
    <w:rsid w:val="004D4A5B"/>
    <w:rsid w:val="004D644A"/>
    <w:rsid w:val="004D67F7"/>
    <w:rsid w:val="004D6823"/>
    <w:rsid w:val="004D6955"/>
    <w:rsid w:val="004E039E"/>
    <w:rsid w:val="004E0F90"/>
    <w:rsid w:val="004E1252"/>
    <w:rsid w:val="004E211C"/>
    <w:rsid w:val="004E28F4"/>
    <w:rsid w:val="004E3CEF"/>
    <w:rsid w:val="004E406B"/>
    <w:rsid w:val="004E4537"/>
    <w:rsid w:val="004E483C"/>
    <w:rsid w:val="004E5012"/>
    <w:rsid w:val="004F01AF"/>
    <w:rsid w:val="004F01FE"/>
    <w:rsid w:val="004F08AE"/>
    <w:rsid w:val="004F09ED"/>
    <w:rsid w:val="004F1979"/>
    <w:rsid w:val="004F1A33"/>
    <w:rsid w:val="004F1CB6"/>
    <w:rsid w:val="004F2FF2"/>
    <w:rsid w:val="004F3471"/>
    <w:rsid w:val="004F4590"/>
    <w:rsid w:val="004F6AFA"/>
    <w:rsid w:val="004F6BBB"/>
    <w:rsid w:val="004F73D1"/>
    <w:rsid w:val="005013DB"/>
    <w:rsid w:val="00501701"/>
    <w:rsid w:val="00502730"/>
    <w:rsid w:val="0050318B"/>
    <w:rsid w:val="00504852"/>
    <w:rsid w:val="00504925"/>
    <w:rsid w:val="00505547"/>
    <w:rsid w:val="005055EB"/>
    <w:rsid w:val="00507B2D"/>
    <w:rsid w:val="00507CEA"/>
    <w:rsid w:val="00510043"/>
    <w:rsid w:val="005107B1"/>
    <w:rsid w:val="00510EB1"/>
    <w:rsid w:val="005117F0"/>
    <w:rsid w:val="00512D26"/>
    <w:rsid w:val="0051315F"/>
    <w:rsid w:val="0051381F"/>
    <w:rsid w:val="00514C66"/>
    <w:rsid w:val="00517A1C"/>
    <w:rsid w:val="00517A89"/>
    <w:rsid w:val="00517D7E"/>
    <w:rsid w:val="00520184"/>
    <w:rsid w:val="005205C1"/>
    <w:rsid w:val="005208FD"/>
    <w:rsid w:val="00521363"/>
    <w:rsid w:val="0052162B"/>
    <w:rsid w:val="00521DE0"/>
    <w:rsid w:val="0052259B"/>
    <w:rsid w:val="005232CC"/>
    <w:rsid w:val="005238AD"/>
    <w:rsid w:val="00523FDA"/>
    <w:rsid w:val="005252CA"/>
    <w:rsid w:val="005270B3"/>
    <w:rsid w:val="00527323"/>
    <w:rsid w:val="005279A2"/>
    <w:rsid w:val="00527A73"/>
    <w:rsid w:val="00527E07"/>
    <w:rsid w:val="00530492"/>
    <w:rsid w:val="0053049A"/>
    <w:rsid w:val="00530A5F"/>
    <w:rsid w:val="00530E50"/>
    <w:rsid w:val="0053103D"/>
    <w:rsid w:val="00531DE9"/>
    <w:rsid w:val="00532160"/>
    <w:rsid w:val="00532DC7"/>
    <w:rsid w:val="0053388A"/>
    <w:rsid w:val="005340A5"/>
    <w:rsid w:val="005347B7"/>
    <w:rsid w:val="00535C39"/>
    <w:rsid w:val="005367C1"/>
    <w:rsid w:val="00537459"/>
    <w:rsid w:val="005379AD"/>
    <w:rsid w:val="00540407"/>
    <w:rsid w:val="0054054E"/>
    <w:rsid w:val="00540BE2"/>
    <w:rsid w:val="00540E73"/>
    <w:rsid w:val="0054143D"/>
    <w:rsid w:val="00541C01"/>
    <w:rsid w:val="00541C6B"/>
    <w:rsid w:val="00541EE9"/>
    <w:rsid w:val="005420F2"/>
    <w:rsid w:val="00542147"/>
    <w:rsid w:val="0054286C"/>
    <w:rsid w:val="005431B0"/>
    <w:rsid w:val="00543791"/>
    <w:rsid w:val="00543CDE"/>
    <w:rsid w:val="00544319"/>
    <w:rsid w:val="00544685"/>
    <w:rsid w:val="00544E99"/>
    <w:rsid w:val="00545A71"/>
    <w:rsid w:val="00545F07"/>
    <w:rsid w:val="00546BBA"/>
    <w:rsid w:val="00546C99"/>
    <w:rsid w:val="00550638"/>
    <w:rsid w:val="005508E1"/>
    <w:rsid w:val="005519B2"/>
    <w:rsid w:val="00552181"/>
    <w:rsid w:val="005525DF"/>
    <w:rsid w:val="005527CC"/>
    <w:rsid w:val="00553D78"/>
    <w:rsid w:val="00554131"/>
    <w:rsid w:val="0055454E"/>
    <w:rsid w:val="005546A8"/>
    <w:rsid w:val="005549A4"/>
    <w:rsid w:val="00560170"/>
    <w:rsid w:val="0056068D"/>
    <w:rsid w:val="00560B8C"/>
    <w:rsid w:val="00561C42"/>
    <w:rsid w:val="005620C9"/>
    <w:rsid w:val="00562377"/>
    <w:rsid w:val="0056304D"/>
    <w:rsid w:val="00563A93"/>
    <w:rsid w:val="0056652F"/>
    <w:rsid w:val="005705D1"/>
    <w:rsid w:val="005707A2"/>
    <w:rsid w:val="00570983"/>
    <w:rsid w:val="00571844"/>
    <w:rsid w:val="00571865"/>
    <w:rsid w:val="00571F66"/>
    <w:rsid w:val="00572458"/>
    <w:rsid w:val="005731C4"/>
    <w:rsid w:val="00574861"/>
    <w:rsid w:val="0057497E"/>
    <w:rsid w:val="00574B59"/>
    <w:rsid w:val="00575815"/>
    <w:rsid w:val="00575DFD"/>
    <w:rsid w:val="00575E40"/>
    <w:rsid w:val="00576133"/>
    <w:rsid w:val="00577663"/>
    <w:rsid w:val="00580368"/>
    <w:rsid w:val="00580A16"/>
    <w:rsid w:val="005816E3"/>
    <w:rsid w:val="00581EF4"/>
    <w:rsid w:val="005820C4"/>
    <w:rsid w:val="00583198"/>
    <w:rsid w:val="005835A1"/>
    <w:rsid w:val="005836E6"/>
    <w:rsid w:val="00583763"/>
    <w:rsid w:val="00583CA6"/>
    <w:rsid w:val="00584776"/>
    <w:rsid w:val="0058487B"/>
    <w:rsid w:val="00584BEB"/>
    <w:rsid w:val="00586461"/>
    <w:rsid w:val="00586656"/>
    <w:rsid w:val="005868A1"/>
    <w:rsid w:val="005872F6"/>
    <w:rsid w:val="005874E3"/>
    <w:rsid w:val="0058774A"/>
    <w:rsid w:val="0058790B"/>
    <w:rsid w:val="005901F2"/>
    <w:rsid w:val="00590668"/>
    <w:rsid w:val="0059151C"/>
    <w:rsid w:val="005917D6"/>
    <w:rsid w:val="005929F7"/>
    <w:rsid w:val="00593060"/>
    <w:rsid w:val="00595833"/>
    <w:rsid w:val="005969AF"/>
    <w:rsid w:val="005971BD"/>
    <w:rsid w:val="00597B97"/>
    <w:rsid w:val="00597E44"/>
    <w:rsid w:val="005A057E"/>
    <w:rsid w:val="005A0DA1"/>
    <w:rsid w:val="005A14A0"/>
    <w:rsid w:val="005A1812"/>
    <w:rsid w:val="005A19FB"/>
    <w:rsid w:val="005A21EB"/>
    <w:rsid w:val="005A2400"/>
    <w:rsid w:val="005A256F"/>
    <w:rsid w:val="005A261D"/>
    <w:rsid w:val="005A671D"/>
    <w:rsid w:val="005A7241"/>
    <w:rsid w:val="005A7557"/>
    <w:rsid w:val="005B188D"/>
    <w:rsid w:val="005B1E75"/>
    <w:rsid w:val="005B2A5B"/>
    <w:rsid w:val="005B2E4E"/>
    <w:rsid w:val="005B2F2D"/>
    <w:rsid w:val="005B2FB6"/>
    <w:rsid w:val="005B3852"/>
    <w:rsid w:val="005B3C02"/>
    <w:rsid w:val="005B3C49"/>
    <w:rsid w:val="005B405C"/>
    <w:rsid w:val="005B42D5"/>
    <w:rsid w:val="005B56F3"/>
    <w:rsid w:val="005B5902"/>
    <w:rsid w:val="005B6F25"/>
    <w:rsid w:val="005B7398"/>
    <w:rsid w:val="005B7EF0"/>
    <w:rsid w:val="005C0996"/>
    <w:rsid w:val="005C1762"/>
    <w:rsid w:val="005C24FD"/>
    <w:rsid w:val="005C2E16"/>
    <w:rsid w:val="005C3651"/>
    <w:rsid w:val="005C5082"/>
    <w:rsid w:val="005C5FFC"/>
    <w:rsid w:val="005C6AB7"/>
    <w:rsid w:val="005C7CD5"/>
    <w:rsid w:val="005D16A5"/>
    <w:rsid w:val="005D1978"/>
    <w:rsid w:val="005D272C"/>
    <w:rsid w:val="005D3FC0"/>
    <w:rsid w:val="005D5313"/>
    <w:rsid w:val="005D5EBE"/>
    <w:rsid w:val="005D6162"/>
    <w:rsid w:val="005D7764"/>
    <w:rsid w:val="005D776B"/>
    <w:rsid w:val="005D7B28"/>
    <w:rsid w:val="005E1483"/>
    <w:rsid w:val="005E166B"/>
    <w:rsid w:val="005E172A"/>
    <w:rsid w:val="005E290D"/>
    <w:rsid w:val="005E4101"/>
    <w:rsid w:val="005E41A5"/>
    <w:rsid w:val="005E4957"/>
    <w:rsid w:val="005E50F4"/>
    <w:rsid w:val="005E705F"/>
    <w:rsid w:val="005E79C8"/>
    <w:rsid w:val="005F041E"/>
    <w:rsid w:val="005F0469"/>
    <w:rsid w:val="005F100D"/>
    <w:rsid w:val="005F17FC"/>
    <w:rsid w:val="005F1AC2"/>
    <w:rsid w:val="005F1B96"/>
    <w:rsid w:val="005F1F06"/>
    <w:rsid w:val="005F2B34"/>
    <w:rsid w:val="005F493A"/>
    <w:rsid w:val="005F4B54"/>
    <w:rsid w:val="005F5387"/>
    <w:rsid w:val="005F6277"/>
    <w:rsid w:val="005F6A0D"/>
    <w:rsid w:val="005F6CF1"/>
    <w:rsid w:val="005F6E8F"/>
    <w:rsid w:val="005F70C9"/>
    <w:rsid w:val="005F77DD"/>
    <w:rsid w:val="00600E3C"/>
    <w:rsid w:val="006013D7"/>
    <w:rsid w:val="00601CEF"/>
    <w:rsid w:val="006020AB"/>
    <w:rsid w:val="00602877"/>
    <w:rsid w:val="006029B6"/>
    <w:rsid w:val="00603B61"/>
    <w:rsid w:val="00603D0C"/>
    <w:rsid w:val="00605C1F"/>
    <w:rsid w:val="006063C5"/>
    <w:rsid w:val="00606C2E"/>
    <w:rsid w:val="00606EB4"/>
    <w:rsid w:val="00606FF9"/>
    <w:rsid w:val="006104BD"/>
    <w:rsid w:val="00611205"/>
    <w:rsid w:val="0061147A"/>
    <w:rsid w:val="006115B7"/>
    <w:rsid w:val="00611661"/>
    <w:rsid w:val="00612255"/>
    <w:rsid w:val="00613890"/>
    <w:rsid w:val="0061416D"/>
    <w:rsid w:val="00614683"/>
    <w:rsid w:val="00614A17"/>
    <w:rsid w:val="00614EBB"/>
    <w:rsid w:val="00615AEC"/>
    <w:rsid w:val="00615D3D"/>
    <w:rsid w:val="00615E4C"/>
    <w:rsid w:val="006163D7"/>
    <w:rsid w:val="0061694D"/>
    <w:rsid w:val="00616CAA"/>
    <w:rsid w:val="006179E7"/>
    <w:rsid w:val="00621701"/>
    <w:rsid w:val="00622917"/>
    <w:rsid w:val="00623358"/>
    <w:rsid w:val="00623785"/>
    <w:rsid w:val="00623871"/>
    <w:rsid w:val="006245F7"/>
    <w:rsid w:val="0062472B"/>
    <w:rsid w:val="0062577D"/>
    <w:rsid w:val="00625796"/>
    <w:rsid w:val="00625AF3"/>
    <w:rsid w:val="006301F6"/>
    <w:rsid w:val="00630EDC"/>
    <w:rsid w:val="00631B20"/>
    <w:rsid w:val="00631B71"/>
    <w:rsid w:val="006339A6"/>
    <w:rsid w:val="006343DB"/>
    <w:rsid w:val="00634E89"/>
    <w:rsid w:val="00635358"/>
    <w:rsid w:val="00635B95"/>
    <w:rsid w:val="00636024"/>
    <w:rsid w:val="00636376"/>
    <w:rsid w:val="00636D16"/>
    <w:rsid w:val="00636EB1"/>
    <w:rsid w:val="0063703B"/>
    <w:rsid w:val="0063715A"/>
    <w:rsid w:val="00640421"/>
    <w:rsid w:val="0064097A"/>
    <w:rsid w:val="0064387E"/>
    <w:rsid w:val="00643A3A"/>
    <w:rsid w:val="00644B6F"/>
    <w:rsid w:val="00644CF0"/>
    <w:rsid w:val="006452AF"/>
    <w:rsid w:val="0064567F"/>
    <w:rsid w:val="00645A92"/>
    <w:rsid w:val="00646A98"/>
    <w:rsid w:val="00646CD6"/>
    <w:rsid w:val="0064783A"/>
    <w:rsid w:val="006479C9"/>
    <w:rsid w:val="00650BE5"/>
    <w:rsid w:val="00652191"/>
    <w:rsid w:val="00652229"/>
    <w:rsid w:val="00654608"/>
    <w:rsid w:val="00655399"/>
    <w:rsid w:val="00655614"/>
    <w:rsid w:val="00655C3F"/>
    <w:rsid w:val="00657D78"/>
    <w:rsid w:val="00660CD9"/>
    <w:rsid w:val="006611BB"/>
    <w:rsid w:val="00661241"/>
    <w:rsid w:val="00661735"/>
    <w:rsid w:val="006618AF"/>
    <w:rsid w:val="00661C4D"/>
    <w:rsid w:val="00661D7A"/>
    <w:rsid w:val="0066259D"/>
    <w:rsid w:val="00663105"/>
    <w:rsid w:val="00665C0A"/>
    <w:rsid w:val="00666150"/>
    <w:rsid w:val="00666A36"/>
    <w:rsid w:val="00666CBA"/>
    <w:rsid w:val="00667D01"/>
    <w:rsid w:val="006705EA"/>
    <w:rsid w:val="00670F5C"/>
    <w:rsid w:val="00671260"/>
    <w:rsid w:val="00671E68"/>
    <w:rsid w:val="00672B3B"/>
    <w:rsid w:val="00672BAD"/>
    <w:rsid w:val="00673A88"/>
    <w:rsid w:val="00673C42"/>
    <w:rsid w:val="00674B8B"/>
    <w:rsid w:val="0067513F"/>
    <w:rsid w:val="00675D95"/>
    <w:rsid w:val="00676A73"/>
    <w:rsid w:val="0067771A"/>
    <w:rsid w:val="00677CC9"/>
    <w:rsid w:val="00681887"/>
    <w:rsid w:val="00681912"/>
    <w:rsid w:val="00681DFA"/>
    <w:rsid w:val="0068285E"/>
    <w:rsid w:val="00683A7C"/>
    <w:rsid w:val="00683D55"/>
    <w:rsid w:val="00683F3F"/>
    <w:rsid w:val="0068482F"/>
    <w:rsid w:val="00685315"/>
    <w:rsid w:val="00685A34"/>
    <w:rsid w:val="006861E2"/>
    <w:rsid w:val="006863D8"/>
    <w:rsid w:val="00686A30"/>
    <w:rsid w:val="00692546"/>
    <w:rsid w:val="006926B7"/>
    <w:rsid w:val="0069321F"/>
    <w:rsid w:val="00693435"/>
    <w:rsid w:val="00695A4E"/>
    <w:rsid w:val="00695F47"/>
    <w:rsid w:val="006967B9"/>
    <w:rsid w:val="006A00AE"/>
    <w:rsid w:val="006A0CE5"/>
    <w:rsid w:val="006A1124"/>
    <w:rsid w:val="006A30C3"/>
    <w:rsid w:val="006A33CD"/>
    <w:rsid w:val="006A34D6"/>
    <w:rsid w:val="006A3C6F"/>
    <w:rsid w:val="006A47E1"/>
    <w:rsid w:val="006A4869"/>
    <w:rsid w:val="006A4F98"/>
    <w:rsid w:val="006A5288"/>
    <w:rsid w:val="006A5A7F"/>
    <w:rsid w:val="006A6408"/>
    <w:rsid w:val="006A6654"/>
    <w:rsid w:val="006B03BB"/>
    <w:rsid w:val="006B052F"/>
    <w:rsid w:val="006B05C8"/>
    <w:rsid w:val="006B06D5"/>
    <w:rsid w:val="006B240E"/>
    <w:rsid w:val="006B2431"/>
    <w:rsid w:val="006B2526"/>
    <w:rsid w:val="006B2825"/>
    <w:rsid w:val="006B296C"/>
    <w:rsid w:val="006B2DC7"/>
    <w:rsid w:val="006B30AA"/>
    <w:rsid w:val="006B377A"/>
    <w:rsid w:val="006B37D1"/>
    <w:rsid w:val="006B3EC5"/>
    <w:rsid w:val="006B4BBE"/>
    <w:rsid w:val="006B4DB9"/>
    <w:rsid w:val="006B6B2C"/>
    <w:rsid w:val="006B739A"/>
    <w:rsid w:val="006C02FA"/>
    <w:rsid w:val="006C04BD"/>
    <w:rsid w:val="006C0E72"/>
    <w:rsid w:val="006C1AE7"/>
    <w:rsid w:val="006C20BA"/>
    <w:rsid w:val="006C3033"/>
    <w:rsid w:val="006C49E1"/>
    <w:rsid w:val="006C5802"/>
    <w:rsid w:val="006C59DE"/>
    <w:rsid w:val="006C5B52"/>
    <w:rsid w:val="006C7548"/>
    <w:rsid w:val="006C776F"/>
    <w:rsid w:val="006D0304"/>
    <w:rsid w:val="006D0F90"/>
    <w:rsid w:val="006D1B14"/>
    <w:rsid w:val="006D296E"/>
    <w:rsid w:val="006D3400"/>
    <w:rsid w:val="006D4024"/>
    <w:rsid w:val="006D45A5"/>
    <w:rsid w:val="006D531B"/>
    <w:rsid w:val="006D6055"/>
    <w:rsid w:val="006E1D18"/>
    <w:rsid w:val="006E2071"/>
    <w:rsid w:val="006E2C3D"/>
    <w:rsid w:val="006E2E4B"/>
    <w:rsid w:val="006E5550"/>
    <w:rsid w:val="006E56A7"/>
    <w:rsid w:val="006E5912"/>
    <w:rsid w:val="006E614C"/>
    <w:rsid w:val="006E616F"/>
    <w:rsid w:val="006E6979"/>
    <w:rsid w:val="006E6B32"/>
    <w:rsid w:val="006E6ECD"/>
    <w:rsid w:val="006E7587"/>
    <w:rsid w:val="006E7D9F"/>
    <w:rsid w:val="006F0696"/>
    <w:rsid w:val="006F1431"/>
    <w:rsid w:val="006F1771"/>
    <w:rsid w:val="006F1CDF"/>
    <w:rsid w:val="006F1E53"/>
    <w:rsid w:val="006F2042"/>
    <w:rsid w:val="006F2C6A"/>
    <w:rsid w:val="006F2FB3"/>
    <w:rsid w:val="006F30E6"/>
    <w:rsid w:val="006F3971"/>
    <w:rsid w:val="006F3C01"/>
    <w:rsid w:val="006F5B87"/>
    <w:rsid w:val="006F6EED"/>
    <w:rsid w:val="006F7046"/>
    <w:rsid w:val="006F7B15"/>
    <w:rsid w:val="006F7D29"/>
    <w:rsid w:val="006F7E9D"/>
    <w:rsid w:val="00700158"/>
    <w:rsid w:val="00700206"/>
    <w:rsid w:val="00700804"/>
    <w:rsid w:val="00700F81"/>
    <w:rsid w:val="00700FF6"/>
    <w:rsid w:val="0070163D"/>
    <w:rsid w:val="00701C4D"/>
    <w:rsid w:val="00702D0A"/>
    <w:rsid w:val="0070322E"/>
    <w:rsid w:val="00705E80"/>
    <w:rsid w:val="0070680A"/>
    <w:rsid w:val="00706CF9"/>
    <w:rsid w:val="0070733B"/>
    <w:rsid w:val="00707622"/>
    <w:rsid w:val="00707B03"/>
    <w:rsid w:val="00710D0A"/>
    <w:rsid w:val="0071124F"/>
    <w:rsid w:val="0071181C"/>
    <w:rsid w:val="00712F23"/>
    <w:rsid w:val="0071380F"/>
    <w:rsid w:val="00714343"/>
    <w:rsid w:val="00714C94"/>
    <w:rsid w:val="00714D0F"/>
    <w:rsid w:val="00715755"/>
    <w:rsid w:val="00715C44"/>
    <w:rsid w:val="00715E0C"/>
    <w:rsid w:val="00716F44"/>
    <w:rsid w:val="0071711F"/>
    <w:rsid w:val="007176FB"/>
    <w:rsid w:val="00720C54"/>
    <w:rsid w:val="00721103"/>
    <w:rsid w:val="007226CF"/>
    <w:rsid w:val="00723489"/>
    <w:rsid w:val="007236F0"/>
    <w:rsid w:val="0072530B"/>
    <w:rsid w:val="007254D8"/>
    <w:rsid w:val="00726DFD"/>
    <w:rsid w:val="007301D6"/>
    <w:rsid w:val="00730A52"/>
    <w:rsid w:val="00731B25"/>
    <w:rsid w:val="00731FD2"/>
    <w:rsid w:val="00732347"/>
    <w:rsid w:val="00733E99"/>
    <w:rsid w:val="0073473A"/>
    <w:rsid w:val="00734929"/>
    <w:rsid w:val="00734B85"/>
    <w:rsid w:val="00737E8D"/>
    <w:rsid w:val="00740740"/>
    <w:rsid w:val="007408DF"/>
    <w:rsid w:val="00741515"/>
    <w:rsid w:val="007415F4"/>
    <w:rsid w:val="00741A4D"/>
    <w:rsid w:val="007426CE"/>
    <w:rsid w:val="00743382"/>
    <w:rsid w:val="00743ECE"/>
    <w:rsid w:val="0074486A"/>
    <w:rsid w:val="007456F8"/>
    <w:rsid w:val="007460F9"/>
    <w:rsid w:val="007470C8"/>
    <w:rsid w:val="00751909"/>
    <w:rsid w:val="00752A83"/>
    <w:rsid w:val="007530C2"/>
    <w:rsid w:val="00753DAA"/>
    <w:rsid w:val="0075571B"/>
    <w:rsid w:val="00756DD5"/>
    <w:rsid w:val="00760AD6"/>
    <w:rsid w:val="00760DA9"/>
    <w:rsid w:val="007629A7"/>
    <w:rsid w:val="00763491"/>
    <w:rsid w:val="00763AA0"/>
    <w:rsid w:val="007646F1"/>
    <w:rsid w:val="00765287"/>
    <w:rsid w:val="00765B0B"/>
    <w:rsid w:val="0076606C"/>
    <w:rsid w:val="00766B6F"/>
    <w:rsid w:val="00766CDE"/>
    <w:rsid w:val="007700FF"/>
    <w:rsid w:val="00770AF8"/>
    <w:rsid w:val="007722ED"/>
    <w:rsid w:val="007727BA"/>
    <w:rsid w:val="00773568"/>
    <w:rsid w:val="00773B9A"/>
    <w:rsid w:val="00773F3F"/>
    <w:rsid w:val="0077465A"/>
    <w:rsid w:val="00774939"/>
    <w:rsid w:val="00774E7A"/>
    <w:rsid w:val="007751AB"/>
    <w:rsid w:val="0077682A"/>
    <w:rsid w:val="00776CDF"/>
    <w:rsid w:val="00776EEA"/>
    <w:rsid w:val="007770BF"/>
    <w:rsid w:val="0077737D"/>
    <w:rsid w:val="00780E5B"/>
    <w:rsid w:val="007822C0"/>
    <w:rsid w:val="007824A9"/>
    <w:rsid w:val="0078318A"/>
    <w:rsid w:val="00783221"/>
    <w:rsid w:val="0078394C"/>
    <w:rsid w:val="00785335"/>
    <w:rsid w:val="00785A95"/>
    <w:rsid w:val="00786E41"/>
    <w:rsid w:val="007871BB"/>
    <w:rsid w:val="00787A58"/>
    <w:rsid w:val="007900A1"/>
    <w:rsid w:val="00790A0A"/>
    <w:rsid w:val="00792650"/>
    <w:rsid w:val="007947F9"/>
    <w:rsid w:val="007950CE"/>
    <w:rsid w:val="00796645"/>
    <w:rsid w:val="007970C8"/>
    <w:rsid w:val="00797424"/>
    <w:rsid w:val="007A09AA"/>
    <w:rsid w:val="007A0D62"/>
    <w:rsid w:val="007A2A3B"/>
    <w:rsid w:val="007A2EF0"/>
    <w:rsid w:val="007A377A"/>
    <w:rsid w:val="007A38BF"/>
    <w:rsid w:val="007A5685"/>
    <w:rsid w:val="007A6C00"/>
    <w:rsid w:val="007A6CDA"/>
    <w:rsid w:val="007B0113"/>
    <w:rsid w:val="007B1093"/>
    <w:rsid w:val="007B18BB"/>
    <w:rsid w:val="007B19C1"/>
    <w:rsid w:val="007B1C90"/>
    <w:rsid w:val="007B2830"/>
    <w:rsid w:val="007B32C6"/>
    <w:rsid w:val="007B4739"/>
    <w:rsid w:val="007B7829"/>
    <w:rsid w:val="007B7BAC"/>
    <w:rsid w:val="007C0275"/>
    <w:rsid w:val="007C1EA6"/>
    <w:rsid w:val="007C318B"/>
    <w:rsid w:val="007C34DB"/>
    <w:rsid w:val="007C3FF4"/>
    <w:rsid w:val="007C41DE"/>
    <w:rsid w:val="007C42A4"/>
    <w:rsid w:val="007C4700"/>
    <w:rsid w:val="007C5B7F"/>
    <w:rsid w:val="007C60D8"/>
    <w:rsid w:val="007C6E31"/>
    <w:rsid w:val="007C6EBA"/>
    <w:rsid w:val="007D09C5"/>
    <w:rsid w:val="007D0B63"/>
    <w:rsid w:val="007D2660"/>
    <w:rsid w:val="007D3944"/>
    <w:rsid w:val="007D4708"/>
    <w:rsid w:val="007D4A58"/>
    <w:rsid w:val="007D536E"/>
    <w:rsid w:val="007D67A8"/>
    <w:rsid w:val="007D6A51"/>
    <w:rsid w:val="007D6B51"/>
    <w:rsid w:val="007E027A"/>
    <w:rsid w:val="007E058E"/>
    <w:rsid w:val="007E0C60"/>
    <w:rsid w:val="007E1B69"/>
    <w:rsid w:val="007E2F4F"/>
    <w:rsid w:val="007E4D7D"/>
    <w:rsid w:val="007E4E8A"/>
    <w:rsid w:val="007E4EA7"/>
    <w:rsid w:val="007E6976"/>
    <w:rsid w:val="007E7104"/>
    <w:rsid w:val="007F00D7"/>
    <w:rsid w:val="007F01F7"/>
    <w:rsid w:val="007F0943"/>
    <w:rsid w:val="007F0D91"/>
    <w:rsid w:val="007F1EF8"/>
    <w:rsid w:val="007F2CE8"/>
    <w:rsid w:val="007F307F"/>
    <w:rsid w:val="007F3B4C"/>
    <w:rsid w:val="007F3D54"/>
    <w:rsid w:val="007F4A49"/>
    <w:rsid w:val="007F4DDF"/>
    <w:rsid w:val="007F4F4D"/>
    <w:rsid w:val="007F6955"/>
    <w:rsid w:val="007F730A"/>
    <w:rsid w:val="007F7885"/>
    <w:rsid w:val="007F7EA0"/>
    <w:rsid w:val="007F7F44"/>
    <w:rsid w:val="008002A9"/>
    <w:rsid w:val="0080101F"/>
    <w:rsid w:val="0080128E"/>
    <w:rsid w:val="00801336"/>
    <w:rsid w:val="0080144A"/>
    <w:rsid w:val="0080198F"/>
    <w:rsid w:val="00802020"/>
    <w:rsid w:val="00803098"/>
    <w:rsid w:val="00803388"/>
    <w:rsid w:val="00803932"/>
    <w:rsid w:val="00803DA2"/>
    <w:rsid w:val="008043CD"/>
    <w:rsid w:val="00805381"/>
    <w:rsid w:val="0080543D"/>
    <w:rsid w:val="00805BEE"/>
    <w:rsid w:val="00805F95"/>
    <w:rsid w:val="0080604D"/>
    <w:rsid w:val="008065BF"/>
    <w:rsid w:val="008066D0"/>
    <w:rsid w:val="008068AE"/>
    <w:rsid w:val="00806A07"/>
    <w:rsid w:val="00806CAE"/>
    <w:rsid w:val="00807619"/>
    <w:rsid w:val="008078E4"/>
    <w:rsid w:val="008110CE"/>
    <w:rsid w:val="00811333"/>
    <w:rsid w:val="008119DB"/>
    <w:rsid w:val="00812002"/>
    <w:rsid w:val="00813011"/>
    <w:rsid w:val="008132DF"/>
    <w:rsid w:val="0081402F"/>
    <w:rsid w:val="00814885"/>
    <w:rsid w:val="00814F94"/>
    <w:rsid w:val="00815F32"/>
    <w:rsid w:val="00816210"/>
    <w:rsid w:val="00822474"/>
    <w:rsid w:val="00822DD6"/>
    <w:rsid w:val="0082349A"/>
    <w:rsid w:val="00824334"/>
    <w:rsid w:val="00826301"/>
    <w:rsid w:val="0082724D"/>
    <w:rsid w:val="00827B65"/>
    <w:rsid w:val="00830156"/>
    <w:rsid w:val="008301FD"/>
    <w:rsid w:val="00830EB2"/>
    <w:rsid w:val="00831B7E"/>
    <w:rsid w:val="00831E43"/>
    <w:rsid w:val="008329B2"/>
    <w:rsid w:val="00833720"/>
    <w:rsid w:val="00833CD6"/>
    <w:rsid w:val="00833DC3"/>
    <w:rsid w:val="00834B6E"/>
    <w:rsid w:val="00836895"/>
    <w:rsid w:val="008376CC"/>
    <w:rsid w:val="0083784F"/>
    <w:rsid w:val="00837E7B"/>
    <w:rsid w:val="0084297A"/>
    <w:rsid w:val="00842EB1"/>
    <w:rsid w:val="008430A2"/>
    <w:rsid w:val="00844179"/>
    <w:rsid w:val="00844692"/>
    <w:rsid w:val="00844A1D"/>
    <w:rsid w:val="00845B1B"/>
    <w:rsid w:val="00845CCF"/>
    <w:rsid w:val="00845F17"/>
    <w:rsid w:val="00846ECD"/>
    <w:rsid w:val="00850029"/>
    <w:rsid w:val="00850E88"/>
    <w:rsid w:val="008524E2"/>
    <w:rsid w:val="00852731"/>
    <w:rsid w:val="00852D72"/>
    <w:rsid w:val="0085320A"/>
    <w:rsid w:val="00856069"/>
    <w:rsid w:val="0086050D"/>
    <w:rsid w:val="00861054"/>
    <w:rsid w:val="0086117F"/>
    <w:rsid w:val="0086119C"/>
    <w:rsid w:val="00863652"/>
    <w:rsid w:val="0086401C"/>
    <w:rsid w:val="008641E2"/>
    <w:rsid w:val="00864979"/>
    <w:rsid w:val="00864AA8"/>
    <w:rsid w:val="00865198"/>
    <w:rsid w:val="00866B4C"/>
    <w:rsid w:val="00866EE3"/>
    <w:rsid w:val="0086713F"/>
    <w:rsid w:val="00867F01"/>
    <w:rsid w:val="00870142"/>
    <w:rsid w:val="008708AB"/>
    <w:rsid w:val="008709D6"/>
    <w:rsid w:val="0087158E"/>
    <w:rsid w:val="008719AF"/>
    <w:rsid w:val="008720F6"/>
    <w:rsid w:val="00872A9C"/>
    <w:rsid w:val="00872C41"/>
    <w:rsid w:val="0087397E"/>
    <w:rsid w:val="00873E10"/>
    <w:rsid w:val="00875518"/>
    <w:rsid w:val="00876531"/>
    <w:rsid w:val="0087658E"/>
    <w:rsid w:val="00876954"/>
    <w:rsid w:val="008770D9"/>
    <w:rsid w:val="00877201"/>
    <w:rsid w:val="00877E83"/>
    <w:rsid w:val="00880486"/>
    <w:rsid w:val="00881094"/>
    <w:rsid w:val="00882F86"/>
    <w:rsid w:val="008856B4"/>
    <w:rsid w:val="00890C04"/>
    <w:rsid w:val="00890C8A"/>
    <w:rsid w:val="0089123E"/>
    <w:rsid w:val="0089168D"/>
    <w:rsid w:val="00891AA8"/>
    <w:rsid w:val="00892077"/>
    <w:rsid w:val="008922A4"/>
    <w:rsid w:val="00893115"/>
    <w:rsid w:val="0089462C"/>
    <w:rsid w:val="00894835"/>
    <w:rsid w:val="00895633"/>
    <w:rsid w:val="00895668"/>
    <w:rsid w:val="00896DDF"/>
    <w:rsid w:val="008975AF"/>
    <w:rsid w:val="00897B24"/>
    <w:rsid w:val="00897EC5"/>
    <w:rsid w:val="008A03B8"/>
    <w:rsid w:val="008A10A2"/>
    <w:rsid w:val="008A119B"/>
    <w:rsid w:val="008A22DD"/>
    <w:rsid w:val="008A27F4"/>
    <w:rsid w:val="008A385C"/>
    <w:rsid w:val="008A38BA"/>
    <w:rsid w:val="008A3A79"/>
    <w:rsid w:val="008A4A75"/>
    <w:rsid w:val="008A4B7D"/>
    <w:rsid w:val="008A532E"/>
    <w:rsid w:val="008A581E"/>
    <w:rsid w:val="008A59DB"/>
    <w:rsid w:val="008A7DB6"/>
    <w:rsid w:val="008B1400"/>
    <w:rsid w:val="008B18BD"/>
    <w:rsid w:val="008B2450"/>
    <w:rsid w:val="008B2C69"/>
    <w:rsid w:val="008B2DE8"/>
    <w:rsid w:val="008B2E86"/>
    <w:rsid w:val="008B3426"/>
    <w:rsid w:val="008B3713"/>
    <w:rsid w:val="008B3734"/>
    <w:rsid w:val="008B3949"/>
    <w:rsid w:val="008B44C7"/>
    <w:rsid w:val="008B5860"/>
    <w:rsid w:val="008B5AB8"/>
    <w:rsid w:val="008B627C"/>
    <w:rsid w:val="008B6E41"/>
    <w:rsid w:val="008B7822"/>
    <w:rsid w:val="008C09A1"/>
    <w:rsid w:val="008C0E28"/>
    <w:rsid w:val="008C1145"/>
    <w:rsid w:val="008C1750"/>
    <w:rsid w:val="008C17E9"/>
    <w:rsid w:val="008C190A"/>
    <w:rsid w:val="008C1ADD"/>
    <w:rsid w:val="008C2E44"/>
    <w:rsid w:val="008C2E53"/>
    <w:rsid w:val="008C3154"/>
    <w:rsid w:val="008C31BD"/>
    <w:rsid w:val="008C34F1"/>
    <w:rsid w:val="008C5E5F"/>
    <w:rsid w:val="008C65F9"/>
    <w:rsid w:val="008C7B85"/>
    <w:rsid w:val="008D0A83"/>
    <w:rsid w:val="008D0E94"/>
    <w:rsid w:val="008D1E9A"/>
    <w:rsid w:val="008D1E9F"/>
    <w:rsid w:val="008D263F"/>
    <w:rsid w:val="008D2B64"/>
    <w:rsid w:val="008D3ACE"/>
    <w:rsid w:val="008D41CA"/>
    <w:rsid w:val="008D4222"/>
    <w:rsid w:val="008D770D"/>
    <w:rsid w:val="008D7A78"/>
    <w:rsid w:val="008E0702"/>
    <w:rsid w:val="008E13A1"/>
    <w:rsid w:val="008E19BC"/>
    <w:rsid w:val="008E3280"/>
    <w:rsid w:val="008E38C4"/>
    <w:rsid w:val="008E417C"/>
    <w:rsid w:val="008E4B36"/>
    <w:rsid w:val="008E500B"/>
    <w:rsid w:val="008E50DD"/>
    <w:rsid w:val="008E57CA"/>
    <w:rsid w:val="008E58D7"/>
    <w:rsid w:val="008E5965"/>
    <w:rsid w:val="008E61EF"/>
    <w:rsid w:val="008E73DD"/>
    <w:rsid w:val="008E7EB9"/>
    <w:rsid w:val="008F10A2"/>
    <w:rsid w:val="008F2F3F"/>
    <w:rsid w:val="008F3581"/>
    <w:rsid w:val="008F44EC"/>
    <w:rsid w:val="008F4FFB"/>
    <w:rsid w:val="008F5C92"/>
    <w:rsid w:val="008F5F06"/>
    <w:rsid w:val="008F661C"/>
    <w:rsid w:val="008F791D"/>
    <w:rsid w:val="008F79FA"/>
    <w:rsid w:val="008F7A93"/>
    <w:rsid w:val="009001CD"/>
    <w:rsid w:val="00900416"/>
    <w:rsid w:val="00901063"/>
    <w:rsid w:val="009013C4"/>
    <w:rsid w:val="00901660"/>
    <w:rsid w:val="00901C42"/>
    <w:rsid w:val="009032A5"/>
    <w:rsid w:val="00903CEB"/>
    <w:rsid w:val="00903E05"/>
    <w:rsid w:val="00903FA1"/>
    <w:rsid w:val="00904318"/>
    <w:rsid w:val="009058F7"/>
    <w:rsid w:val="00905F24"/>
    <w:rsid w:val="009064E9"/>
    <w:rsid w:val="00906C38"/>
    <w:rsid w:val="00911913"/>
    <w:rsid w:val="00912902"/>
    <w:rsid w:val="00912CDC"/>
    <w:rsid w:val="00912DDB"/>
    <w:rsid w:val="00913B0A"/>
    <w:rsid w:val="009145DC"/>
    <w:rsid w:val="0091488E"/>
    <w:rsid w:val="00914EA0"/>
    <w:rsid w:val="0091599C"/>
    <w:rsid w:val="00916062"/>
    <w:rsid w:val="0091628B"/>
    <w:rsid w:val="009164C0"/>
    <w:rsid w:val="0091668D"/>
    <w:rsid w:val="009175FC"/>
    <w:rsid w:val="00917FDE"/>
    <w:rsid w:val="009206A5"/>
    <w:rsid w:val="00920856"/>
    <w:rsid w:val="00921D5B"/>
    <w:rsid w:val="00923086"/>
    <w:rsid w:val="009241E9"/>
    <w:rsid w:val="009257D4"/>
    <w:rsid w:val="00926034"/>
    <w:rsid w:val="00926151"/>
    <w:rsid w:val="0092689C"/>
    <w:rsid w:val="00927FDD"/>
    <w:rsid w:val="0093029C"/>
    <w:rsid w:val="009307A5"/>
    <w:rsid w:val="00930D95"/>
    <w:rsid w:val="00932815"/>
    <w:rsid w:val="009345A2"/>
    <w:rsid w:val="0093468C"/>
    <w:rsid w:val="00934AB5"/>
    <w:rsid w:val="009357C8"/>
    <w:rsid w:val="00936E37"/>
    <w:rsid w:val="009376C4"/>
    <w:rsid w:val="0094084E"/>
    <w:rsid w:val="00940B10"/>
    <w:rsid w:val="0094215F"/>
    <w:rsid w:val="0094290A"/>
    <w:rsid w:val="00942966"/>
    <w:rsid w:val="00944C3D"/>
    <w:rsid w:val="00944C43"/>
    <w:rsid w:val="00944DC2"/>
    <w:rsid w:val="00945EE1"/>
    <w:rsid w:val="00946DBF"/>
    <w:rsid w:val="0094745B"/>
    <w:rsid w:val="00950544"/>
    <w:rsid w:val="00951D3A"/>
    <w:rsid w:val="0095224F"/>
    <w:rsid w:val="00952AF7"/>
    <w:rsid w:val="009538A7"/>
    <w:rsid w:val="009538F6"/>
    <w:rsid w:val="0095463C"/>
    <w:rsid w:val="00955E33"/>
    <w:rsid w:val="009561D1"/>
    <w:rsid w:val="00956210"/>
    <w:rsid w:val="00956670"/>
    <w:rsid w:val="00956F21"/>
    <w:rsid w:val="00956F57"/>
    <w:rsid w:val="0095795D"/>
    <w:rsid w:val="009606D8"/>
    <w:rsid w:val="0096155C"/>
    <w:rsid w:val="009622C3"/>
    <w:rsid w:val="00962FDC"/>
    <w:rsid w:val="00963213"/>
    <w:rsid w:val="00963B2E"/>
    <w:rsid w:val="0096406D"/>
    <w:rsid w:val="00964092"/>
    <w:rsid w:val="00964431"/>
    <w:rsid w:val="009648F0"/>
    <w:rsid w:val="00964DF4"/>
    <w:rsid w:val="00964EB7"/>
    <w:rsid w:val="00965703"/>
    <w:rsid w:val="00965845"/>
    <w:rsid w:val="00966443"/>
    <w:rsid w:val="00966AFD"/>
    <w:rsid w:val="00966B31"/>
    <w:rsid w:val="009674D3"/>
    <w:rsid w:val="009704D1"/>
    <w:rsid w:val="009708BC"/>
    <w:rsid w:val="00971B77"/>
    <w:rsid w:val="0097240E"/>
    <w:rsid w:val="00972482"/>
    <w:rsid w:val="00972FA8"/>
    <w:rsid w:val="0097337B"/>
    <w:rsid w:val="00973D6D"/>
    <w:rsid w:val="00973FC9"/>
    <w:rsid w:val="00974104"/>
    <w:rsid w:val="009743BF"/>
    <w:rsid w:val="009755E8"/>
    <w:rsid w:val="009756A4"/>
    <w:rsid w:val="00975DC5"/>
    <w:rsid w:val="00976B79"/>
    <w:rsid w:val="00977AE6"/>
    <w:rsid w:val="00980480"/>
    <w:rsid w:val="00980722"/>
    <w:rsid w:val="00980F78"/>
    <w:rsid w:val="00981943"/>
    <w:rsid w:val="00981E21"/>
    <w:rsid w:val="009837D5"/>
    <w:rsid w:val="009840CF"/>
    <w:rsid w:val="0098558D"/>
    <w:rsid w:val="00985D31"/>
    <w:rsid w:val="00986210"/>
    <w:rsid w:val="00987574"/>
    <w:rsid w:val="009878C8"/>
    <w:rsid w:val="00990008"/>
    <w:rsid w:val="00990188"/>
    <w:rsid w:val="00991179"/>
    <w:rsid w:val="00994D09"/>
    <w:rsid w:val="0099614C"/>
    <w:rsid w:val="00996151"/>
    <w:rsid w:val="009970F1"/>
    <w:rsid w:val="009978C7"/>
    <w:rsid w:val="009A0045"/>
    <w:rsid w:val="009A0346"/>
    <w:rsid w:val="009A12A9"/>
    <w:rsid w:val="009A22B3"/>
    <w:rsid w:val="009A2303"/>
    <w:rsid w:val="009A266A"/>
    <w:rsid w:val="009A359E"/>
    <w:rsid w:val="009A3F72"/>
    <w:rsid w:val="009A50FB"/>
    <w:rsid w:val="009A59AC"/>
    <w:rsid w:val="009A59E3"/>
    <w:rsid w:val="009A5B57"/>
    <w:rsid w:val="009A5D40"/>
    <w:rsid w:val="009A6859"/>
    <w:rsid w:val="009A6981"/>
    <w:rsid w:val="009A71DF"/>
    <w:rsid w:val="009A7266"/>
    <w:rsid w:val="009A7AE6"/>
    <w:rsid w:val="009A7D23"/>
    <w:rsid w:val="009A7DA6"/>
    <w:rsid w:val="009B119B"/>
    <w:rsid w:val="009B1882"/>
    <w:rsid w:val="009B1DD0"/>
    <w:rsid w:val="009B221C"/>
    <w:rsid w:val="009B2594"/>
    <w:rsid w:val="009B3723"/>
    <w:rsid w:val="009B3FC8"/>
    <w:rsid w:val="009B4E62"/>
    <w:rsid w:val="009B6564"/>
    <w:rsid w:val="009B6EE4"/>
    <w:rsid w:val="009B7FC6"/>
    <w:rsid w:val="009C0E9F"/>
    <w:rsid w:val="009C17BB"/>
    <w:rsid w:val="009C188F"/>
    <w:rsid w:val="009C1977"/>
    <w:rsid w:val="009C25F6"/>
    <w:rsid w:val="009C4AC2"/>
    <w:rsid w:val="009C4D36"/>
    <w:rsid w:val="009C5A0E"/>
    <w:rsid w:val="009C5ECE"/>
    <w:rsid w:val="009C5ED3"/>
    <w:rsid w:val="009C69B5"/>
    <w:rsid w:val="009D028A"/>
    <w:rsid w:val="009D0BE3"/>
    <w:rsid w:val="009D0D1D"/>
    <w:rsid w:val="009D18F1"/>
    <w:rsid w:val="009D2FB8"/>
    <w:rsid w:val="009D3752"/>
    <w:rsid w:val="009D402E"/>
    <w:rsid w:val="009D425A"/>
    <w:rsid w:val="009D4B51"/>
    <w:rsid w:val="009D57F2"/>
    <w:rsid w:val="009D5A76"/>
    <w:rsid w:val="009D611E"/>
    <w:rsid w:val="009D65A3"/>
    <w:rsid w:val="009E0069"/>
    <w:rsid w:val="009E0956"/>
    <w:rsid w:val="009E10C2"/>
    <w:rsid w:val="009E1D0C"/>
    <w:rsid w:val="009E2273"/>
    <w:rsid w:val="009E2FD1"/>
    <w:rsid w:val="009E5994"/>
    <w:rsid w:val="009E5B7D"/>
    <w:rsid w:val="009E5DD4"/>
    <w:rsid w:val="009E5DE4"/>
    <w:rsid w:val="009E63A4"/>
    <w:rsid w:val="009E697A"/>
    <w:rsid w:val="009F0710"/>
    <w:rsid w:val="009F170C"/>
    <w:rsid w:val="009F2383"/>
    <w:rsid w:val="009F2616"/>
    <w:rsid w:val="009F2644"/>
    <w:rsid w:val="009F2CE4"/>
    <w:rsid w:val="009F3677"/>
    <w:rsid w:val="009F3CF4"/>
    <w:rsid w:val="009F43D1"/>
    <w:rsid w:val="009F4FCF"/>
    <w:rsid w:val="009F61FD"/>
    <w:rsid w:val="009F6D10"/>
    <w:rsid w:val="009F7020"/>
    <w:rsid w:val="009F7059"/>
    <w:rsid w:val="00A0018A"/>
    <w:rsid w:val="00A00AD0"/>
    <w:rsid w:val="00A00FA5"/>
    <w:rsid w:val="00A02262"/>
    <w:rsid w:val="00A02CB5"/>
    <w:rsid w:val="00A031F0"/>
    <w:rsid w:val="00A0499A"/>
    <w:rsid w:val="00A051E0"/>
    <w:rsid w:val="00A05D12"/>
    <w:rsid w:val="00A05DBA"/>
    <w:rsid w:val="00A07FF1"/>
    <w:rsid w:val="00A10230"/>
    <w:rsid w:val="00A10772"/>
    <w:rsid w:val="00A10C72"/>
    <w:rsid w:val="00A119E8"/>
    <w:rsid w:val="00A13007"/>
    <w:rsid w:val="00A13072"/>
    <w:rsid w:val="00A1602E"/>
    <w:rsid w:val="00A16321"/>
    <w:rsid w:val="00A169F0"/>
    <w:rsid w:val="00A17F44"/>
    <w:rsid w:val="00A204C0"/>
    <w:rsid w:val="00A21613"/>
    <w:rsid w:val="00A2229F"/>
    <w:rsid w:val="00A228E4"/>
    <w:rsid w:val="00A23212"/>
    <w:rsid w:val="00A234BD"/>
    <w:rsid w:val="00A23F03"/>
    <w:rsid w:val="00A257DB"/>
    <w:rsid w:val="00A25C5E"/>
    <w:rsid w:val="00A26CAD"/>
    <w:rsid w:val="00A27B8A"/>
    <w:rsid w:val="00A27C78"/>
    <w:rsid w:val="00A27E22"/>
    <w:rsid w:val="00A32120"/>
    <w:rsid w:val="00A32906"/>
    <w:rsid w:val="00A32A76"/>
    <w:rsid w:val="00A32EEA"/>
    <w:rsid w:val="00A33041"/>
    <w:rsid w:val="00A3326E"/>
    <w:rsid w:val="00A33F47"/>
    <w:rsid w:val="00A3435C"/>
    <w:rsid w:val="00A347BB"/>
    <w:rsid w:val="00A3594E"/>
    <w:rsid w:val="00A35F1D"/>
    <w:rsid w:val="00A36397"/>
    <w:rsid w:val="00A37772"/>
    <w:rsid w:val="00A37A0E"/>
    <w:rsid w:val="00A4061F"/>
    <w:rsid w:val="00A406B7"/>
    <w:rsid w:val="00A421A6"/>
    <w:rsid w:val="00A43B3A"/>
    <w:rsid w:val="00A45025"/>
    <w:rsid w:val="00A45096"/>
    <w:rsid w:val="00A46679"/>
    <w:rsid w:val="00A50194"/>
    <w:rsid w:val="00A50C75"/>
    <w:rsid w:val="00A51730"/>
    <w:rsid w:val="00A51CE0"/>
    <w:rsid w:val="00A52709"/>
    <w:rsid w:val="00A52A04"/>
    <w:rsid w:val="00A536CA"/>
    <w:rsid w:val="00A53BF7"/>
    <w:rsid w:val="00A53ED6"/>
    <w:rsid w:val="00A53EEE"/>
    <w:rsid w:val="00A542C8"/>
    <w:rsid w:val="00A5477A"/>
    <w:rsid w:val="00A54943"/>
    <w:rsid w:val="00A54B3E"/>
    <w:rsid w:val="00A55A16"/>
    <w:rsid w:val="00A55A62"/>
    <w:rsid w:val="00A56046"/>
    <w:rsid w:val="00A57C11"/>
    <w:rsid w:val="00A618CF"/>
    <w:rsid w:val="00A62362"/>
    <w:rsid w:val="00A63EEC"/>
    <w:rsid w:val="00A6437F"/>
    <w:rsid w:val="00A6442C"/>
    <w:rsid w:val="00A64A5E"/>
    <w:rsid w:val="00A64C17"/>
    <w:rsid w:val="00A64F52"/>
    <w:rsid w:val="00A65E39"/>
    <w:rsid w:val="00A666DE"/>
    <w:rsid w:val="00A67498"/>
    <w:rsid w:val="00A67CD4"/>
    <w:rsid w:val="00A7069D"/>
    <w:rsid w:val="00A70814"/>
    <w:rsid w:val="00A70AC1"/>
    <w:rsid w:val="00A70EAB"/>
    <w:rsid w:val="00A70F4D"/>
    <w:rsid w:val="00A716EC"/>
    <w:rsid w:val="00A71926"/>
    <w:rsid w:val="00A71C2C"/>
    <w:rsid w:val="00A723FB"/>
    <w:rsid w:val="00A7448F"/>
    <w:rsid w:val="00A745DF"/>
    <w:rsid w:val="00A7661F"/>
    <w:rsid w:val="00A776BC"/>
    <w:rsid w:val="00A77B1B"/>
    <w:rsid w:val="00A803F3"/>
    <w:rsid w:val="00A82588"/>
    <w:rsid w:val="00A825A1"/>
    <w:rsid w:val="00A82D90"/>
    <w:rsid w:val="00A84DA6"/>
    <w:rsid w:val="00A853EA"/>
    <w:rsid w:val="00A86F71"/>
    <w:rsid w:val="00A87FFA"/>
    <w:rsid w:val="00A90848"/>
    <w:rsid w:val="00A92AB4"/>
    <w:rsid w:val="00A935CF"/>
    <w:rsid w:val="00A93B74"/>
    <w:rsid w:val="00A9442B"/>
    <w:rsid w:val="00A94D51"/>
    <w:rsid w:val="00A95B8A"/>
    <w:rsid w:val="00A95BC6"/>
    <w:rsid w:val="00A9733E"/>
    <w:rsid w:val="00A976CE"/>
    <w:rsid w:val="00AA136E"/>
    <w:rsid w:val="00AA2385"/>
    <w:rsid w:val="00AA272F"/>
    <w:rsid w:val="00AA2951"/>
    <w:rsid w:val="00AA4907"/>
    <w:rsid w:val="00AA5B3C"/>
    <w:rsid w:val="00AA6BF7"/>
    <w:rsid w:val="00AA73A2"/>
    <w:rsid w:val="00AA7925"/>
    <w:rsid w:val="00AB042D"/>
    <w:rsid w:val="00AB0B8F"/>
    <w:rsid w:val="00AB0CAF"/>
    <w:rsid w:val="00AB15AA"/>
    <w:rsid w:val="00AB1D3D"/>
    <w:rsid w:val="00AB2548"/>
    <w:rsid w:val="00AB2C13"/>
    <w:rsid w:val="00AB2C40"/>
    <w:rsid w:val="00AB3B1E"/>
    <w:rsid w:val="00AB4A61"/>
    <w:rsid w:val="00AB62B5"/>
    <w:rsid w:val="00AB6331"/>
    <w:rsid w:val="00AB6ACC"/>
    <w:rsid w:val="00AC0D08"/>
    <w:rsid w:val="00AC182F"/>
    <w:rsid w:val="00AC249B"/>
    <w:rsid w:val="00AC2ABC"/>
    <w:rsid w:val="00AC2BCC"/>
    <w:rsid w:val="00AC325E"/>
    <w:rsid w:val="00AC478F"/>
    <w:rsid w:val="00AC61F9"/>
    <w:rsid w:val="00AC64D6"/>
    <w:rsid w:val="00AC64D7"/>
    <w:rsid w:val="00AC64DC"/>
    <w:rsid w:val="00AC6B6E"/>
    <w:rsid w:val="00AC728B"/>
    <w:rsid w:val="00AC76B7"/>
    <w:rsid w:val="00AC7CBD"/>
    <w:rsid w:val="00AC7E7F"/>
    <w:rsid w:val="00AD09CF"/>
    <w:rsid w:val="00AD0AAC"/>
    <w:rsid w:val="00AD0D23"/>
    <w:rsid w:val="00AD0F76"/>
    <w:rsid w:val="00AD18C9"/>
    <w:rsid w:val="00AD21F9"/>
    <w:rsid w:val="00AD30CD"/>
    <w:rsid w:val="00AD37B1"/>
    <w:rsid w:val="00AD54B1"/>
    <w:rsid w:val="00AD557C"/>
    <w:rsid w:val="00AD57ED"/>
    <w:rsid w:val="00AD5BBB"/>
    <w:rsid w:val="00AD6D2B"/>
    <w:rsid w:val="00AD750D"/>
    <w:rsid w:val="00AD760F"/>
    <w:rsid w:val="00AE0045"/>
    <w:rsid w:val="00AE0ED9"/>
    <w:rsid w:val="00AE1358"/>
    <w:rsid w:val="00AE1579"/>
    <w:rsid w:val="00AE1CA8"/>
    <w:rsid w:val="00AE1F7D"/>
    <w:rsid w:val="00AE219A"/>
    <w:rsid w:val="00AE224F"/>
    <w:rsid w:val="00AE24AD"/>
    <w:rsid w:val="00AE3B38"/>
    <w:rsid w:val="00AE5877"/>
    <w:rsid w:val="00AE5B3B"/>
    <w:rsid w:val="00AE6076"/>
    <w:rsid w:val="00AE6324"/>
    <w:rsid w:val="00AE6B27"/>
    <w:rsid w:val="00AE7647"/>
    <w:rsid w:val="00AE7EBD"/>
    <w:rsid w:val="00AF0013"/>
    <w:rsid w:val="00AF018E"/>
    <w:rsid w:val="00AF14BA"/>
    <w:rsid w:val="00AF20C7"/>
    <w:rsid w:val="00AF2FB9"/>
    <w:rsid w:val="00AF361A"/>
    <w:rsid w:val="00AF3D2E"/>
    <w:rsid w:val="00AF3FC5"/>
    <w:rsid w:val="00AF51A5"/>
    <w:rsid w:val="00AF5D8E"/>
    <w:rsid w:val="00B003A0"/>
    <w:rsid w:val="00B00697"/>
    <w:rsid w:val="00B00DB3"/>
    <w:rsid w:val="00B012BB"/>
    <w:rsid w:val="00B0175C"/>
    <w:rsid w:val="00B02F68"/>
    <w:rsid w:val="00B033F4"/>
    <w:rsid w:val="00B04262"/>
    <w:rsid w:val="00B049DC"/>
    <w:rsid w:val="00B04FAB"/>
    <w:rsid w:val="00B0553D"/>
    <w:rsid w:val="00B05E28"/>
    <w:rsid w:val="00B0605F"/>
    <w:rsid w:val="00B0654D"/>
    <w:rsid w:val="00B066DD"/>
    <w:rsid w:val="00B074C9"/>
    <w:rsid w:val="00B07883"/>
    <w:rsid w:val="00B0793F"/>
    <w:rsid w:val="00B079FA"/>
    <w:rsid w:val="00B07F67"/>
    <w:rsid w:val="00B10259"/>
    <w:rsid w:val="00B112C6"/>
    <w:rsid w:val="00B11838"/>
    <w:rsid w:val="00B11C0E"/>
    <w:rsid w:val="00B12205"/>
    <w:rsid w:val="00B133AD"/>
    <w:rsid w:val="00B1367D"/>
    <w:rsid w:val="00B1438E"/>
    <w:rsid w:val="00B14D6D"/>
    <w:rsid w:val="00B1556C"/>
    <w:rsid w:val="00B162E9"/>
    <w:rsid w:val="00B17745"/>
    <w:rsid w:val="00B20838"/>
    <w:rsid w:val="00B22D91"/>
    <w:rsid w:val="00B2355C"/>
    <w:rsid w:val="00B23DF9"/>
    <w:rsid w:val="00B246F7"/>
    <w:rsid w:val="00B24E9E"/>
    <w:rsid w:val="00B25A0D"/>
    <w:rsid w:val="00B26185"/>
    <w:rsid w:val="00B26688"/>
    <w:rsid w:val="00B27617"/>
    <w:rsid w:val="00B278AB"/>
    <w:rsid w:val="00B313B1"/>
    <w:rsid w:val="00B31785"/>
    <w:rsid w:val="00B317C2"/>
    <w:rsid w:val="00B31EE2"/>
    <w:rsid w:val="00B3262F"/>
    <w:rsid w:val="00B3364F"/>
    <w:rsid w:val="00B34897"/>
    <w:rsid w:val="00B40C03"/>
    <w:rsid w:val="00B41E39"/>
    <w:rsid w:val="00B41E6C"/>
    <w:rsid w:val="00B42E75"/>
    <w:rsid w:val="00B444FB"/>
    <w:rsid w:val="00B44A71"/>
    <w:rsid w:val="00B44CAB"/>
    <w:rsid w:val="00B45185"/>
    <w:rsid w:val="00B45248"/>
    <w:rsid w:val="00B45AB8"/>
    <w:rsid w:val="00B465EA"/>
    <w:rsid w:val="00B470E1"/>
    <w:rsid w:val="00B4755D"/>
    <w:rsid w:val="00B4774C"/>
    <w:rsid w:val="00B47868"/>
    <w:rsid w:val="00B47BF4"/>
    <w:rsid w:val="00B47D9D"/>
    <w:rsid w:val="00B50ACE"/>
    <w:rsid w:val="00B51887"/>
    <w:rsid w:val="00B51CCC"/>
    <w:rsid w:val="00B51E3D"/>
    <w:rsid w:val="00B51EE8"/>
    <w:rsid w:val="00B53968"/>
    <w:rsid w:val="00B53AC2"/>
    <w:rsid w:val="00B5432E"/>
    <w:rsid w:val="00B543F1"/>
    <w:rsid w:val="00B54F4A"/>
    <w:rsid w:val="00B5639E"/>
    <w:rsid w:val="00B565BB"/>
    <w:rsid w:val="00B56AE9"/>
    <w:rsid w:val="00B56DFE"/>
    <w:rsid w:val="00B56EAC"/>
    <w:rsid w:val="00B574B7"/>
    <w:rsid w:val="00B61137"/>
    <w:rsid w:val="00B6165E"/>
    <w:rsid w:val="00B6173A"/>
    <w:rsid w:val="00B6235C"/>
    <w:rsid w:val="00B62383"/>
    <w:rsid w:val="00B627C1"/>
    <w:rsid w:val="00B631AA"/>
    <w:rsid w:val="00B63766"/>
    <w:rsid w:val="00B63A84"/>
    <w:rsid w:val="00B64186"/>
    <w:rsid w:val="00B64F28"/>
    <w:rsid w:val="00B65041"/>
    <w:rsid w:val="00B667A3"/>
    <w:rsid w:val="00B6705B"/>
    <w:rsid w:val="00B6706E"/>
    <w:rsid w:val="00B67D2C"/>
    <w:rsid w:val="00B70399"/>
    <w:rsid w:val="00B70638"/>
    <w:rsid w:val="00B708C2"/>
    <w:rsid w:val="00B70F99"/>
    <w:rsid w:val="00B721F1"/>
    <w:rsid w:val="00B72205"/>
    <w:rsid w:val="00B7301D"/>
    <w:rsid w:val="00B73510"/>
    <w:rsid w:val="00B74C85"/>
    <w:rsid w:val="00B7624D"/>
    <w:rsid w:val="00B773AF"/>
    <w:rsid w:val="00B8184A"/>
    <w:rsid w:val="00B82927"/>
    <w:rsid w:val="00B84234"/>
    <w:rsid w:val="00B84836"/>
    <w:rsid w:val="00B85294"/>
    <w:rsid w:val="00B86892"/>
    <w:rsid w:val="00B868F6"/>
    <w:rsid w:val="00B86B1B"/>
    <w:rsid w:val="00B86BA8"/>
    <w:rsid w:val="00B87E11"/>
    <w:rsid w:val="00B90752"/>
    <w:rsid w:val="00B91B0B"/>
    <w:rsid w:val="00B92E3C"/>
    <w:rsid w:val="00B93A22"/>
    <w:rsid w:val="00B93C52"/>
    <w:rsid w:val="00B94213"/>
    <w:rsid w:val="00B94329"/>
    <w:rsid w:val="00B9452B"/>
    <w:rsid w:val="00B95003"/>
    <w:rsid w:val="00B95676"/>
    <w:rsid w:val="00B96D6A"/>
    <w:rsid w:val="00B977A7"/>
    <w:rsid w:val="00B97B9D"/>
    <w:rsid w:val="00B97E88"/>
    <w:rsid w:val="00BA0662"/>
    <w:rsid w:val="00BA06EB"/>
    <w:rsid w:val="00BA0D8A"/>
    <w:rsid w:val="00BA1735"/>
    <w:rsid w:val="00BA1CBC"/>
    <w:rsid w:val="00BA2BD4"/>
    <w:rsid w:val="00BA2F9A"/>
    <w:rsid w:val="00BA3274"/>
    <w:rsid w:val="00BA423C"/>
    <w:rsid w:val="00BA51C9"/>
    <w:rsid w:val="00BA5671"/>
    <w:rsid w:val="00BA601F"/>
    <w:rsid w:val="00BA6ABC"/>
    <w:rsid w:val="00BA6D6A"/>
    <w:rsid w:val="00BB00C0"/>
    <w:rsid w:val="00BB02E7"/>
    <w:rsid w:val="00BB0328"/>
    <w:rsid w:val="00BB11E7"/>
    <w:rsid w:val="00BB411A"/>
    <w:rsid w:val="00BB4B9D"/>
    <w:rsid w:val="00BB4C7F"/>
    <w:rsid w:val="00BB4DD2"/>
    <w:rsid w:val="00BB53B6"/>
    <w:rsid w:val="00BB56B4"/>
    <w:rsid w:val="00BB59B9"/>
    <w:rsid w:val="00BB5D72"/>
    <w:rsid w:val="00BB61EF"/>
    <w:rsid w:val="00BB64A3"/>
    <w:rsid w:val="00BC130B"/>
    <w:rsid w:val="00BC1D53"/>
    <w:rsid w:val="00BC2C71"/>
    <w:rsid w:val="00BC32E3"/>
    <w:rsid w:val="00BC3487"/>
    <w:rsid w:val="00BC3D90"/>
    <w:rsid w:val="00BC5524"/>
    <w:rsid w:val="00BC672E"/>
    <w:rsid w:val="00BC7D05"/>
    <w:rsid w:val="00BD0E34"/>
    <w:rsid w:val="00BD1990"/>
    <w:rsid w:val="00BD1F28"/>
    <w:rsid w:val="00BD1F82"/>
    <w:rsid w:val="00BD2075"/>
    <w:rsid w:val="00BD2297"/>
    <w:rsid w:val="00BD2A4C"/>
    <w:rsid w:val="00BD2C5F"/>
    <w:rsid w:val="00BD2EB6"/>
    <w:rsid w:val="00BD33DC"/>
    <w:rsid w:val="00BD3B16"/>
    <w:rsid w:val="00BD5112"/>
    <w:rsid w:val="00BD51B7"/>
    <w:rsid w:val="00BD5A8C"/>
    <w:rsid w:val="00BD6407"/>
    <w:rsid w:val="00BD659F"/>
    <w:rsid w:val="00BD6610"/>
    <w:rsid w:val="00BE0072"/>
    <w:rsid w:val="00BE1796"/>
    <w:rsid w:val="00BE2AB6"/>
    <w:rsid w:val="00BE2EC0"/>
    <w:rsid w:val="00BE37AA"/>
    <w:rsid w:val="00BE3B96"/>
    <w:rsid w:val="00BE400E"/>
    <w:rsid w:val="00BE459D"/>
    <w:rsid w:val="00BE5557"/>
    <w:rsid w:val="00BE5F9B"/>
    <w:rsid w:val="00BE6BCD"/>
    <w:rsid w:val="00BE7067"/>
    <w:rsid w:val="00BE7AE4"/>
    <w:rsid w:val="00BF0FAC"/>
    <w:rsid w:val="00BF1696"/>
    <w:rsid w:val="00BF170B"/>
    <w:rsid w:val="00BF1902"/>
    <w:rsid w:val="00BF2C4E"/>
    <w:rsid w:val="00BF3774"/>
    <w:rsid w:val="00BF4927"/>
    <w:rsid w:val="00BF526C"/>
    <w:rsid w:val="00BF58FE"/>
    <w:rsid w:val="00BF6677"/>
    <w:rsid w:val="00BF7EAA"/>
    <w:rsid w:val="00BF7EE5"/>
    <w:rsid w:val="00C0078B"/>
    <w:rsid w:val="00C00D7E"/>
    <w:rsid w:val="00C02E1A"/>
    <w:rsid w:val="00C02F08"/>
    <w:rsid w:val="00C03AE7"/>
    <w:rsid w:val="00C05EA0"/>
    <w:rsid w:val="00C07F75"/>
    <w:rsid w:val="00C1041F"/>
    <w:rsid w:val="00C10813"/>
    <w:rsid w:val="00C10881"/>
    <w:rsid w:val="00C10DC2"/>
    <w:rsid w:val="00C114AD"/>
    <w:rsid w:val="00C116B9"/>
    <w:rsid w:val="00C11C2B"/>
    <w:rsid w:val="00C12A0D"/>
    <w:rsid w:val="00C13844"/>
    <w:rsid w:val="00C13AD0"/>
    <w:rsid w:val="00C13F6C"/>
    <w:rsid w:val="00C14020"/>
    <w:rsid w:val="00C14029"/>
    <w:rsid w:val="00C140EE"/>
    <w:rsid w:val="00C142D5"/>
    <w:rsid w:val="00C14E2F"/>
    <w:rsid w:val="00C16315"/>
    <w:rsid w:val="00C165CC"/>
    <w:rsid w:val="00C16793"/>
    <w:rsid w:val="00C16B20"/>
    <w:rsid w:val="00C16C5B"/>
    <w:rsid w:val="00C172B9"/>
    <w:rsid w:val="00C17395"/>
    <w:rsid w:val="00C20E16"/>
    <w:rsid w:val="00C22432"/>
    <w:rsid w:val="00C22DD7"/>
    <w:rsid w:val="00C23479"/>
    <w:rsid w:val="00C245EA"/>
    <w:rsid w:val="00C24765"/>
    <w:rsid w:val="00C24D55"/>
    <w:rsid w:val="00C25466"/>
    <w:rsid w:val="00C25A02"/>
    <w:rsid w:val="00C27662"/>
    <w:rsid w:val="00C2783C"/>
    <w:rsid w:val="00C30C46"/>
    <w:rsid w:val="00C31549"/>
    <w:rsid w:val="00C3264D"/>
    <w:rsid w:val="00C3325B"/>
    <w:rsid w:val="00C33431"/>
    <w:rsid w:val="00C33EDD"/>
    <w:rsid w:val="00C35770"/>
    <w:rsid w:val="00C3613B"/>
    <w:rsid w:val="00C3625D"/>
    <w:rsid w:val="00C3640E"/>
    <w:rsid w:val="00C36CF4"/>
    <w:rsid w:val="00C4085E"/>
    <w:rsid w:val="00C4286A"/>
    <w:rsid w:val="00C42CA5"/>
    <w:rsid w:val="00C42D10"/>
    <w:rsid w:val="00C42D22"/>
    <w:rsid w:val="00C43046"/>
    <w:rsid w:val="00C454E1"/>
    <w:rsid w:val="00C4557A"/>
    <w:rsid w:val="00C47459"/>
    <w:rsid w:val="00C47AC6"/>
    <w:rsid w:val="00C47ADC"/>
    <w:rsid w:val="00C5045E"/>
    <w:rsid w:val="00C505F5"/>
    <w:rsid w:val="00C50897"/>
    <w:rsid w:val="00C5138D"/>
    <w:rsid w:val="00C51579"/>
    <w:rsid w:val="00C51794"/>
    <w:rsid w:val="00C51BD6"/>
    <w:rsid w:val="00C540AA"/>
    <w:rsid w:val="00C54A89"/>
    <w:rsid w:val="00C55BF3"/>
    <w:rsid w:val="00C56164"/>
    <w:rsid w:val="00C57267"/>
    <w:rsid w:val="00C57809"/>
    <w:rsid w:val="00C602CD"/>
    <w:rsid w:val="00C617CF"/>
    <w:rsid w:val="00C61C7D"/>
    <w:rsid w:val="00C628E1"/>
    <w:rsid w:val="00C63C23"/>
    <w:rsid w:val="00C63C75"/>
    <w:rsid w:val="00C63D2B"/>
    <w:rsid w:val="00C63F8E"/>
    <w:rsid w:val="00C644C9"/>
    <w:rsid w:val="00C649CA"/>
    <w:rsid w:val="00C6553B"/>
    <w:rsid w:val="00C666C3"/>
    <w:rsid w:val="00C676DB"/>
    <w:rsid w:val="00C70313"/>
    <w:rsid w:val="00C712BB"/>
    <w:rsid w:val="00C71746"/>
    <w:rsid w:val="00C726A4"/>
    <w:rsid w:val="00C7288B"/>
    <w:rsid w:val="00C72FC9"/>
    <w:rsid w:val="00C73335"/>
    <w:rsid w:val="00C73403"/>
    <w:rsid w:val="00C736F0"/>
    <w:rsid w:val="00C745B5"/>
    <w:rsid w:val="00C74D9B"/>
    <w:rsid w:val="00C74DDB"/>
    <w:rsid w:val="00C76418"/>
    <w:rsid w:val="00C77ABE"/>
    <w:rsid w:val="00C77C25"/>
    <w:rsid w:val="00C807EC"/>
    <w:rsid w:val="00C80C58"/>
    <w:rsid w:val="00C812A5"/>
    <w:rsid w:val="00C8142D"/>
    <w:rsid w:val="00C81A8A"/>
    <w:rsid w:val="00C81C47"/>
    <w:rsid w:val="00C82C76"/>
    <w:rsid w:val="00C83130"/>
    <w:rsid w:val="00C83A14"/>
    <w:rsid w:val="00C83C41"/>
    <w:rsid w:val="00C8536B"/>
    <w:rsid w:val="00C8667B"/>
    <w:rsid w:val="00C8698C"/>
    <w:rsid w:val="00C870C7"/>
    <w:rsid w:val="00C874E5"/>
    <w:rsid w:val="00C87B2A"/>
    <w:rsid w:val="00C87F52"/>
    <w:rsid w:val="00C9076B"/>
    <w:rsid w:val="00C91568"/>
    <w:rsid w:val="00C9192B"/>
    <w:rsid w:val="00C91C2B"/>
    <w:rsid w:val="00C92AAC"/>
    <w:rsid w:val="00C92AC0"/>
    <w:rsid w:val="00C930BB"/>
    <w:rsid w:val="00C95CF0"/>
    <w:rsid w:val="00C97C05"/>
    <w:rsid w:val="00CA1CA8"/>
    <w:rsid w:val="00CA2DFE"/>
    <w:rsid w:val="00CA355E"/>
    <w:rsid w:val="00CA5FA9"/>
    <w:rsid w:val="00CA6CA1"/>
    <w:rsid w:val="00CA7020"/>
    <w:rsid w:val="00CA7734"/>
    <w:rsid w:val="00CA7FDD"/>
    <w:rsid w:val="00CB116F"/>
    <w:rsid w:val="00CB124A"/>
    <w:rsid w:val="00CB1614"/>
    <w:rsid w:val="00CB5EDE"/>
    <w:rsid w:val="00CB66E2"/>
    <w:rsid w:val="00CB68EA"/>
    <w:rsid w:val="00CB731E"/>
    <w:rsid w:val="00CC065C"/>
    <w:rsid w:val="00CC0E2D"/>
    <w:rsid w:val="00CC1C87"/>
    <w:rsid w:val="00CC25C9"/>
    <w:rsid w:val="00CC2AB0"/>
    <w:rsid w:val="00CC374F"/>
    <w:rsid w:val="00CC3B7C"/>
    <w:rsid w:val="00CC4BA3"/>
    <w:rsid w:val="00CC56F5"/>
    <w:rsid w:val="00CC5892"/>
    <w:rsid w:val="00CC6E24"/>
    <w:rsid w:val="00CC6ED0"/>
    <w:rsid w:val="00CC7A8C"/>
    <w:rsid w:val="00CD05F0"/>
    <w:rsid w:val="00CD0FC3"/>
    <w:rsid w:val="00CD1A8A"/>
    <w:rsid w:val="00CD20FB"/>
    <w:rsid w:val="00CD217E"/>
    <w:rsid w:val="00CD2A37"/>
    <w:rsid w:val="00CD3A45"/>
    <w:rsid w:val="00CD3C4F"/>
    <w:rsid w:val="00CD42F5"/>
    <w:rsid w:val="00CD45D3"/>
    <w:rsid w:val="00CD590E"/>
    <w:rsid w:val="00CD5EB4"/>
    <w:rsid w:val="00CD5EF3"/>
    <w:rsid w:val="00CD6069"/>
    <w:rsid w:val="00CD669A"/>
    <w:rsid w:val="00CD6925"/>
    <w:rsid w:val="00CD7E80"/>
    <w:rsid w:val="00CE1F13"/>
    <w:rsid w:val="00CE2346"/>
    <w:rsid w:val="00CE3482"/>
    <w:rsid w:val="00CE3555"/>
    <w:rsid w:val="00CE3937"/>
    <w:rsid w:val="00CE53AD"/>
    <w:rsid w:val="00CE5ABF"/>
    <w:rsid w:val="00CE60AB"/>
    <w:rsid w:val="00CE7C17"/>
    <w:rsid w:val="00CE7E67"/>
    <w:rsid w:val="00CF0F67"/>
    <w:rsid w:val="00CF1152"/>
    <w:rsid w:val="00CF1CDE"/>
    <w:rsid w:val="00CF251B"/>
    <w:rsid w:val="00CF27A5"/>
    <w:rsid w:val="00CF29ED"/>
    <w:rsid w:val="00CF3451"/>
    <w:rsid w:val="00CF37AE"/>
    <w:rsid w:val="00CF403F"/>
    <w:rsid w:val="00CF4A42"/>
    <w:rsid w:val="00CF4BD3"/>
    <w:rsid w:val="00CF4CC3"/>
    <w:rsid w:val="00CF4D26"/>
    <w:rsid w:val="00CF5B95"/>
    <w:rsid w:val="00CF6150"/>
    <w:rsid w:val="00D011FB"/>
    <w:rsid w:val="00D0131B"/>
    <w:rsid w:val="00D01443"/>
    <w:rsid w:val="00D0195D"/>
    <w:rsid w:val="00D01D2F"/>
    <w:rsid w:val="00D02F68"/>
    <w:rsid w:val="00D038F7"/>
    <w:rsid w:val="00D04077"/>
    <w:rsid w:val="00D0523B"/>
    <w:rsid w:val="00D05C7C"/>
    <w:rsid w:val="00D06297"/>
    <w:rsid w:val="00D1005B"/>
    <w:rsid w:val="00D10796"/>
    <w:rsid w:val="00D11241"/>
    <w:rsid w:val="00D1139E"/>
    <w:rsid w:val="00D1186A"/>
    <w:rsid w:val="00D11F39"/>
    <w:rsid w:val="00D129EA"/>
    <w:rsid w:val="00D12A25"/>
    <w:rsid w:val="00D12CCF"/>
    <w:rsid w:val="00D13425"/>
    <w:rsid w:val="00D1439A"/>
    <w:rsid w:val="00D149A8"/>
    <w:rsid w:val="00D14B3E"/>
    <w:rsid w:val="00D14E7E"/>
    <w:rsid w:val="00D161D4"/>
    <w:rsid w:val="00D17102"/>
    <w:rsid w:val="00D1771E"/>
    <w:rsid w:val="00D17F1D"/>
    <w:rsid w:val="00D205E1"/>
    <w:rsid w:val="00D20822"/>
    <w:rsid w:val="00D20F3F"/>
    <w:rsid w:val="00D213D5"/>
    <w:rsid w:val="00D21C10"/>
    <w:rsid w:val="00D22300"/>
    <w:rsid w:val="00D2234F"/>
    <w:rsid w:val="00D224B3"/>
    <w:rsid w:val="00D22861"/>
    <w:rsid w:val="00D229C1"/>
    <w:rsid w:val="00D239B3"/>
    <w:rsid w:val="00D23FAD"/>
    <w:rsid w:val="00D2405E"/>
    <w:rsid w:val="00D24448"/>
    <w:rsid w:val="00D24777"/>
    <w:rsid w:val="00D248B0"/>
    <w:rsid w:val="00D24DCC"/>
    <w:rsid w:val="00D25B22"/>
    <w:rsid w:val="00D25BC4"/>
    <w:rsid w:val="00D26771"/>
    <w:rsid w:val="00D26A29"/>
    <w:rsid w:val="00D26D9F"/>
    <w:rsid w:val="00D3029A"/>
    <w:rsid w:val="00D30E22"/>
    <w:rsid w:val="00D31131"/>
    <w:rsid w:val="00D31D94"/>
    <w:rsid w:val="00D32CAD"/>
    <w:rsid w:val="00D334D5"/>
    <w:rsid w:val="00D33A45"/>
    <w:rsid w:val="00D33C60"/>
    <w:rsid w:val="00D34D63"/>
    <w:rsid w:val="00D35268"/>
    <w:rsid w:val="00D35556"/>
    <w:rsid w:val="00D35ED1"/>
    <w:rsid w:val="00D36DDA"/>
    <w:rsid w:val="00D37BB1"/>
    <w:rsid w:val="00D37F5E"/>
    <w:rsid w:val="00D40349"/>
    <w:rsid w:val="00D40596"/>
    <w:rsid w:val="00D415F3"/>
    <w:rsid w:val="00D41FE0"/>
    <w:rsid w:val="00D4288A"/>
    <w:rsid w:val="00D439A4"/>
    <w:rsid w:val="00D44F51"/>
    <w:rsid w:val="00D455EB"/>
    <w:rsid w:val="00D45949"/>
    <w:rsid w:val="00D45BB6"/>
    <w:rsid w:val="00D45E66"/>
    <w:rsid w:val="00D46388"/>
    <w:rsid w:val="00D468F5"/>
    <w:rsid w:val="00D4717A"/>
    <w:rsid w:val="00D47368"/>
    <w:rsid w:val="00D51517"/>
    <w:rsid w:val="00D5158D"/>
    <w:rsid w:val="00D517E3"/>
    <w:rsid w:val="00D51B3A"/>
    <w:rsid w:val="00D5287B"/>
    <w:rsid w:val="00D52CA0"/>
    <w:rsid w:val="00D52D36"/>
    <w:rsid w:val="00D54251"/>
    <w:rsid w:val="00D54403"/>
    <w:rsid w:val="00D54516"/>
    <w:rsid w:val="00D54FC8"/>
    <w:rsid w:val="00D5561C"/>
    <w:rsid w:val="00D5581F"/>
    <w:rsid w:val="00D55FBD"/>
    <w:rsid w:val="00D56E54"/>
    <w:rsid w:val="00D5796C"/>
    <w:rsid w:val="00D57F20"/>
    <w:rsid w:val="00D60196"/>
    <w:rsid w:val="00D60393"/>
    <w:rsid w:val="00D617DB"/>
    <w:rsid w:val="00D61A75"/>
    <w:rsid w:val="00D6225D"/>
    <w:rsid w:val="00D6249D"/>
    <w:rsid w:val="00D62BC3"/>
    <w:rsid w:val="00D62BFF"/>
    <w:rsid w:val="00D63FBF"/>
    <w:rsid w:val="00D64889"/>
    <w:rsid w:val="00D64AE3"/>
    <w:rsid w:val="00D65584"/>
    <w:rsid w:val="00D65C75"/>
    <w:rsid w:val="00D66AB5"/>
    <w:rsid w:val="00D66E09"/>
    <w:rsid w:val="00D67AC9"/>
    <w:rsid w:val="00D702C1"/>
    <w:rsid w:val="00D70407"/>
    <w:rsid w:val="00D710E8"/>
    <w:rsid w:val="00D71B2B"/>
    <w:rsid w:val="00D724E5"/>
    <w:rsid w:val="00D74ADE"/>
    <w:rsid w:val="00D76816"/>
    <w:rsid w:val="00D7703E"/>
    <w:rsid w:val="00D77146"/>
    <w:rsid w:val="00D80F84"/>
    <w:rsid w:val="00D81B0B"/>
    <w:rsid w:val="00D827D6"/>
    <w:rsid w:val="00D83EE8"/>
    <w:rsid w:val="00D84869"/>
    <w:rsid w:val="00D85311"/>
    <w:rsid w:val="00D867F6"/>
    <w:rsid w:val="00D86CB5"/>
    <w:rsid w:val="00D87EB7"/>
    <w:rsid w:val="00D9012E"/>
    <w:rsid w:val="00D922F6"/>
    <w:rsid w:val="00D9296D"/>
    <w:rsid w:val="00D935C5"/>
    <w:rsid w:val="00D937A6"/>
    <w:rsid w:val="00D9431A"/>
    <w:rsid w:val="00D943A4"/>
    <w:rsid w:val="00D95687"/>
    <w:rsid w:val="00D95DA5"/>
    <w:rsid w:val="00D9697E"/>
    <w:rsid w:val="00D96BBA"/>
    <w:rsid w:val="00DA03E3"/>
    <w:rsid w:val="00DA0BD2"/>
    <w:rsid w:val="00DA1AC2"/>
    <w:rsid w:val="00DA1F54"/>
    <w:rsid w:val="00DA2342"/>
    <w:rsid w:val="00DA316F"/>
    <w:rsid w:val="00DA3A71"/>
    <w:rsid w:val="00DA3E3C"/>
    <w:rsid w:val="00DA45AF"/>
    <w:rsid w:val="00DA505E"/>
    <w:rsid w:val="00DA528E"/>
    <w:rsid w:val="00DA6130"/>
    <w:rsid w:val="00DB1B75"/>
    <w:rsid w:val="00DB222E"/>
    <w:rsid w:val="00DB26FB"/>
    <w:rsid w:val="00DB39BB"/>
    <w:rsid w:val="00DB5F75"/>
    <w:rsid w:val="00DB6336"/>
    <w:rsid w:val="00DB6C59"/>
    <w:rsid w:val="00DB774D"/>
    <w:rsid w:val="00DB7A45"/>
    <w:rsid w:val="00DC0306"/>
    <w:rsid w:val="00DC27F8"/>
    <w:rsid w:val="00DC2AF7"/>
    <w:rsid w:val="00DC3121"/>
    <w:rsid w:val="00DC33BA"/>
    <w:rsid w:val="00DC41BC"/>
    <w:rsid w:val="00DC46E9"/>
    <w:rsid w:val="00DC5E47"/>
    <w:rsid w:val="00DC5FF3"/>
    <w:rsid w:val="00DC6CDC"/>
    <w:rsid w:val="00DC7633"/>
    <w:rsid w:val="00DC77C4"/>
    <w:rsid w:val="00DD06E3"/>
    <w:rsid w:val="00DD1503"/>
    <w:rsid w:val="00DD1662"/>
    <w:rsid w:val="00DD2028"/>
    <w:rsid w:val="00DD20AC"/>
    <w:rsid w:val="00DD23AC"/>
    <w:rsid w:val="00DD2646"/>
    <w:rsid w:val="00DD2CAC"/>
    <w:rsid w:val="00DD38F9"/>
    <w:rsid w:val="00DD483D"/>
    <w:rsid w:val="00DD4E9A"/>
    <w:rsid w:val="00DD665C"/>
    <w:rsid w:val="00DD7184"/>
    <w:rsid w:val="00DE0AD7"/>
    <w:rsid w:val="00DE0CF5"/>
    <w:rsid w:val="00DE0D84"/>
    <w:rsid w:val="00DE2693"/>
    <w:rsid w:val="00DE32C1"/>
    <w:rsid w:val="00DE407D"/>
    <w:rsid w:val="00DE56AF"/>
    <w:rsid w:val="00DE5A33"/>
    <w:rsid w:val="00DE65DE"/>
    <w:rsid w:val="00DE75C7"/>
    <w:rsid w:val="00DF0138"/>
    <w:rsid w:val="00DF1233"/>
    <w:rsid w:val="00DF124B"/>
    <w:rsid w:val="00DF1B7C"/>
    <w:rsid w:val="00DF2086"/>
    <w:rsid w:val="00DF2AE7"/>
    <w:rsid w:val="00DF3141"/>
    <w:rsid w:val="00DF367D"/>
    <w:rsid w:val="00DF3756"/>
    <w:rsid w:val="00DF497D"/>
    <w:rsid w:val="00DF58F2"/>
    <w:rsid w:val="00DF5D17"/>
    <w:rsid w:val="00DF67C2"/>
    <w:rsid w:val="00DF7F45"/>
    <w:rsid w:val="00E002EA"/>
    <w:rsid w:val="00E00453"/>
    <w:rsid w:val="00E007AD"/>
    <w:rsid w:val="00E007C2"/>
    <w:rsid w:val="00E01C61"/>
    <w:rsid w:val="00E023F4"/>
    <w:rsid w:val="00E02D82"/>
    <w:rsid w:val="00E03A32"/>
    <w:rsid w:val="00E03CE1"/>
    <w:rsid w:val="00E03DC3"/>
    <w:rsid w:val="00E0415D"/>
    <w:rsid w:val="00E04A18"/>
    <w:rsid w:val="00E05514"/>
    <w:rsid w:val="00E0566A"/>
    <w:rsid w:val="00E070DB"/>
    <w:rsid w:val="00E07B39"/>
    <w:rsid w:val="00E10322"/>
    <w:rsid w:val="00E10738"/>
    <w:rsid w:val="00E1155D"/>
    <w:rsid w:val="00E11915"/>
    <w:rsid w:val="00E12FCA"/>
    <w:rsid w:val="00E13351"/>
    <w:rsid w:val="00E14268"/>
    <w:rsid w:val="00E15104"/>
    <w:rsid w:val="00E154EE"/>
    <w:rsid w:val="00E167A2"/>
    <w:rsid w:val="00E16C00"/>
    <w:rsid w:val="00E17BD1"/>
    <w:rsid w:val="00E20C29"/>
    <w:rsid w:val="00E20FCD"/>
    <w:rsid w:val="00E21A5A"/>
    <w:rsid w:val="00E21C74"/>
    <w:rsid w:val="00E226AD"/>
    <w:rsid w:val="00E229ED"/>
    <w:rsid w:val="00E2483B"/>
    <w:rsid w:val="00E24A3E"/>
    <w:rsid w:val="00E24DF6"/>
    <w:rsid w:val="00E25360"/>
    <w:rsid w:val="00E25F6E"/>
    <w:rsid w:val="00E2640D"/>
    <w:rsid w:val="00E26C3D"/>
    <w:rsid w:val="00E26F64"/>
    <w:rsid w:val="00E27659"/>
    <w:rsid w:val="00E30466"/>
    <w:rsid w:val="00E30AC9"/>
    <w:rsid w:val="00E31E1A"/>
    <w:rsid w:val="00E32546"/>
    <w:rsid w:val="00E32C3C"/>
    <w:rsid w:val="00E32CC9"/>
    <w:rsid w:val="00E3347B"/>
    <w:rsid w:val="00E33496"/>
    <w:rsid w:val="00E33C6E"/>
    <w:rsid w:val="00E33D3B"/>
    <w:rsid w:val="00E34A6A"/>
    <w:rsid w:val="00E34D54"/>
    <w:rsid w:val="00E35E08"/>
    <w:rsid w:val="00E35F32"/>
    <w:rsid w:val="00E3762E"/>
    <w:rsid w:val="00E377B5"/>
    <w:rsid w:val="00E40694"/>
    <w:rsid w:val="00E4144A"/>
    <w:rsid w:val="00E42337"/>
    <w:rsid w:val="00E427C2"/>
    <w:rsid w:val="00E437B9"/>
    <w:rsid w:val="00E437BC"/>
    <w:rsid w:val="00E43967"/>
    <w:rsid w:val="00E44068"/>
    <w:rsid w:val="00E445FE"/>
    <w:rsid w:val="00E4612D"/>
    <w:rsid w:val="00E46BDE"/>
    <w:rsid w:val="00E46F4C"/>
    <w:rsid w:val="00E47059"/>
    <w:rsid w:val="00E47659"/>
    <w:rsid w:val="00E52667"/>
    <w:rsid w:val="00E55250"/>
    <w:rsid w:val="00E5561D"/>
    <w:rsid w:val="00E55A86"/>
    <w:rsid w:val="00E55AA1"/>
    <w:rsid w:val="00E55E68"/>
    <w:rsid w:val="00E5667C"/>
    <w:rsid w:val="00E57F9B"/>
    <w:rsid w:val="00E60BEC"/>
    <w:rsid w:val="00E61D80"/>
    <w:rsid w:val="00E62028"/>
    <w:rsid w:val="00E62C53"/>
    <w:rsid w:val="00E62D4A"/>
    <w:rsid w:val="00E640B6"/>
    <w:rsid w:val="00E64CF1"/>
    <w:rsid w:val="00E6590A"/>
    <w:rsid w:val="00E6594E"/>
    <w:rsid w:val="00E66B8F"/>
    <w:rsid w:val="00E672D7"/>
    <w:rsid w:val="00E6738A"/>
    <w:rsid w:val="00E6744F"/>
    <w:rsid w:val="00E6754E"/>
    <w:rsid w:val="00E67BCB"/>
    <w:rsid w:val="00E700DB"/>
    <w:rsid w:val="00E70180"/>
    <w:rsid w:val="00E704FF"/>
    <w:rsid w:val="00E71406"/>
    <w:rsid w:val="00E71FC3"/>
    <w:rsid w:val="00E73A50"/>
    <w:rsid w:val="00E7491F"/>
    <w:rsid w:val="00E74CFF"/>
    <w:rsid w:val="00E74EEE"/>
    <w:rsid w:val="00E74FEA"/>
    <w:rsid w:val="00E76820"/>
    <w:rsid w:val="00E76E1C"/>
    <w:rsid w:val="00E770D8"/>
    <w:rsid w:val="00E801CD"/>
    <w:rsid w:val="00E813CA"/>
    <w:rsid w:val="00E81750"/>
    <w:rsid w:val="00E81C4A"/>
    <w:rsid w:val="00E82174"/>
    <w:rsid w:val="00E821D8"/>
    <w:rsid w:val="00E82979"/>
    <w:rsid w:val="00E832C7"/>
    <w:rsid w:val="00E834BD"/>
    <w:rsid w:val="00E83B02"/>
    <w:rsid w:val="00E83EBE"/>
    <w:rsid w:val="00E847F9"/>
    <w:rsid w:val="00E85630"/>
    <w:rsid w:val="00E85C6D"/>
    <w:rsid w:val="00E85E48"/>
    <w:rsid w:val="00E86427"/>
    <w:rsid w:val="00E87030"/>
    <w:rsid w:val="00E87203"/>
    <w:rsid w:val="00E8765A"/>
    <w:rsid w:val="00E87CC7"/>
    <w:rsid w:val="00E918A9"/>
    <w:rsid w:val="00E91B5E"/>
    <w:rsid w:val="00E91FC4"/>
    <w:rsid w:val="00E92A04"/>
    <w:rsid w:val="00E94AE4"/>
    <w:rsid w:val="00E95219"/>
    <w:rsid w:val="00E96918"/>
    <w:rsid w:val="00E96C5C"/>
    <w:rsid w:val="00E97F8F"/>
    <w:rsid w:val="00EA0B51"/>
    <w:rsid w:val="00EA0F77"/>
    <w:rsid w:val="00EA110A"/>
    <w:rsid w:val="00EA38E5"/>
    <w:rsid w:val="00EA43EF"/>
    <w:rsid w:val="00EA4502"/>
    <w:rsid w:val="00EA52BE"/>
    <w:rsid w:val="00EA5430"/>
    <w:rsid w:val="00EA5E56"/>
    <w:rsid w:val="00EA637E"/>
    <w:rsid w:val="00EA6405"/>
    <w:rsid w:val="00EA726B"/>
    <w:rsid w:val="00EA77A4"/>
    <w:rsid w:val="00EB197A"/>
    <w:rsid w:val="00EB20FC"/>
    <w:rsid w:val="00EB424F"/>
    <w:rsid w:val="00EB4F93"/>
    <w:rsid w:val="00EB538D"/>
    <w:rsid w:val="00EB5AA1"/>
    <w:rsid w:val="00EB6F34"/>
    <w:rsid w:val="00EB721D"/>
    <w:rsid w:val="00EC1D84"/>
    <w:rsid w:val="00EC26A9"/>
    <w:rsid w:val="00EC2BCA"/>
    <w:rsid w:val="00EC2CFE"/>
    <w:rsid w:val="00EC39D5"/>
    <w:rsid w:val="00EC3A3C"/>
    <w:rsid w:val="00EC445E"/>
    <w:rsid w:val="00EC46AE"/>
    <w:rsid w:val="00EC5270"/>
    <w:rsid w:val="00EC5652"/>
    <w:rsid w:val="00EC709E"/>
    <w:rsid w:val="00EC75F1"/>
    <w:rsid w:val="00EC78AE"/>
    <w:rsid w:val="00EC7A6E"/>
    <w:rsid w:val="00ED08FE"/>
    <w:rsid w:val="00ED0CAA"/>
    <w:rsid w:val="00ED1C00"/>
    <w:rsid w:val="00ED2224"/>
    <w:rsid w:val="00ED24EC"/>
    <w:rsid w:val="00ED261A"/>
    <w:rsid w:val="00ED28CB"/>
    <w:rsid w:val="00ED4429"/>
    <w:rsid w:val="00ED7175"/>
    <w:rsid w:val="00ED784D"/>
    <w:rsid w:val="00EE00AE"/>
    <w:rsid w:val="00EE10C1"/>
    <w:rsid w:val="00EE16A2"/>
    <w:rsid w:val="00EE1790"/>
    <w:rsid w:val="00EE1B47"/>
    <w:rsid w:val="00EE275A"/>
    <w:rsid w:val="00EE3D1B"/>
    <w:rsid w:val="00EE43F3"/>
    <w:rsid w:val="00EE47E6"/>
    <w:rsid w:val="00EE5A00"/>
    <w:rsid w:val="00EE5C46"/>
    <w:rsid w:val="00EE6E3D"/>
    <w:rsid w:val="00EE6F43"/>
    <w:rsid w:val="00EE70D6"/>
    <w:rsid w:val="00EF1FFF"/>
    <w:rsid w:val="00EF238A"/>
    <w:rsid w:val="00EF2E75"/>
    <w:rsid w:val="00EF3544"/>
    <w:rsid w:val="00EF478D"/>
    <w:rsid w:val="00EF4863"/>
    <w:rsid w:val="00EF4B1A"/>
    <w:rsid w:val="00EF4C0C"/>
    <w:rsid w:val="00EF5374"/>
    <w:rsid w:val="00EF6201"/>
    <w:rsid w:val="00EF6799"/>
    <w:rsid w:val="00EF69F4"/>
    <w:rsid w:val="00F00BE9"/>
    <w:rsid w:val="00F00F21"/>
    <w:rsid w:val="00F01313"/>
    <w:rsid w:val="00F01740"/>
    <w:rsid w:val="00F0195A"/>
    <w:rsid w:val="00F0458B"/>
    <w:rsid w:val="00F05011"/>
    <w:rsid w:val="00F053AF"/>
    <w:rsid w:val="00F056BF"/>
    <w:rsid w:val="00F05AE4"/>
    <w:rsid w:val="00F06376"/>
    <w:rsid w:val="00F06BFC"/>
    <w:rsid w:val="00F06ECB"/>
    <w:rsid w:val="00F07187"/>
    <w:rsid w:val="00F10305"/>
    <w:rsid w:val="00F10421"/>
    <w:rsid w:val="00F104CA"/>
    <w:rsid w:val="00F11316"/>
    <w:rsid w:val="00F118DF"/>
    <w:rsid w:val="00F127CF"/>
    <w:rsid w:val="00F135E0"/>
    <w:rsid w:val="00F14079"/>
    <w:rsid w:val="00F15B83"/>
    <w:rsid w:val="00F15BB5"/>
    <w:rsid w:val="00F15E2D"/>
    <w:rsid w:val="00F160C9"/>
    <w:rsid w:val="00F16435"/>
    <w:rsid w:val="00F1743A"/>
    <w:rsid w:val="00F1750B"/>
    <w:rsid w:val="00F177A6"/>
    <w:rsid w:val="00F1789F"/>
    <w:rsid w:val="00F211E3"/>
    <w:rsid w:val="00F225FC"/>
    <w:rsid w:val="00F242A6"/>
    <w:rsid w:val="00F24572"/>
    <w:rsid w:val="00F249C0"/>
    <w:rsid w:val="00F25042"/>
    <w:rsid w:val="00F27259"/>
    <w:rsid w:val="00F30882"/>
    <w:rsid w:val="00F30C2C"/>
    <w:rsid w:val="00F31345"/>
    <w:rsid w:val="00F319FA"/>
    <w:rsid w:val="00F31C5A"/>
    <w:rsid w:val="00F31EF9"/>
    <w:rsid w:val="00F32562"/>
    <w:rsid w:val="00F3453D"/>
    <w:rsid w:val="00F36297"/>
    <w:rsid w:val="00F365B7"/>
    <w:rsid w:val="00F36709"/>
    <w:rsid w:val="00F40384"/>
    <w:rsid w:val="00F419E9"/>
    <w:rsid w:val="00F42E61"/>
    <w:rsid w:val="00F442B7"/>
    <w:rsid w:val="00F45281"/>
    <w:rsid w:val="00F45D21"/>
    <w:rsid w:val="00F45DCB"/>
    <w:rsid w:val="00F46CD1"/>
    <w:rsid w:val="00F46D43"/>
    <w:rsid w:val="00F46EF8"/>
    <w:rsid w:val="00F502C1"/>
    <w:rsid w:val="00F50DC9"/>
    <w:rsid w:val="00F512CD"/>
    <w:rsid w:val="00F52183"/>
    <w:rsid w:val="00F5223D"/>
    <w:rsid w:val="00F523EE"/>
    <w:rsid w:val="00F52877"/>
    <w:rsid w:val="00F54012"/>
    <w:rsid w:val="00F54F4C"/>
    <w:rsid w:val="00F5523D"/>
    <w:rsid w:val="00F55748"/>
    <w:rsid w:val="00F55B62"/>
    <w:rsid w:val="00F575A1"/>
    <w:rsid w:val="00F57B41"/>
    <w:rsid w:val="00F57C7E"/>
    <w:rsid w:val="00F614A9"/>
    <w:rsid w:val="00F615AC"/>
    <w:rsid w:val="00F61622"/>
    <w:rsid w:val="00F616E4"/>
    <w:rsid w:val="00F617D1"/>
    <w:rsid w:val="00F61999"/>
    <w:rsid w:val="00F624F2"/>
    <w:rsid w:val="00F62C4D"/>
    <w:rsid w:val="00F6463D"/>
    <w:rsid w:val="00F64CCF"/>
    <w:rsid w:val="00F65192"/>
    <w:rsid w:val="00F65CAC"/>
    <w:rsid w:val="00F65E31"/>
    <w:rsid w:val="00F66E05"/>
    <w:rsid w:val="00F707E4"/>
    <w:rsid w:val="00F70AF0"/>
    <w:rsid w:val="00F70FD0"/>
    <w:rsid w:val="00F71F41"/>
    <w:rsid w:val="00F72406"/>
    <w:rsid w:val="00F72504"/>
    <w:rsid w:val="00F72DB1"/>
    <w:rsid w:val="00F73558"/>
    <w:rsid w:val="00F742F2"/>
    <w:rsid w:val="00F748C8"/>
    <w:rsid w:val="00F749F8"/>
    <w:rsid w:val="00F76580"/>
    <w:rsid w:val="00F77301"/>
    <w:rsid w:val="00F77445"/>
    <w:rsid w:val="00F77470"/>
    <w:rsid w:val="00F775B1"/>
    <w:rsid w:val="00F802B0"/>
    <w:rsid w:val="00F80F88"/>
    <w:rsid w:val="00F81922"/>
    <w:rsid w:val="00F81AD0"/>
    <w:rsid w:val="00F83016"/>
    <w:rsid w:val="00F836C1"/>
    <w:rsid w:val="00F83DBA"/>
    <w:rsid w:val="00F83ED3"/>
    <w:rsid w:val="00F843E3"/>
    <w:rsid w:val="00F8474C"/>
    <w:rsid w:val="00F85138"/>
    <w:rsid w:val="00F8535A"/>
    <w:rsid w:val="00F86264"/>
    <w:rsid w:val="00F867E6"/>
    <w:rsid w:val="00F86EFF"/>
    <w:rsid w:val="00F87133"/>
    <w:rsid w:val="00F87575"/>
    <w:rsid w:val="00F877E2"/>
    <w:rsid w:val="00F90B61"/>
    <w:rsid w:val="00F915F2"/>
    <w:rsid w:val="00F91DFB"/>
    <w:rsid w:val="00F926F2"/>
    <w:rsid w:val="00F92FA1"/>
    <w:rsid w:val="00F93536"/>
    <w:rsid w:val="00F94421"/>
    <w:rsid w:val="00F9448D"/>
    <w:rsid w:val="00F945CC"/>
    <w:rsid w:val="00F94940"/>
    <w:rsid w:val="00F94B5A"/>
    <w:rsid w:val="00F94DC7"/>
    <w:rsid w:val="00F95A7B"/>
    <w:rsid w:val="00F95DB5"/>
    <w:rsid w:val="00F95FD3"/>
    <w:rsid w:val="00F9680E"/>
    <w:rsid w:val="00F96D2C"/>
    <w:rsid w:val="00F97641"/>
    <w:rsid w:val="00FA0550"/>
    <w:rsid w:val="00FA0BA9"/>
    <w:rsid w:val="00FA17A8"/>
    <w:rsid w:val="00FA26D4"/>
    <w:rsid w:val="00FA2A74"/>
    <w:rsid w:val="00FA2DBE"/>
    <w:rsid w:val="00FA3953"/>
    <w:rsid w:val="00FA3ACE"/>
    <w:rsid w:val="00FA5954"/>
    <w:rsid w:val="00FA5C53"/>
    <w:rsid w:val="00FA60C1"/>
    <w:rsid w:val="00FA667F"/>
    <w:rsid w:val="00FA6872"/>
    <w:rsid w:val="00FA7AAC"/>
    <w:rsid w:val="00FA7CB5"/>
    <w:rsid w:val="00FB0B5A"/>
    <w:rsid w:val="00FB2446"/>
    <w:rsid w:val="00FB26D9"/>
    <w:rsid w:val="00FB2B1F"/>
    <w:rsid w:val="00FB41EE"/>
    <w:rsid w:val="00FB6245"/>
    <w:rsid w:val="00FB654E"/>
    <w:rsid w:val="00FB6A23"/>
    <w:rsid w:val="00FC00F0"/>
    <w:rsid w:val="00FC0E80"/>
    <w:rsid w:val="00FC11D6"/>
    <w:rsid w:val="00FC178C"/>
    <w:rsid w:val="00FC1879"/>
    <w:rsid w:val="00FC231A"/>
    <w:rsid w:val="00FC2986"/>
    <w:rsid w:val="00FC45A3"/>
    <w:rsid w:val="00FC500A"/>
    <w:rsid w:val="00FC5343"/>
    <w:rsid w:val="00FC5389"/>
    <w:rsid w:val="00FC6890"/>
    <w:rsid w:val="00FD017D"/>
    <w:rsid w:val="00FD1B76"/>
    <w:rsid w:val="00FD1BB0"/>
    <w:rsid w:val="00FD3936"/>
    <w:rsid w:val="00FD414E"/>
    <w:rsid w:val="00FD4C93"/>
    <w:rsid w:val="00FD6423"/>
    <w:rsid w:val="00FD706D"/>
    <w:rsid w:val="00FE01D6"/>
    <w:rsid w:val="00FE080A"/>
    <w:rsid w:val="00FE122B"/>
    <w:rsid w:val="00FE1448"/>
    <w:rsid w:val="00FE2391"/>
    <w:rsid w:val="00FE2BAE"/>
    <w:rsid w:val="00FE46B6"/>
    <w:rsid w:val="00FE4A57"/>
    <w:rsid w:val="00FE5F41"/>
    <w:rsid w:val="00FE6779"/>
    <w:rsid w:val="00FE7550"/>
    <w:rsid w:val="00FE7AFE"/>
    <w:rsid w:val="00FF099E"/>
    <w:rsid w:val="00FF200B"/>
    <w:rsid w:val="00FF2522"/>
    <w:rsid w:val="00FF2846"/>
    <w:rsid w:val="00FF30C2"/>
    <w:rsid w:val="00FF33C8"/>
    <w:rsid w:val="00FF564A"/>
    <w:rsid w:val="00FF5E2C"/>
    <w:rsid w:val="00FF71F9"/>
    <w:rsid w:val="00FF7725"/>
    <w:rsid w:val="0104313C"/>
    <w:rsid w:val="01346326"/>
    <w:rsid w:val="01447CF6"/>
    <w:rsid w:val="019B054D"/>
    <w:rsid w:val="01A87AE5"/>
    <w:rsid w:val="01D71758"/>
    <w:rsid w:val="023677EB"/>
    <w:rsid w:val="026E176F"/>
    <w:rsid w:val="02936485"/>
    <w:rsid w:val="02CE121E"/>
    <w:rsid w:val="02D9090E"/>
    <w:rsid w:val="02F745E2"/>
    <w:rsid w:val="030F31DF"/>
    <w:rsid w:val="03151B9E"/>
    <w:rsid w:val="0317303F"/>
    <w:rsid w:val="031E1852"/>
    <w:rsid w:val="03343140"/>
    <w:rsid w:val="035763F7"/>
    <w:rsid w:val="03646992"/>
    <w:rsid w:val="03E061DD"/>
    <w:rsid w:val="041F39D1"/>
    <w:rsid w:val="046A6C84"/>
    <w:rsid w:val="05055146"/>
    <w:rsid w:val="05695458"/>
    <w:rsid w:val="057A4802"/>
    <w:rsid w:val="05A86F6C"/>
    <w:rsid w:val="05B61D8B"/>
    <w:rsid w:val="05E43B65"/>
    <w:rsid w:val="05EC43D9"/>
    <w:rsid w:val="05F877A2"/>
    <w:rsid w:val="06697A3D"/>
    <w:rsid w:val="06881949"/>
    <w:rsid w:val="06C34910"/>
    <w:rsid w:val="0712616E"/>
    <w:rsid w:val="07170F82"/>
    <w:rsid w:val="08294B99"/>
    <w:rsid w:val="082F7AF3"/>
    <w:rsid w:val="085823A7"/>
    <w:rsid w:val="087F695B"/>
    <w:rsid w:val="08FF5C3B"/>
    <w:rsid w:val="09577B3D"/>
    <w:rsid w:val="097A3839"/>
    <w:rsid w:val="0A0C0135"/>
    <w:rsid w:val="0A20371B"/>
    <w:rsid w:val="0A6F0C22"/>
    <w:rsid w:val="0A702C09"/>
    <w:rsid w:val="0A807FBB"/>
    <w:rsid w:val="0A84266A"/>
    <w:rsid w:val="0AAA53A5"/>
    <w:rsid w:val="0AD47E3C"/>
    <w:rsid w:val="0B2F28DE"/>
    <w:rsid w:val="0B3602D3"/>
    <w:rsid w:val="0B3D2E71"/>
    <w:rsid w:val="0B4C7062"/>
    <w:rsid w:val="0B7D0CB6"/>
    <w:rsid w:val="0B9A5AF9"/>
    <w:rsid w:val="0BC375DF"/>
    <w:rsid w:val="0C78474E"/>
    <w:rsid w:val="0CB64AA7"/>
    <w:rsid w:val="0D22318D"/>
    <w:rsid w:val="0D42213A"/>
    <w:rsid w:val="0D653876"/>
    <w:rsid w:val="0D6566E1"/>
    <w:rsid w:val="0D784445"/>
    <w:rsid w:val="0D95703C"/>
    <w:rsid w:val="0DA145A9"/>
    <w:rsid w:val="0DC73E72"/>
    <w:rsid w:val="0DC81D48"/>
    <w:rsid w:val="0E460359"/>
    <w:rsid w:val="0E4C1B93"/>
    <w:rsid w:val="0E5A1297"/>
    <w:rsid w:val="0E5F7BD8"/>
    <w:rsid w:val="0E7C4AB7"/>
    <w:rsid w:val="0EA30976"/>
    <w:rsid w:val="0ED84C33"/>
    <w:rsid w:val="0F05619E"/>
    <w:rsid w:val="0F0F7012"/>
    <w:rsid w:val="0F117C6D"/>
    <w:rsid w:val="0FB718C5"/>
    <w:rsid w:val="0FC27D8F"/>
    <w:rsid w:val="0FCA530F"/>
    <w:rsid w:val="10467FFA"/>
    <w:rsid w:val="10572DC1"/>
    <w:rsid w:val="10591E65"/>
    <w:rsid w:val="1088343D"/>
    <w:rsid w:val="11F55104"/>
    <w:rsid w:val="11F731A2"/>
    <w:rsid w:val="1211049C"/>
    <w:rsid w:val="12433BEB"/>
    <w:rsid w:val="127F0C89"/>
    <w:rsid w:val="128C1ADD"/>
    <w:rsid w:val="134A5D76"/>
    <w:rsid w:val="13667B51"/>
    <w:rsid w:val="13683E19"/>
    <w:rsid w:val="13AD2EE1"/>
    <w:rsid w:val="13BD03EC"/>
    <w:rsid w:val="13D07E26"/>
    <w:rsid w:val="13E83D46"/>
    <w:rsid w:val="141C3D20"/>
    <w:rsid w:val="14627546"/>
    <w:rsid w:val="147B6002"/>
    <w:rsid w:val="14EA10C9"/>
    <w:rsid w:val="153E3BE6"/>
    <w:rsid w:val="154F3229"/>
    <w:rsid w:val="155D62E5"/>
    <w:rsid w:val="155E6B26"/>
    <w:rsid w:val="156C3433"/>
    <w:rsid w:val="157B3415"/>
    <w:rsid w:val="158F0D35"/>
    <w:rsid w:val="15C551DA"/>
    <w:rsid w:val="162A4B1F"/>
    <w:rsid w:val="1699631A"/>
    <w:rsid w:val="16A42894"/>
    <w:rsid w:val="16C443A9"/>
    <w:rsid w:val="171410B8"/>
    <w:rsid w:val="173A73C1"/>
    <w:rsid w:val="17691B0B"/>
    <w:rsid w:val="17ED15BC"/>
    <w:rsid w:val="18D34C24"/>
    <w:rsid w:val="18F35B76"/>
    <w:rsid w:val="191D6DB8"/>
    <w:rsid w:val="19625F80"/>
    <w:rsid w:val="19A27B7E"/>
    <w:rsid w:val="19D95C81"/>
    <w:rsid w:val="1A080EB7"/>
    <w:rsid w:val="1A2D3F81"/>
    <w:rsid w:val="1A396C66"/>
    <w:rsid w:val="1A42266E"/>
    <w:rsid w:val="1A5A5F67"/>
    <w:rsid w:val="1A672B8A"/>
    <w:rsid w:val="1A8E66ED"/>
    <w:rsid w:val="1A8F7138"/>
    <w:rsid w:val="1AB74DD0"/>
    <w:rsid w:val="1B0B1F03"/>
    <w:rsid w:val="1B205569"/>
    <w:rsid w:val="1B783870"/>
    <w:rsid w:val="1B7F2CBA"/>
    <w:rsid w:val="1BB23559"/>
    <w:rsid w:val="1BF94903"/>
    <w:rsid w:val="1C3533BC"/>
    <w:rsid w:val="1D350708"/>
    <w:rsid w:val="1D3C37BD"/>
    <w:rsid w:val="1D756372"/>
    <w:rsid w:val="1D980B41"/>
    <w:rsid w:val="1D986A90"/>
    <w:rsid w:val="1DBD148A"/>
    <w:rsid w:val="1DC63D3D"/>
    <w:rsid w:val="1DCA63D9"/>
    <w:rsid w:val="1DCF035A"/>
    <w:rsid w:val="1DEA260F"/>
    <w:rsid w:val="1E2904E5"/>
    <w:rsid w:val="1E5B5D09"/>
    <w:rsid w:val="1F7346BB"/>
    <w:rsid w:val="1FA60642"/>
    <w:rsid w:val="1FA70130"/>
    <w:rsid w:val="1FAF08E0"/>
    <w:rsid w:val="1FC70955"/>
    <w:rsid w:val="20AD7638"/>
    <w:rsid w:val="20C31215"/>
    <w:rsid w:val="21A73F02"/>
    <w:rsid w:val="21AC74B1"/>
    <w:rsid w:val="21E07A06"/>
    <w:rsid w:val="21F24A64"/>
    <w:rsid w:val="220C6137"/>
    <w:rsid w:val="2231643F"/>
    <w:rsid w:val="225312B0"/>
    <w:rsid w:val="22610871"/>
    <w:rsid w:val="227952BB"/>
    <w:rsid w:val="22B37633"/>
    <w:rsid w:val="232E26C0"/>
    <w:rsid w:val="235056E3"/>
    <w:rsid w:val="23C33146"/>
    <w:rsid w:val="23F51AE7"/>
    <w:rsid w:val="23F812F7"/>
    <w:rsid w:val="2409005D"/>
    <w:rsid w:val="243D751E"/>
    <w:rsid w:val="24597EC0"/>
    <w:rsid w:val="24A1257F"/>
    <w:rsid w:val="24B91723"/>
    <w:rsid w:val="24D96E4C"/>
    <w:rsid w:val="24F52370"/>
    <w:rsid w:val="250277E6"/>
    <w:rsid w:val="251E3844"/>
    <w:rsid w:val="25267103"/>
    <w:rsid w:val="254B2D1B"/>
    <w:rsid w:val="2589516C"/>
    <w:rsid w:val="25B279F0"/>
    <w:rsid w:val="25B77041"/>
    <w:rsid w:val="25CF4E55"/>
    <w:rsid w:val="25D22404"/>
    <w:rsid w:val="25D52C7F"/>
    <w:rsid w:val="262C0E79"/>
    <w:rsid w:val="268F1319"/>
    <w:rsid w:val="26C10915"/>
    <w:rsid w:val="26D434B5"/>
    <w:rsid w:val="26EF79D8"/>
    <w:rsid w:val="26FD5595"/>
    <w:rsid w:val="2728090B"/>
    <w:rsid w:val="276A5476"/>
    <w:rsid w:val="277409CE"/>
    <w:rsid w:val="27B817C7"/>
    <w:rsid w:val="28106D2C"/>
    <w:rsid w:val="288A3D5A"/>
    <w:rsid w:val="28D93572"/>
    <w:rsid w:val="292164DA"/>
    <w:rsid w:val="292E4678"/>
    <w:rsid w:val="294023CE"/>
    <w:rsid w:val="29CF43C1"/>
    <w:rsid w:val="29E04413"/>
    <w:rsid w:val="2A36488C"/>
    <w:rsid w:val="2A6C308B"/>
    <w:rsid w:val="2AA70497"/>
    <w:rsid w:val="2B236F57"/>
    <w:rsid w:val="2B673080"/>
    <w:rsid w:val="2B7862C0"/>
    <w:rsid w:val="2B8E2901"/>
    <w:rsid w:val="2B9673F5"/>
    <w:rsid w:val="2BD22A77"/>
    <w:rsid w:val="2BE315C2"/>
    <w:rsid w:val="2C4760F7"/>
    <w:rsid w:val="2CB50452"/>
    <w:rsid w:val="2CF2117C"/>
    <w:rsid w:val="2D360842"/>
    <w:rsid w:val="2DB50AD0"/>
    <w:rsid w:val="2DB752FB"/>
    <w:rsid w:val="2DF9714F"/>
    <w:rsid w:val="2E2F322A"/>
    <w:rsid w:val="2E2F35C0"/>
    <w:rsid w:val="2E9C3BE4"/>
    <w:rsid w:val="2EF45937"/>
    <w:rsid w:val="2F244515"/>
    <w:rsid w:val="2F3964B3"/>
    <w:rsid w:val="2F6D2B7B"/>
    <w:rsid w:val="2F810569"/>
    <w:rsid w:val="2F856260"/>
    <w:rsid w:val="2F9E5E72"/>
    <w:rsid w:val="2FCD7F91"/>
    <w:rsid w:val="2FED2219"/>
    <w:rsid w:val="3021730B"/>
    <w:rsid w:val="307B352E"/>
    <w:rsid w:val="30B37884"/>
    <w:rsid w:val="30F23994"/>
    <w:rsid w:val="310C2788"/>
    <w:rsid w:val="31553579"/>
    <w:rsid w:val="319A2901"/>
    <w:rsid w:val="31CD338C"/>
    <w:rsid w:val="32285037"/>
    <w:rsid w:val="327309A2"/>
    <w:rsid w:val="32B87611"/>
    <w:rsid w:val="32C3283C"/>
    <w:rsid w:val="32E302AB"/>
    <w:rsid w:val="33020202"/>
    <w:rsid w:val="334C7602"/>
    <w:rsid w:val="3370454D"/>
    <w:rsid w:val="3381174F"/>
    <w:rsid w:val="33BB0075"/>
    <w:rsid w:val="34372118"/>
    <w:rsid w:val="34581308"/>
    <w:rsid w:val="34935E6F"/>
    <w:rsid w:val="34B362C2"/>
    <w:rsid w:val="34C92EA9"/>
    <w:rsid w:val="34F477A5"/>
    <w:rsid w:val="357E0C3C"/>
    <w:rsid w:val="3597358C"/>
    <w:rsid w:val="35AD7A6D"/>
    <w:rsid w:val="35B14A55"/>
    <w:rsid w:val="35B56D2C"/>
    <w:rsid w:val="35D72A58"/>
    <w:rsid w:val="35E76DFA"/>
    <w:rsid w:val="362B2FB5"/>
    <w:rsid w:val="36546BA1"/>
    <w:rsid w:val="365821E0"/>
    <w:rsid w:val="368C1233"/>
    <w:rsid w:val="36A72F83"/>
    <w:rsid w:val="36BA5D6D"/>
    <w:rsid w:val="37096C2E"/>
    <w:rsid w:val="37156992"/>
    <w:rsid w:val="372C3D3D"/>
    <w:rsid w:val="37766F6D"/>
    <w:rsid w:val="385B7CB3"/>
    <w:rsid w:val="387815C8"/>
    <w:rsid w:val="387842FF"/>
    <w:rsid w:val="389B2D7C"/>
    <w:rsid w:val="38C81985"/>
    <w:rsid w:val="38D46609"/>
    <w:rsid w:val="39596AB3"/>
    <w:rsid w:val="39AD1B62"/>
    <w:rsid w:val="3A222E7A"/>
    <w:rsid w:val="3A456905"/>
    <w:rsid w:val="3A560F90"/>
    <w:rsid w:val="3A7013DA"/>
    <w:rsid w:val="3AD54D69"/>
    <w:rsid w:val="3B6027F2"/>
    <w:rsid w:val="3BA877C4"/>
    <w:rsid w:val="3BAD5F31"/>
    <w:rsid w:val="3BC468B8"/>
    <w:rsid w:val="3BCB3479"/>
    <w:rsid w:val="3BEB2D70"/>
    <w:rsid w:val="3BFF03F2"/>
    <w:rsid w:val="3C1A4F9C"/>
    <w:rsid w:val="3C2B36FD"/>
    <w:rsid w:val="3C2F7BB4"/>
    <w:rsid w:val="3C386752"/>
    <w:rsid w:val="3C3E0BEA"/>
    <w:rsid w:val="3C8641A5"/>
    <w:rsid w:val="3CB24B0A"/>
    <w:rsid w:val="3D3C27F0"/>
    <w:rsid w:val="3D59157E"/>
    <w:rsid w:val="3D6C05F0"/>
    <w:rsid w:val="3D76384A"/>
    <w:rsid w:val="3DB22293"/>
    <w:rsid w:val="3DFF227A"/>
    <w:rsid w:val="3E2D247F"/>
    <w:rsid w:val="3E56553D"/>
    <w:rsid w:val="3E9A2EBA"/>
    <w:rsid w:val="3F464AE7"/>
    <w:rsid w:val="3F47172E"/>
    <w:rsid w:val="3F6319E3"/>
    <w:rsid w:val="3F9216FB"/>
    <w:rsid w:val="3F9D5A6F"/>
    <w:rsid w:val="3FA44FA4"/>
    <w:rsid w:val="3FA65553"/>
    <w:rsid w:val="401D1B40"/>
    <w:rsid w:val="40262536"/>
    <w:rsid w:val="40352366"/>
    <w:rsid w:val="403A4A6A"/>
    <w:rsid w:val="40533A6C"/>
    <w:rsid w:val="408574E9"/>
    <w:rsid w:val="40CB6C05"/>
    <w:rsid w:val="413B5FD6"/>
    <w:rsid w:val="417143EF"/>
    <w:rsid w:val="419478DC"/>
    <w:rsid w:val="419A10DA"/>
    <w:rsid w:val="41AE3464"/>
    <w:rsid w:val="41C47BC3"/>
    <w:rsid w:val="41F9342F"/>
    <w:rsid w:val="42015FFE"/>
    <w:rsid w:val="420C1C2E"/>
    <w:rsid w:val="42387E12"/>
    <w:rsid w:val="424A1C23"/>
    <w:rsid w:val="425228E9"/>
    <w:rsid w:val="425A2E1F"/>
    <w:rsid w:val="42615997"/>
    <w:rsid w:val="42763337"/>
    <w:rsid w:val="42996254"/>
    <w:rsid w:val="42CB0962"/>
    <w:rsid w:val="42CC24AC"/>
    <w:rsid w:val="43220E15"/>
    <w:rsid w:val="43303E58"/>
    <w:rsid w:val="43532937"/>
    <w:rsid w:val="43532BB3"/>
    <w:rsid w:val="436450C3"/>
    <w:rsid w:val="437D004A"/>
    <w:rsid w:val="43823660"/>
    <w:rsid w:val="438603AB"/>
    <w:rsid w:val="43D66FFF"/>
    <w:rsid w:val="43FD5CBA"/>
    <w:rsid w:val="4438014F"/>
    <w:rsid w:val="444F4A97"/>
    <w:rsid w:val="44FF75FC"/>
    <w:rsid w:val="45454B0D"/>
    <w:rsid w:val="454D6F6C"/>
    <w:rsid w:val="455225F4"/>
    <w:rsid w:val="45630154"/>
    <w:rsid w:val="46084D45"/>
    <w:rsid w:val="465E478A"/>
    <w:rsid w:val="46BC7227"/>
    <w:rsid w:val="47A35134"/>
    <w:rsid w:val="47A912AD"/>
    <w:rsid w:val="48186DB7"/>
    <w:rsid w:val="482524EB"/>
    <w:rsid w:val="48574F13"/>
    <w:rsid w:val="48CF46CF"/>
    <w:rsid w:val="48D7256D"/>
    <w:rsid w:val="48F03496"/>
    <w:rsid w:val="48F87F1B"/>
    <w:rsid w:val="493B6AC3"/>
    <w:rsid w:val="49606F23"/>
    <w:rsid w:val="49850BBE"/>
    <w:rsid w:val="49AE5388"/>
    <w:rsid w:val="49BC5343"/>
    <w:rsid w:val="49BE12E9"/>
    <w:rsid w:val="49C970F1"/>
    <w:rsid w:val="4A652CB4"/>
    <w:rsid w:val="4A702811"/>
    <w:rsid w:val="4A7F5C41"/>
    <w:rsid w:val="4A9275BD"/>
    <w:rsid w:val="4AC0470F"/>
    <w:rsid w:val="4AC37D17"/>
    <w:rsid w:val="4B437131"/>
    <w:rsid w:val="4B796A29"/>
    <w:rsid w:val="4B8A5280"/>
    <w:rsid w:val="4C0B404B"/>
    <w:rsid w:val="4C3823D2"/>
    <w:rsid w:val="4C507E56"/>
    <w:rsid w:val="4CAB0662"/>
    <w:rsid w:val="4CAB6041"/>
    <w:rsid w:val="4CFB27B7"/>
    <w:rsid w:val="4D045B61"/>
    <w:rsid w:val="4D810C96"/>
    <w:rsid w:val="4DB84F4C"/>
    <w:rsid w:val="4DD04559"/>
    <w:rsid w:val="4DD44207"/>
    <w:rsid w:val="4DE50C41"/>
    <w:rsid w:val="4DFE2946"/>
    <w:rsid w:val="4E516575"/>
    <w:rsid w:val="4E5654E1"/>
    <w:rsid w:val="4EB1548E"/>
    <w:rsid w:val="4F0548CF"/>
    <w:rsid w:val="4F4D70F1"/>
    <w:rsid w:val="4F595041"/>
    <w:rsid w:val="4FC94913"/>
    <w:rsid w:val="4FF043FE"/>
    <w:rsid w:val="50703B50"/>
    <w:rsid w:val="50715C1B"/>
    <w:rsid w:val="5078704B"/>
    <w:rsid w:val="50CB3DB8"/>
    <w:rsid w:val="50F567FB"/>
    <w:rsid w:val="5182044A"/>
    <w:rsid w:val="51E60399"/>
    <w:rsid w:val="51F059B8"/>
    <w:rsid w:val="520B6E0C"/>
    <w:rsid w:val="52765B76"/>
    <w:rsid w:val="53296201"/>
    <w:rsid w:val="539B1DFD"/>
    <w:rsid w:val="53B94FCA"/>
    <w:rsid w:val="53BB4451"/>
    <w:rsid w:val="53EF6FB8"/>
    <w:rsid w:val="545C205D"/>
    <w:rsid w:val="547549BB"/>
    <w:rsid w:val="54766C03"/>
    <w:rsid w:val="54D27441"/>
    <w:rsid w:val="55057756"/>
    <w:rsid w:val="55430E5B"/>
    <w:rsid w:val="554D6D31"/>
    <w:rsid w:val="555026FE"/>
    <w:rsid w:val="557E256C"/>
    <w:rsid w:val="55806E3D"/>
    <w:rsid w:val="55B14909"/>
    <w:rsid w:val="55E823B7"/>
    <w:rsid w:val="56507D45"/>
    <w:rsid w:val="5670097B"/>
    <w:rsid w:val="567F2459"/>
    <w:rsid w:val="5693657C"/>
    <w:rsid w:val="574035C2"/>
    <w:rsid w:val="579B3641"/>
    <w:rsid w:val="57E34CFE"/>
    <w:rsid w:val="58011456"/>
    <w:rsid w:val="581574DA"/>
    <w:rsid w:val="58AB138B"/>
    <w:rsid w:val="58DC0512"/>
    <w:rsid w:val="58DC3CCF"/>
    <w:rsid w:val="591334F8"/>
    <w:rsid w:val="59252964"/>
    <w:rsid w:val="59A129BC"/>
    <w:rsid w:val="59FA37EE"/>
    <w:rsid w:val="59FE1E90"/>
    <w:rsid w:val="5A0F504E"/>
    <w:rsid w:val="5A2B7686"/>
    <w:rsid w:val="5BD41037"/>
    <w:rsid w:val="5C0135DC"/>
    <w:rsid w:val="5C227272"/>
    <w:rsid w:val="5C662906"/>
    <w:rsid w:val="5C6D50B5"/>
    <w:rsid w:val="5CAD5DA9"/>
    <w:rsid w:val="5CB34E0F"/>
    <w:rsid w:val="5CEB7D6E"/>
    <w:rsid w:val="5D983CF9"/>
    <w:rsid w:val="5DA76CBE"/>
    <w:rsid w:val="5DA97A3B"/>
    <w:rsid w:val="5EE061D2"/>
    <w:rsid w:val="5F1E6742"/>
    <w:rsid w:val="5FB2790E"/>
    <w:rsid w:val="5FDA32CA"/>
    <w:rsid w:val="5FF10152"/>
    <w:rsid w:val="60135610"/>
    <w:rsid w:val="601553AE"/>
    <w:rsid w:val="603F1493"/>
    <w:rsid w:val="60804E93"/>
    <w:rsid w:val="60F21EE9"/>
    <w:rsid w:val="61236573"/>
    <w:rsid w:val="614E4A2C"/>
    <w:rsid w:val="615F2457"/>
    <w:rsid w:val="61617E54"/>
    <w:rsid w:val="6184497D"/>
    <w:rsid w:val="61C067A8"/>
    <w:rsid w:val="61F5125F"/>
    <w:rsid w:val="62144EAA"/>
    <w:rsid w:val="62392DCE"/>
    <w:rsid w:val="627529B2"/>
    <w:rsid w:val="627B1E3D"/>
    <w:rsid w:val="63591198"/>
    <w:rsid w:val="63597390"/>
    <w:rsid w:val="63F22EAF"/>
    <w:rsid w:val="643D7B50"/>
    <w:rsid w:val="6478082E"/>
    <w:rsid w:val="64C436A3"/>
    <w:rsid w:val="65417945"/>
    <w:rsid w:val="65B931A4"/>
    <w:rsid w:val="65BC5812"/>
    <w:rsid w:val="65DD26B5"/>
    <w:rsid w:val="660642C6"/>
    <w:rsid w:val="66142754"/>
    <w:rsid w:val="664C7082"/>
    <w:rsid w:val="66624F2E"/>
    <w:rsid w:val="66BB5222"/>
    <w:rsid w:val="66FB20C2"/>
    <w:rsid w:val="67004E69"/>
    <w:rsid w:val="67C00552"/>
    <w:rsid w:val="67CF5D5B"/>
    <w:rsid w:val="67ED6744"/>
    <w:rsid w:val="68231EC3"/>
    <w:rsid w:val="68316DA4"/>
    <w:rsid w:val="68D71289"/>
    <w:rsid w:val="68E01595"/>
    <w:rsid w:val="692A082B"/>
    <w:rsid w:val="697E442C"/>
    <w:rsid w:val="69A24FA0"/>
    <w:rsid w:val="6A134DE5"/>
    <w:rsid w:val="6A3D7F56"/>
    <w:rsid w:val="6A80102F"/>
    <w:rsid w:val="6A920B35"/>
    <w:rsid w:val="6ACF5880"/>
    <w:rsid w:val="6ADF54FA"/>
    <w:rsid w:val="6AE46DAE"/>
    <w:rsid w:val="6B24558D"/>
    <w:rsid w:val="6BBF513D"/>
    <w:rsid w:val="6BCE6E2D"/>
    <w:rsid w:val="6C0E4BFA"/>
    <w:rsid w:val="6C252528"/>
    <w:rsid w:val="6D0777A6"/>
    <w:rsid w:val="6D7D665B"/>
    <w:rsid w:val="6D913484"/>
    <w:rsid w:val="6E1A3283"/>
    <w:rsid w:val="6E3916FE"/>
    <w:rsid w:val="6EF918C4"/>
    <w:rsid w:val="6F136663"/>
    <w:rsid w:val="6F234B70"/>
    <w:rsid w:val="6F353388"/>
    <w:rsid w:val="6F8916C4"/>
    <w:rsid w:val="6FA802E0"/>
    <w:rsid w:val="6FB66877"/>
    <w:rsid w:val="700B1CD2"/>
    <w:rsid w:val="708F329E"/>
    <w:rsid w:val="70C74015"/>
    <w:rsid w:val="711A1E5D"/>
    <w:rsid w:val="71861FBD"/>
    <w:rsid w:val="71916B6F"/>
    <w:rsid w:val="72236C08"/>
    <w:rsid w:val="72E7513B"/>
    <w:rsid w:val="73203408"/>
    <w:rsid w:val="733E0263"/>
    <w:rsid w:val="73485EA3"/>
    <w:rsid w:val="738A1874"/>
    <w:rsid w:val="73E87907"/>
    <w:rsid w:val="73F65E1F"/>
    <w:rsid w:val="74220105"/>
    <w:rsid w:val="748A4AFF"/>
    <w:rsid w:val="74C51EDD"/>
    <w:rsid w:val="74E63628"/>
    <w:rsid w:val="75172BE8"/>
    <w:rsid w:val="75276BB4"/>
    <w:rsid w:val="75AE4F93"/>
    <w:rsid w:val="75E33CE8"/>
    <w:rsid w:val="761407E2"/>
    <w:rsid w:val="76A87C4C"/>
    <w:rsid w:val="76E84C15"/>
    <w:rsid w:val="76EE6CE8"/>
    <w:rsid w:val="770D4A6F"/>
    <w:rsid w:val="781964D2"/>
    <w:rsid w:val="78541EB5"/>
    <w:rsid w:val="788E77C9"/>
    <w:rsid w:val="78D6498D"/>
    <w:rsid w:val="78E32A83"/>
    <w:rsid w:val="78FD4FC3"/>
    <w:rsid w:val="79270EA5"/>
    <w:rsid w:val="79334FEF"/>
    <w:rsid w:val="797703EA"/>
    <w:rsid w:val="797D4FC7"/>
    <w:rsid w:val="7A026E1F"/>
    <w:rsid w:val="7A233B68"/>
    <w:rsid w:val="7A2F0F30"/>
    <w:rsid w:val="7A32540C"/>
    <w:rsid w:val="7A640135"/>
    <w:rsid w:val="7A95290F"/>
    <w:rsid w:val="7B49761E"/>
    <w:rsid w:val="7B6A54FB"/>
    <w:rsid w:val="7B8404AE"/>
    <w:rsid w:val="7BF9515E"/>
    <w:rsid w:val="7BFA4620"/>
    <w:rsid w:val="7BFE5F2B"/>
    <w:rsid w:val="7C355AE2"/>
    <w:rsid w:val="7C46473D"/>
    <w:rsid w:val="7C5F57A9"/>
    <w:rsid w:val="7CF364F4"/>
    <w:rsid w:val="7DC243C4"/>
    <w:rsid w:val="7DEA5EF1"/>
    <w:rsid w:val="7DF404F2"/>
    <w:rsid w:val="7E3F7F4E"/>
    <w:rsid w:val="7EBF204E"/>
    <w:rsid w:val="7EF164D9"/>
    <w:rsid w:val="7F704D88"/>
    <w:rsid w:val="7F791EC6"/>
    <w:rsid w:val="7F7922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5pt"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67"/>
    <w:qFormat/>
    <w:uiPriority w:val="0"/>
    <w:pPr>
      <w:keepNext/>
      <w:keepLines/>
      <w:spacing w:line="560" w:lineRule="exact"/>
      <w:ind w:firstLine="0" w:firstLineChars="0"/>
      <w:jc w:val="center"/>
      <w:outlineLvl w:val="0"/>
    </w:pPr>
    <w:rPr>
      <w:b/>
      <w:bCs/>
      <w:kern w:val="44"/>
      <w:sz w:val="32"/>
      <w:szCs w:val="44"/>
    </w:rPr>
  </w:style>
  <w:style w:type="paragraph" w:styleId="4">
    <w:name w:val="heading 2"/>
    <w:basedOn w:val="1"/>
    <w:next w:val="1"/>
    <w:link w:val="71"/>
    <w:qFormat/>
    <w:uiPriority w:val="0"/>
    <w:pPr>
      <w:keepNext/>
      <w:keepLines/>
      <w:spacing w:line="560" w:lineRule="exact"/>
      <w:ind w:firstLine="0" w:firstLineChars="0"/>
      <w:outlineLvl w:val="1"/>
    </w:pPr>
    <w:rPr>
      <w:b/>
      <w:bCs/>
      <w:sz w:val="30"/>
      <w:szCs w:val="32"/>
    </w:rPr>
  </w:style>
  <w:style w:type="paragraph" w:styleId="5">
    <w:name w:val="heading 3"/>
    <w:basedOn w:val="1"/>
    <w:next w:val="1"/>
    <w:link w:val="74"/>
    <w:qFormat/>
    <w:uiPriority w:val="0"/>
    <w:pPr>
      <w:keepNext/>
      <w:keepLines/>
      <w:spacing w:line="520" w:lineRule="exact"/>
      <w:ind w:firstLine="0" w:firstLineChars="0"/>
      <w:outlineLvl w:val="2"/>
    </w:pPr>
    <w:rPr>
      <w:b/>
      <w:bCs/>
      <w:sz w:val="28"/>
      <w:szCs w:val="32"/>
    </w:rPr>
  </w:style>
  <w:style w:type="paragraph" w:styleId="6">
    <w:name w:val="heading 4"/>
    <w:basedOn w:val="1"/>
    <w:next w:val="1"/>
    <w:link w:val="51"/>
    <w:qFormat/>
    <w:uiPriority w:val="0"/>
    <w:pPr>
      <w:keepNext/>
      <w:keepLines/>
      <w:spacing w:line="520" w:lineRule="exact"/>
      <w:ind w:firstLine="0" w:firstLineChars="0"/>
      <w:outlineLvl w:val="3"/>
    </w:pPr>
    <w:rPr>
      <w:b/>
      <w:bCs/>
      <w:szCs w:val="28"/>
    </w:rPr>
  </w:style>
  <w:style w:type="paragraph" w:styleId="7">
    <w:name w:val="heading 5"/>
    <w:basedOn w:val="1"/>
    <w:next w:val="1"/>
    <w:link w:val="89"/>
    <w:semiHidden/>
    <w:unhideWhenUsed/>
    <w:qFormat/>
    <w:uiPriority w:val="0"/>
    <w:pPr>
      <w:keepNext/>
      <w:keepLines/>
      <w:spacing w:before="280" w:after="290" w:line="376" w:lineRule="auto"/>
      <w:outlineLvl w:val="4"/>
    </w:pPr>
    <w:rPr>
      <w:b/>
      <w:bCs/>
      <w:sz w:val="28"/>
      <w:szCs w:val="28"/>
    </w:rPr>
  </w:style>
  <w:style w:type="paragraph" w:styleId="8">
    <w:name w:val="heading 7"/>
    <w:basedOn w:val="1"/>
    <w:next w:val="1"/>
    <w:link w:val="94"/>
    <w:semiHidden/>
    <w:unhideWhenUsed/>
    <w:qFormat/>
    <w:uiPriority w:val="0"/>
    <w:pPr>
      <w:keepNext/>
      <w:keepLines/>
      <w:spacing w:before="240" w:after="64" w:line="320" w:lineRule="auto"/>
      <w:outlineLvl w:val="6"/>
    </w:pPr>
    <w:rPr>
      <w:b/>
      <w:bCs/>
      <w:szCs w:val="24"/>
    </w:rPr>
  </w:style>
  <w:style w:type="paragraph" w:styleId="9">
    <w:name w:val="heading 8"/>
    <w:basedOn w:val="1"/>
    <w:next w:val="1"/>
    <w:link w:val="132"/>
    <w:semiHidden/>
    <w:unhideWhenUsed/>
    <w:qFormat/>
    <w:uiPriority w:val="0"/>
    <w:pPr>
      <w:keepNext/>
      <w:keepLines/>
      <w:spacing w:before="240" w:after="64" w:line="320" w:lineRule="auto"/>
      <w:outlineLvl w:val="7"/>
    </w:pPr>
    <w:rPr>
      <w:rFonts w:asciiTheme="majorHAnsi" w:hAnsiTheme="majorHAnsi" w:eastAsiaTheme="majorEastAsia" w:cstheme="majorBidi"/>
      <w:szCs w:val="24"/>
    </w:rPr>
  </w:style>
  <w:style w:type="character" w:default="1" w:styleId="28">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1"/>
    <w:qFormat/>
    <w:uiPriority w:val="0"/>
    <w:pPr>
      <w:pBdr>
        <w:bottom w:val="single" w:color="auto" w:sz="6" w:space="1"/>
      </w:pBdr>
      <w:tabs>
        <w:tab w:val="center" w:pos="4153"/>
        <w:tab w:val="right" w:pos="8306"/>
      </w:tabs>
      <w:spacing w:line="240" w:lineRule="auto"/>
      <w:jc w:val="center"/>
    </w:pPr>
    <w:rPr>
      <w:kern w:val="0"/>
      <w:sz w:val="18"/>
      <w:szCs w:val="18"/>
    </w:rPr>
  </w:style>
  <w:style w:type="paragraph" w:styleId="10">
    <w:name w:val="Normal Indent"/>
    <w:basedOn w:val="1"/>
    <w:qFormat/>
    <w:uiPriority w:val="0"/>
    <w:pPr>
      <w:ind w:firstLine="420"/>
    </w:pPr>
  </w:style>
  <w:style w:type="paragraph" w:styleId="11">
    <w:name w:val="Document Map"/>
    <w:basedOn w:val="1"/>
    <w:link w:val="35"/>
    <w:qFormat/>
    <w:uiPriority w:val="0"/>
    <w:rPr>
      <w:rFonts w:ascii="宋体"/>
      <w:sz w:val="18"/>
      <w:szCs w:val="18"/>
    </w:rPr>
  </w:style>
  <w:style w:type="paragraph" w:styleId="12">
    <w:name w:val="annotation text"/>
    <w:basedOn w:val="1"/>
    <w:link w:val="145"/>
    <w:qFormat/>
    <w:uiPriority w:val="0"/>
    <w:pPr>
      <w:jc w:val="left"/>
    </w:pPr>
  </w:style>
  <w:style w:type="paragraph" w:styleId="13">
    <w:name w:val="Body Text"/>
    <w:basedOn w:val="1"/>
    <w:link w:val="106"/>
    <w:qFormat/>
    <w:uiPriority w:val="0"/>
    <w:pPr>
      <w:spacing w:after="120"/>
    </w:pPr>
  </w:style>
  <w:style w:type="paragraph" w:styleId="14">
    <w:name w:val="Body Text Indent"/>
    <w:basedOn w:val="1"/>
    <w:link w:val="96"/>
    <w:qFormat/>
    <w:uiPriority w:val="0"/>
    <w:pPr>
      <w:spacing w:after="120"/>
      <w:ind w:left="420" w:leftChars="200"/>
    </w:pPr>
  </w:style>
  <w:style w:type="paragraph" w:styleId="15">
    <w:name w:val="toc 5"/>
    <w:basedOn w:val="1"/>
    <w:next w:val="1"/>
    <w:qFormat/>
    <w:uiPriority w:val="0"/>
    <w:pPr>
      <w:ind w:left="1680" w:leftChars="800"/>
    </w:pPr>
  </w:style>
  <w:style w:type="paragraph" w:styleId="16">
    <w:name w:val="Plain Text"/>
    <w:basedOn w:val="1"/>
    <w:link w:val="108"/>
    <w:qFormat/>
    <w:uiPriority w:val="99"/>
    <w:pPr>
      <w:adjustRightInd/>
      <w:snapToGrid/>
      <w:spacing w:line="240" w:lineRule="auto"/>
      <w:ind w:firstLine="0" w:firstLineChars="0"/>
    </w:pPr>
    <w:rPr>
      <w:rFonts w:ascii="宋体" w:hAnsi="Courier New"/>
      <w:kern w:val="0"/>
      <w:sz w:val="20"/>
      <w:szCs w:val="21"/>
    </w:rPr>
  </w:style>
  <w:style w:type="paragraph" w:styleId="17">
    <w:name w:val="Date"/>
    <w:basedOn w:val="1"/>
    <w:next w:val="1"/>
    <w:link w:val="125"/>
    <w:qFormat/>
    <w:uiPriority w:val="0"/>
    <w:pPr>
      <w:ind w:left="100" w:leftChars="2500"/>
    </w:pPr>
  </w:style>
  <w:style w:type="paragraph" w:styleId="18">
    <w:name w:val="Balloon Text"/>
    <w:basedOn w:val="1"/>
    <w:link w:val="37"/>
    <w:qFormat/>
    <w:uiPriority w:val="0"/>
    <w:pPr>
      <w:spacing w:line="240" w:lineRule="auto"/>
    </w:pPr>
    <w:rPr>
      <w:sz w:val="18"/>
      <w:szCs w:val="18"/>
    </w:rPr>
  </w:style>
  <w:style w:type="paragraph" w:styleId="19">
    <w:name w:val="footer"/>
    <w:basedOn w:val="1"/>
    <w:link w:val="36"/>
    <w:qFormat/>
    <w:uiPriority w:val="0"/>
    <w:pPr>
      <w:tabs>
        <w:tab w:val="center" w:pos="4153"/>
        <w:tab w:val="right" w:pos="8306"/>
      </w:tabs>
      <w:spacing w:line="240" w:lineRule="auto"/>
      <w:jc w:val="left"/>
    </w:pPr>
    <w:rPr>
      <w:kern w:val="0"/>
      <w:sz w:val="18"/>
      <w:szCs w:val="18"/>
    </w:rPr>
  </w:style>
  <w:style w:type="paragraph" w:styleId="20">
    <w:name w:val="toc 1"/>
    <w:basedOn w:val="1"/>
    <w:next w:val="1"/>
    <w:qFormat/>
    <w:uiPriority w:val="39"/>
    <w:pPr>
      <w:ind w:firstLine="0" w:firstLineChars="0"/>
    </w:pPr>
    <w:rPr>
      <w:b/>
      <w:sz w:val="28"/>
    </w:rPr>
  </w:style>
  <w:style w:type="paragraph" w:styleId="21">
    <w:name w:val="toc 2"/>
    <w:basedOn w:val="1"/>
    <w:next w:val="1"/>
    <w:qFormat/>
    <w:uiPriority w:val="39"/>
  </w:style>
  <w:style w:type="paragraph" w:styleId="22">
    <w:name w:val="Normal (Web)"/>
    <w:basedOn w:val="1"/>
    <w:qFormat/>
    <w:uiPriority w:val="0"/>
  </w:style>
  <w:style w:type="paragraph" w:styleId="23">
    <w:name w:val="Body Text First Indent"/>
    <w:basedOn w:val="13"/>
    <w:link w:val="107"/>
    <w:qFormat/>
    <w:uiPriority w:val="0"/>
    <w:pPr>
      <w:ind w:firstLine="420" w:firstLineChars="100"/>
    </w:pPr>
  </w:style>
  <w:style w:type="paragraph" w:styleId="24">
    <w:name w:val="Body Text First Indent 2"/>
    <w:basedOn w:val="14"/>
    <w:link w:val="95"/>
    <w:unhideWhenUsed/>
    <w:qFormat/>
    <w:uiPriority w:val="99"/>
    <w:pPr>
      <w:widowControl/>
      <w:adjustRightInd/>
      <w:snapToGrid/>
      <w:spacing w:after="0"/>
      <w:ind w:left="0" w:leftChars="0" w:firstLine="480"/>
    </w:pPr>
    <w:rPr>
      <w:kern w:val="0"/>
      <w:szCs w:val="24"/>
      <w:lang w:eastAsia="en-US" w:bidi="en-US"/>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7">
    <w:name w:val="Table Grid 5"/>
    <w:basedOn w:val="25"/>
    <w:qFormat/>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blStylePr>
    <w:tblStylePr w:type="lastCol">
      <w:rPr>
        <w:b/>
        <w:bCs/>
      </w:rPr>
      <w:tbl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29">
    <w:name w:val="Strong"/>
    <w:basedOn w:val="28"/>
    <w:qFormat/>
    <w:uiPriority w:val="22"/>
    <w:rPr>
      <w:b/>
      <w:bCs/>
    </w:rPr>
  </w:style>
  <w:style w:type="character" w:styleId="30">
    <w:name w:val="page number"/>
    <w:basedOn w:val="28"/>
    <w:qFormat/>
    <w:uiPriority w:val="0"/>
  </w:style>
  <w:style w:type="character" w:styleId="31">
    <w:name w:val="FollowedHyperlink"/>
    <w:basedOn w:val="28"/>
    <w:qFormat/>
    <w:uiPriority w:val="0"/>
    <w:rPr>
      <w:color w:val="800080"/>
      <w:u w:val="single"/>
    </w:rPr>
  </w:style>
  <w:style w:type="character" w:styleId="32">
    <w:name w:val="Emphasis"/>
    <w:basedOn w:val="28"/>
    <w:qFormat/>
    <w:uiPriority w:val="20"/>
    <w:rPr>
      <w:i/>
      <w:iCs/>
    </w:rPr>
  </w:style>
  <w:style w:type="character" w:styleId="33">
    <w:name w:val="Hyperlink"/>
    <w:basedOn w:val="28"/>
    <w:qFormat/>
    <w:uiPriority w:val="99"/>
    <w:rPr>
      <w:color w:val="0000FF"/>
      <w:u w:val="single"/>
    </w:rPr>
  </w:style>
  <w:style w:type="character" w:styleId="34">
    <w:name w:val="annotation reference"/>
    <w:qFormat/>
    <w:uiPriority w:val="0"/>
    <w:rPr>
      <w:sz w:val="21"/>
      <w:szCs w:val="21"/>
    </w:rPr>
  </w:style>
  <w:style w:type="character" w:customStyle="1" w:styleId="35">
    <w:name w:val="文档结构图 Char"/>
    <w:basedOn w:val="28"/>
    <w:link w:val="11"/>
    <w:qFormat/>
    <w:uiPriority w:val="0"/>
    <w:rPr>
      <w:rFonts w:ascii="宋体" w:hAnsi="Times New Roman" w:eastAsia="宋体"/>
      <w:kern w:val="2"/>
      <w:sz w:val="18"/>
      <w:szCs w:val="18"/>
    </w:rPr>
  </w:style>
  <w:style w:type="character" w:customStyle="1" w:styleId="36">
    <w:name w:val="页脚 Char"/>
    <w:basedOn w:val="28"/>
    <w:link w:val="19"/>
    <w:qFormat/>
    <w:uiPriority w:val="99"/>
    <w:rPr>
      <w:rFonts w:ascii="Times New Roman" w:hAnsi="Times New Roman"/>
      <w:sz w:val="18"/>
      <w:szCs w:val="18"/>
    </w:rPr>
  </w:style>
  <w:style w:type="character" w:customStyle="1" w:styleId="37">
    <w:name w:val="批注框文本 Char"/>
    <w:basedOn w:val="28"/>
    <w:link w:val="18"/>
    <w:qFormat/>
    <w:uiPriority w:val="0"/>
    <w:rPr>
      <w:rFonts w:ascii="Times New Roman" w:hAnsi="Times New Roman"/>
      <w:kern w:val="2"/>
      <w:sz w:val="18"/>
      <w:szCs w:val="18"/>
    </w:rPr>
  </w:style>
  <w:style w:type="character" w:customStyle="1" w:styleId="38">
    <w:name w:val="表格 Char"/>
    <w:basedOn w:val="28"/>
    <w:qFormat/>
    <w:uiPriority w:val="0"/>
    <w:rPr>
      <w:kern w:val="2"/>
      <w:sz w:val="21"/>
      <w:szCs w:val="21"/>
    </w:rPr>
  </w:style>
  <w:style w:type="character" w:customStyle="1" w:styleId="39">
    <w:name w:val="font51"/>
    <w:basedOn w:val="28"/>
    <w:qFormat/>
    <w:uiPriority w:val="0"/>
    <w:rPr>
      <w:rFonts w:hint="eastAsia" w:ascii="宋体" w:hAnsi="宋体" w:eastAsia="宋体" w:cs="宋体"/>
      <w:color w:val="FF0000"/>
      <w:sz w:val="20"/>
      <w:szCs w:val="20"/>
      <w:u w:val="none"/>
    </w:rPr>
  </w:style>
  <w:style w:type="character" w:customStyle="1" w:styleId="40">
    <w:name w:val="font61"/>
    <w:basedOn w:val="28"/>
    <w:qFormat/>
    <w:uiPriority w:val="0"/>
    <w:rPr>
      <w:rFonts w:hint="default" w:ascii="Times New Roman" w:hAnsi="Times New Roman" w:cs="Times New Roman"/>
      <w:color w:val="FF0000"/>
      <w:sz w:val="20"/>
      <w:szCs w:val="20"/>
      <w:u w:val="none"/>
    </w:rPr>
  </w:style>
  <w:style w:type="character" w:customStyle="1" w:styleId="41">
    <w:name w:val="font01"/>
    <w:basedOn w:val="28"/>
    <w:qFormat/>
    <w:uiPriority w:val="0"/>
    <w:rPr>
      <w:rFonts w:hint="default" w:ascii="Times New Roman" w:hAnsi="Times New Roman" w:cs="Times New Roman"/>
      <w:color w:val="FF0000"/>
      <w:sz w:val="21"/>
      <w:szCs w:val="21"/>
      <w:u w:val="none"/>
    </w:rPr>
  </w:style>
  <w:style w:type="character" w:customStyle="1" w:styleId="42">
    <w:name w:val="font91"/>
    <w:basedOn w:val="28"/>
    <w:qFormat/>
    <w:uiPriority w:val="0"/>
    <w:rPr>
      <w:rFonts w:hint="default" w:ascii="Times New Roman" w:hAnsi="Times New Roman" w:cs="Times New Roman"/>
      <w:color w:val="000000"/>
      <w:sz w:val="24"/>
      <w:szCs w:val="24"/>
      <w:u w:val="none"/>
    </w:rPr>
  </w:style>
  <w:style w:type="character" w:customStyle="1" w:styleId="43">
    <w:name w:val="font31"/>
    <w:basedOn w:val="28"/>
    <w:qFormat/>
    <w:uiPriority w:val="0"/>
    <w:rPr>
      <w:rFonts w:hint="eastAsia" w:ascii="宋体" w:hAnsi="宋体" w:eastAsia="宋体" w:cs="宋体"/>
      <w:color w:val="000000"/>
      <w:sz w:val="21"/>
      <w:szCs w:val="21"/>
      <w:u w:val="none"/>
    </w:rPr>
  </w:style>
  <w:style w:type="character" w:customStyle="1" w:styleId="44">
    <w:name w:val="font71"/>
    <w:basedOn w:val="28"/>
    <w:qFormat/>
    <w:uiPriority w:val="0"/>
    <w:rPr>
      <w:rFonts w:hint="eastAsia" w:ascii="宋体" w:hAnsi="宋体" w:eastAsia="宋体" w:cs="宋体"/>
      <w:color w:val="FF0000"/>
      <w:sz w:val="20"/>
      <w:szCs w:val="20"/>
      <w:u w:val="none"/>
    </w:rPr>
  </w:style>
  <w:style w:type="character" w:customStyle="1" w:styleId="45">
    <w:name w:val="font121"/>
    <w:basedOn w:val="28"/>
    <w:qFormat/>
    <w:uiPriority w:val="0"/>
    <w:rPr>
      <w:rFonts w:hint="default" w:ascii="Times New Roman" w:hAnsi="Times New Roman" w:cs="Times New Roman"/>
      <w:color w:val="000000"/>
      <w:sz w:val="20"/>
      <w:szCs w:val="20"/>
      <w:u w:val="none"/>
      <w:vertAlign w:val="superscript"/>
    </w:rPr>
  </w:style>
  <w:style w:type="character" w:customStyle="1" w:styleId="46">
    <w:name w:val="font111"/>
    <w:basedOn w:val="28"/>
    <w:qFormat/>
    <w:uiPriority w:val="0"/>
    <w:rPr>
      <w:rFonts w:hint="default" w:ascii="Times New Roman" w:hAnsi="Times New Roman" w:cs="Times New Roman"/>
      <w:color w:val="000000"/>
      <w:sz w:val="21"/>
      <w:szCs w:val="21"/>
      <w:u w:val="none"/>
      <w:vertAlign w:val="superscript"/>
    </w:rPr>
  </w:style>
  <w:style w:type="character" w:customStyle="1" w:styleId="47">
    <w:name w:val="font11"/>
    <w:basedOn w:val="28"/>
    <w:qFormat/>
    <w:uiPriority w:val="0"/>
    <w:rPr>
      <w:rFonts w:hint="default" w:ascii="Times New Roman" w:hAnsi="Times New Roman" w:cs="Times New Roman"/>
      <w:color w:val="000000"/>
      <w:sz w:val="21"/>
      <w:szCs w:val="21"/>
      <w:u w:val="none"/>
      <w:vertAlign w:val="superscript"/>
    </w:rPr>
  </w:style>
  <w:style w:type="character" w:customStyle="1" w:styleId="48">
    <w:name w:val="font81"/>
    <w:basedOn w:val="28"/>
    <w:qFormat/>
    <w:uiPriority w:val="0"/>
    <w:rPr>
      <w:rFonts w:hint="eastAsia" w:ascii="宋体" w:hAnsi="宋体" w:eastAsia="宋体" w:cs="宋体"/>
      <w:color w:val="000000"/>
      <w:sz w:val="24"/>
      <w:szCs w:val="24"/>
      <w:u w:val="none"/>
    </w:rPr>
  </w:style>
  <w:style w:type="character" w:customStyle="1" w:styleId="49">
    <w:name w:val="font41"/>
    <w:basedOn w:val="28"/>
    <w:qFormat/>
    <w:uiPriority w:val="0"/>
    <w:rPr>
      <w:rFonts w:hint="eastAsia" w:ascii="宋体" w:hAnsi="宋体" w:eastAsia="宋体" w:cs="宋体"/>
      <w:color w:val="000000"/>
      <w:sz w:val="21"/>
      <w:szCs w:val="21"/>
      <w:u w:val="none"/>
    </w:rPr>
  </w:style>
  <w:style w:type="character" w:customStyle="1" w:styleId="50">
    <w:name w:val="font112"/>
    <w:basedOn w:val="28"/>
    <w:qFormat/>
    <w:uiPriority w:val="0"/>
    <w:rPr>
      <w:rFonts w:hint="default" w:ascii="Times New Roman" w:hAnsi="Times New Roman" w:cs="Times New Roman"/>
      <w:color w:val="000000"/>
      <w:sz w:val="20"/>
      <w:szCs w:val="20"/>
      <w:u w:val="none"/>
    </w:rPr>
  </w:style>
  <w:style w:type="character" w:customStyle="1" w:styleId="51">
    <w:name w:val="标题 4 Char"/>
    <w:basedOn w:val="28"/>
    <w:link w:val="6"/>
    <w:qFormat/>
    <w:uiPriority w:val="0"/>
    <w:rPr>
      <w:rFonts w:eastAsia="宋体"/>
      <w:b/>
      <w:sz w:val="24"/>
      <w:szCs w:val="28"/>
    </w:rPr>
  </w:style>
  <w:style w:type="character" w:customStyle="1" w:styleId="52">
    <w:name w:val="font21"/>
    <w:basedOn w:val="28"/>
    <w:qFormat/>
    <w:uiPriority w:val="0"/>
    <w:rPr>
      <w:rFonts w:hint="default" w:ascii="Times New Roman" w:hAnsi="Times New Roman" w:cs="Times New Roman"/>
      <w:color w:val="000000"/>
      <w:sz w:val="21"/>
      <w:szCs w:val="21"/>
      <w:u w:val="none"/>
    </w:rPr>
  </w:style>
  <w:style w:type="character" w:customStyle="1" w:styleId="53">
    <w:name w:val="font101"/>
    <w:basedOn w:val="28"/>
    <w:qFormat/>
    <w:uiPriority w:val="0"/>
    <w:rPr>
      <w:rFonts w:hint="default" w:ascii="Times New Roman" w:hAnsi="Times New Roman" w:cs="Times New Roman"/>
      <w:color w:val="000000"/>
      <w:sz w:val="21"/>
      <w:szCs w:val="21"/>
      <w:u w:val="none"/>
      <w:vertAlign w:val="superscript"/>
    </w:rPr>
  </w:style>
  <w:style w:type="paragraph" w:customStyle="1" w:styleId="54">
    <w:name w:val="报告书正文"/>
    <w:basedOn w:val="1"/>
    <w:qFormat/>
    <w:uiPriority w:val="0"/>
    <w:pPr>
      <w:spacing w:line="300" w:lineRule="auto"/>
      <w:ind w:firstLine="480"/>
    </w:pPr>
    <w:rPr>
      <w:szCs w:val="20"/>
    </w:rPr>
  </w:style>
  <w:style w:type="paragraph" w:customStyle="1" w:styleId="55">
    <w:name w:val="方案正文"/>
    <w:basedOn w:val="56"/>
    <w:link w:val="123"/>
    <w:qFormat/>
    <w:uiPriority w:val="0"/>
    <w:pPr>
      <w:widowControl/>
    </w:pPr>
    <w:rPr>
      <w:rFonts w:eastAsia="仿宋_GB2312"/>
      <w:snapToGrid w:val="0"/>
      <w:kern w:val="24"/>
      <w:szCs w:val="24"/>
    </w:rPr>
  </w:style>
  <w:style w:type="paragraph" w:customStyle="1" w:styleId="56">
    <w:name w:val="正文1"/>
    <w:basedOn w:val="1"/>
    <w:link w:val="80"/>
    <w:qFormat/>
    <w:uiPriority w:val="0"/>
    <w:pPr>
      <w:ind w:firstLine="480"/>
    </w:pPr>
  </w:style>
  <w:style w:type="paragraph" w:customStyle="1" w:styleId="57">
    <w:name w:val="表格"/>
    <w:next w:val="1"/>
    <w:link w:val="83"/>
    <w:qFormat/>
    <w:uiPriority w:val="0"/>
    <w:pPr>
      <w:widowControl w:val="0"/>
      <w:adjustRightInd w:val="0"/>
      <w:snapToGrid w:val="0"/>
      <w:jc w:val="center"/>
    </w:pPr>
    <w:rPr>
      <w:rFonts w:ascii="Times New Roman" w:hAnsi="Times New Roman" w:eastAsia="宋体" w:cs="Times New Roman"/>
      <w:spacing w:val="-2"/>
      <w:sz w:val="21"/>
      <w:szCs w:val="21"/>
      <w:lang w:val="en-US" w:eastAsia="zh-CN" w:bidi="ar-SA"/>
    </w:rPr>
  </w:style>
  <w:style w:type="paragraph" w:customStyle="1" w:styleId="58">
    <w:name w:val="5级 （ 1）"/>
    <w:basedOn w:val="1"/>
    <w:link w:val="59"/>
    <w:qFormat/>
    <w:uiPriority w:val="0"/>
    <w:pPr>
      <w:suppressAutoHyphens/>
      <w:ind w:firstLine="480"/>
      <w:jc w:val="left"/>
      <w:outlineLvl w:val="4"/>
    </w:pPr>
    <w:rPr>
      <w:szCs w:val="24"/>
    </w:rPr>
  </w:style>
  <w:style w:type="character" w:customStyle="1" w:styleId="59">
    <w:name w:val="5级 （ 1） Char"/>
    <w:link w:val="58"/>
    <w:qFormat/>
    <w:uiPriority w:val="0"/>
    <w:rPr>
      <w:kern w:val="2"/>
      <w:sz w:val="24"/>
      <w:szCs w:val="24"/>
    </w:rPr>
  </w:style>
  <w:style w:type="paragraph" w:customStyle="1" w:styleId="60">
    <w:name w:val="p0"/>
    <w:basedOn w:val="1"/>
    <w:qFormat/>
    <w:uiPriority w:val="0"/>
    <w:pPr>
      <w:widowControl/>
      <w:ind w:firstLine="420" w:firstLineChars="0"/>
    </w:pPr>
    <w:rPr>
      <w:rFonts w:ascii="宋体" w:hAnsi="宋体" w:cs="宋体"/>
      <w:kern w:val="0"/>
      <w:szCs w:val="24"/>
    </w:rPr>
  </w:style>
  <w:style w:type="paragraph" w:customStyle="1" w:styleId="61">
    <w:name w:val="表格五号修"/>
    <w:basedOn w:val="1"/>
    <w:qFormat/>
    <w:uiPriority w:val="0"/>
    <w:pPr>
      <w:spacing w:line="360" w:lineRule="exact"/>
      <w:ind w:firstLine="0" w:firstLineChars="0"/>
    </w:pPr>
    <w:rPr>
      <w:color w:val="000000"/>
      <w:sz w:val="21"/>
      <w:szCs w:val="24"/>
    </w:rPr>
  </w:style>
  <w:style w:type="paragraph" w:customStyle="1" w:styleId="62">
    <w:name w:val="my"/>
    <w:basedOn w:val="1"/>
    <w:link w:val="63"/>
    <w:qFormat/>
    <w:uiPriority w:val="0"/>
    <w:pPr>
      <w:widowControl/>
      <w:tabs>
        <w:tab w:val="left" w:pos="0"/>
      </w:tabs>
      <w:spacing w:line="560" w:lineRule="exact"/>
    </w:pPr>
    <w:rPr>
      <w:rFonts w:eastAsia="华文楷体"/>
      <w:snapToGrid w:val="0"/>
      <w:kern w:val="0"/>
      <w:sz w:val="28"/>
      <w:szCs w:val="28"/>
    </w:rPr>
  </w:style>
  <w:style w:type="character" w:customStyle="1" w:styleId="63">
    <w:name w:val="my Char Char"/>
    <w:link w:val="62"/>
    <w:qFormat/>
    <w:uiPriority w:val="0"/>
    <w:rPr>
      <w:rFonts w:eastAsia="华文楷体"/>
      <w:snapToGrid w:val="0"/>
      <w:sz w:val="28"/>
      <w:szCs w:val="28"/>
    </w:rPr>
  </w:style>
  <w:style w:type="paragraph" w:customStyle="1" w:styleId="64">
    <w:name w:val="xl31"/>
    <w:basedOn w:val="1"/>
    <w:qFormat/>
    <w:uiPriority w:val="0"/>
    <w:pPr>
      <w:widowControl/>
      <w:spacing w:before="100" w:beforeAutospacing="1" w:after="100" w:afterAutospacing="1" w:line="240" w:lineRule="auto"/>
      <w:ind w:firstLine="0" w:firstLineChars="0"/>
      <w:jc w:val="center"/>
      <w:textAlignment w:val="center"/>
    </w:pPr>
    <w:rPr>
      <w:rFonts w:ascii="宋体" w:hAnsi="宋体"/>
      <w:kern w:val="0"/>
      <w:szCs w:val="24"/>
    </w:rPr>
  </w:style>
  <w:style w:type="paragraph" w:customStyle="1" w:styleId="65">
    <w:name w:val="1级标题"/>
    <w:basedOn w:val="3"/>
    <w:link w:val="68"/>
    <w:qFormat/>
    <w:uiPriority w:val="0"/>
    <w:pPr>
      <w:spacing w:line="360" w:lineRule="auto"/>
      <w:ind w:firstLine="562"/>
    </w:pPr>
    <w:rPr>
      <w:rFonts w:eastAsia="仿宋_GB2312"/>
    </w:rPr>
  </w:style>
  <w:style w:type="paragraph" w:customStyle="1" w:styleId="66">
    <w:name w:val="二级标题"/>
    <w:basedOn w:val="4"/>
    <w:link w:val="72"/>
    <w:qFormat/>
    <w:uiPriority w:val="0"/>
    <w:pPr>
      <w:spacing w:line="360" w:lineRule="auto"/>
      <w:ind w:firstLine="49" w:firstLineChars="49"/>
    </w:pPr>
    <w:rPr>
      <w:rFonts w:eastAsia="仿宋_GB2312"/>
    </w:rPr>
  </w:style>
  <w:style w:type="character" w:customStyle="1" w:styleId="67">
    <w:name w:val="标题 1 Char"/>
    <w:basedOn w:val="28"/>
    <w:link w:val="3"/>
    <w:qFormat/>
    <w:uiPriority w:val="0"/>
    <w:rPr>
      <w:b/>
      <w:bCs/>
      <w:kern w:val="44"/>
      <w:sz w:val="32"/>
      <w:szCs w:val="44"/>
    </w:rPr>
  </w:style>
  <w:style w:type="character" w:customStyle="1" w:styleId="68">
    <w:name w:val="1级标题 Char"/>
    <w:basedOn w:val="67"/>
    <w:link w:val="65"/>
    <w:qFormat/>
    <w:uiPriority w:val="0"/>
    <w:rPr>
      <w:rFonts w:eastAsia="仿宋_GB2312"/>
      <w:kern w:val="44"/>
      <w:sz w:val="32"/>
      <w:szCs w:val="44"/>
    </w:rPr>
  </w:style>
  <w:style w:type="paragraph" w:customStyle="1" w:styleId="69">
    <w:name w:val="三级标题"/>
    <w:basedOn w:val="70"/>
    <w:link w:val="75"/>
    <w:qFormat/>
    <w:uiPriority w:val="0"/>
    <w:pPr>
      <w:spacing w:line="360" w:lineRule="auto"/>
      <w:ind w:firstLine="284"/>
    </w:pPr>
    <w:rPr>
      <w:rFonts w:eastAsia="仿宋_GB2312"/>
    </w:rPr>
  </w:style>
  <w:style w:type="paragraph" w:customStyle="1" w:styleId="70">
    <w:name w:val="标题 31"/>
    <w:basedOn w:val="56"/>
    <w:next w:val="56"/>
    <w:qFormat/>
    <w:uiPriority w:val="2"/>
    <w:pPr>
      <w:keepNext/>
      <w:keepLines/>
      <w:spacing w:line="520" w:lineRule="exact"/>
      <w:ind w:firstLine="0"/>
      <w:outlineLvl w:val="2"/>
    </w:pPr>
    <w:rPr>
      <w:b/>
      <w:bCs/>
      <w:sz w:val="28"/>
      <w:szCs w:val="32"/>
    </w:rPr>
  </w:style>
  <w:style w:type="character" w:customStyle="1" w:styleId="71">
    <w:name w:val="标题 2 Char"/>
    <w:basedOn w:val="28"/>
    <w:link w:val="4"/>
    <w:qFormat/>
    <w:uiPriority w:val="0"/>
    <w:rPr>
      <w:b/>
      <w:bCs/>
      <w:kern w:val="2"/>
      <w:sz w:val="30"/>
      <w:szCs w:val="32"/>
    </w:rPr>
  </w:style>
  <w:style w:type="character" w:customStyle="1" w:styleId="72">
    <w:name w:val="二级标题 Char"/>
    <w:basedOn w:val="71"/>
    <w:link w:val="66"/>
    <w:qFormat/>
    <w:uiPriority w:val="0"/>
    <w:rPr>
      <w:rFonts w:eastAsia="仿宋_GB2312"/>
      <w:kern w:val="2"/>
      <w:sz w:val="30"/>
      <w:szCs w:val="32"/>
    </w:rPr>
  </w:style>
  <w:style w:type="paragraph" w:customStyle="1" w:styleId="73">
    <w:name w:val="四级标题"/>
    <w:basedOn w:val="6"/>
    <w:link w:val="77"/>
    <w:qFormat/>
    <w:uiPriority w:val="0"/>
    <w:pPr>
      <w:spacing w:line="360" w:lineRule="auto"/>
      <w:ind w:firstLine="482"/>
    </w:pPr>
    <w:rPr>
      <w:rFonts w:eastAsia="仿宋_GB2312"/>
    </w:rPr>
  </w:style>
  <w:style w:type="character" w:customStyle="1" w:styleId="74">
    <w:name w:val="标题 3 Char"/>
    <w:basedOn w:val="28"/>
    <w:link w:val="5"/>
    <w:qFormat/>
    <w:uiPriority w:val="0"/>
    <w:rPr>
      <w:b/>
      <w:bCs/>
      <w:kern w:val="2"/>
      <w:sz w:val="28"/>
      <w:szCs w:val="32"/>
    </w:rPr>
  </w:style>
  <w:style w:type="character" w:customStyle="1" w:styleId="75">
    <w:name w:val="三级标题 Char"/>
    <w:basedOn w:val="74"/>
    <w:link w:val="69"/>
    <w:qFormat/>
    <w:uiPriority w:val="0"/>
    <w:rPr>
      <w:rFonts w:eastAsia="仿宋_GB2312"/>
      <w:kern w:val="2"/>
      <w:sz w:val="28"/>
      <w:szCs w:val="32"/>
    </w:rPr>
  </w:style>
  <w:style w:type="paragraph" w:customStyle="1" w:styleId="76">
    <w:name w:val="表头"/>
    <w:basedOn w:val="1"/>
    <w:next w:val="6"/>
    <w:link w:val="78"/>
    <w:qFormat/>
    <w:uiPriority w:val="0"/>
    <w:pPr>
      <w:widowControl/>
      <w:spacing w:line="240" w:lineRule="auto"/>
      <w:ind w:firstLine="0" w:firstLineChars="0"/>
      <w:jc w:val="center"/>
      <w:outlineLvl w:val="6"/>
    </w:pPr>
    <w:rPr>
      <w:rFonts w:eastAsia="仿宋_GB2312"/>
      <w:b/>
      <w:bCs/>
      <w:kern w:val="0"/>
      <w:szCs w:val="21"/>
    </w:rPr>
  </w:style>
  <w:style w:type="character" w:customStyle="1" w:styleId="77">
    <w:name w:val="四级标题 Char"/>
    <w:basedOn w:val="51"/>
    <w:link w:val="73"/>
    <w:qFormat/>
    <w:uiPriority w:val="0"/>
    <w:rPr>
      <w:rFonts w:eastAsia="仿宋_GB2312"/>
      <w:bCs/>
      <w:kern w:val="2"/>
      <w:sz w:val="24"/>
      <w:szCs w:val="28"/>
    </w:rPr>
  </w:style>
  <w:style w:type="character" w:customStyle="1" w:styleId="78">
    <w:name w:val="表头 Char"/>
    <w:basedOn w:val="28"/>
    <w:link w:val="76"/>
    <w:qFormat/>
    <w:uiPriority w:val="0"/>
    <w:rPr>
      <w:rFonts w:eastAsia="仿宋_GB2312"/>
      <w:b/>
      <w:bCs/>
      <w:sz w:val="24"/>
      <w:szCs w:val="21"/>
    </w:rPr>
  </w:style>
  <w:style w:type="paragraph" w:customStyle="1" w:styleId="79">
    <w:name w:val="正文2"/>
    <w:basedOn w:val="1"/>
    <w:link w:val="82"/>
    <w:qFormat/>
    <w:uiPriority w:val="0"/>
    <w:pPr>
      <w:ind w:firstLine="480"/>
    </w:pPr>
  </w:style>
  <w:style w:type="character" w:customStyle="1" w:styleId="80">
    <w:name w:val="正文 Char"/>
    <w:basedOn w:val="28"/>
    <w:link w:val="56"/>
    <w:qFormat/>
    <w:uiPriority w:val="0"/>
    <w:rPr>
      <w:kern w:val="2"/>
      <w:sz w:val="24"/>
      <w:szCs w:val="22"/>
    </w:rPr>
  </w:style>
  <w:style w:type="paragraph" w:customStyle="1" w:styleId="81">
    <w:name w:val="正文3"/>
    <w:basedOn w:val="22"/>
    <w:qFormat/>
    <w:uiPriority w:val="0"/>
    <w:pPr>
      <w:widowControl/>
    </w:pPr>
    <w:rPr>
      <w:lang w:val="zh-CN"/>
    </w:rPr>
  </w:style>
  <w:style w:type="character" w:customStyle="1" w:styleId="82">
    <w:name w:val="正文 Char1"/>
    <w:basedOn w:val="28"/>
    <w:link w:val="79"/>
    <w:qFormat/>
    <w:uiPriority w:val="0"/>
    <w:rPr>
      <w:kern w:val="2"/>
      <w:sz w:val="24"/>
      <w:szCs w:val="22"/>
    </w:rPr>
  </w:style>
  <w:style w:type="character" w:customStyle="1" w:styleId="83">
    <w:name w:val="表格 Char1"/>
    <w:basedOn w:val="28"/>
    <w:link w:val="57"/>
    <w:qFormat/>
    <w:uiPriority w:val="0"/>
    <w:rPr>
      <w:spacing w:val="-2"/>
      <w:sz w:val="21"/>
      <w:szCs w:val="21"/>
    </w:rPr>
  </w:style>
  <w:style w:type="paragraph" w:customStyle="1" w:styleId="84">
    <w:name w:val="表格内容2"/>
    <w:basedOn w:val="1"/>
    <w:link w:val="85"/>
    <w:qFormat/>
    <w:uiPriority w:val="0"/>
    <w:pPr>
      <w:autoSpaceDE w:val="0"/>
      <w:autoSpaceDN w:val="0"/>
      <w:snapToGrid/>
      <w:spacing w:line="240" w:lineRule="auto"/>
      <w:ind w:firstLine="0" w:firstLineChars="0"/>
      <w:jc w:val="center"/>
    </w:pPr>
    <w:rPr>
      <w:rFonts w:eastAsia="仿宋_GB2312"/>
      <w:spacing w:val="-2"/>
      <w:kern w:val="0"/>
      <w:sz w:val="21"/>
      <w:szCs w:val="21"/>
    </w:rPr>
  </w:style>
  <w:style w:type="character" w:customStyle="1" w:styleId="85">
    <w:name w:val="表格内容2 Char"/>
    <w:link w:val="84"/>
    <w:qFormat/>
    <w:uiPriority w:val="0"/>
    <w:rPr>
      <w:rFonts w:eastAsia="仿宋_GB2312"/>
      <w:spacing w:val="-2"/>
      <w:sz w:val="21"/>
      <w:szCs w:val="21"/>
    </w:rPr>
  </w:style>
  <w:style w:type="character" w:customStyle="1" w:styleId="86">
    <w:name w:val="表头 Char Char"/>
    <w:qFormat/>
    <w:uiPriority w:val="0"/>
    <w:rPr>
      <w:b/>
      <w:kern w:val="2"/>
      <w:sz w:val="24"/>
      <w:szCs w:val="24"/>
    </w:rPr>
  </w:style>
  <w:style w:type="character" w:customStyle="1" w:styleId="87">
    <w:name w:val="表格 Char Char"/>
    <w:qFormat/>
    <w:uiPriority w:val="0"/>
    <w:rPr>
      <w:kern w:val="2"/>
      <w:sz w:val="21"/>
      <w:szCs w:val="21"/>
    </w:rPr>
  </w:style>
  <w:style w:type="paragraph" w:customStyle="1" w:styleId="88">
    <w:name w:val="4HZ正文"/>
    <w:basedOn w:val="1"/>
    <w:qFormat/>
    <w:uiPriority w:val="0"/>
    <w:pPr>
      <w:adjustRightInd/>
      <w:snapToGrid/>
      <w:spacing w:line="240" w:lineRule="auto"/>
    </w:pPr>
    <w:rPr>
      <w:rFonts w:ascii="宋体" w:hAnsi="Calibri"/>
      <w:kern w:val="0"/>
      <w:sz w:val="28"/>
      <w:szCs w:val="21"/>
    </w:rPr>
  </w:style>
  <w:style w:type="character" w:customStyle="1" w:styleId="89">
    <w:name w:val="标题 5 Char"/>
    <w:basedOn w:val="28"/>
    <w:link w:val="7"/>
    <w:semiHidden/>
    <w:qFormat/>
    <w:uiPriority w:val="0"/>
    <w:rPr>
      <w:b/>
      <w:bCs/>
      <w:kern w:val="2"/>
      <w:sz w:val="28"/>
      <w:szCs w:val="28"/>
    </w:rPr>
  </w:style>
  <w:style w:type="paragraph" w:styleId="90">
    <w:name w:val="List Paragraph"/>
    <w:basedOn w:val="1"/>
    <w:qFormat/>
    <w:uiPriority w:val="34"/>
    <w:pPr>
      <w:ind w:firstLine="420"/>
    </w:pPr>
  </w:style>
  <w:style w:type="paragraph" w:customStyle="1" w:styleId="91">
    <w:name w:val="表格内容c"/>
    <w:basedOn w:val="1"/>
    <w:link w:val="92"/>
    <w:qFormat/>
    <w:uiPriority w:val="0"/>
    <w:pPr>
      <w:adjustRightInd/>
      <w:snapToGrid/>
      <w:spacing w:line="240" w:lineRule="auto"/>
      <w:ind w:firstLine="0" w:firstLineChars="0"/>
      <w:jc w:val="center"/>
    </w:pPr>
    <w:rPr>
      <w:sz w:val="21"/>
      <w:szCs w:val="21"/>
    </w:rPr>
  </w:style>
  <w:style w:type="character" w:customStyle="1" w:styleId="92">
    <w:name w:val="表格内容c Char"/>
    <w:link w:val="91"/>
    <w:qFormat/>
    <w:uiPriority w:val="0"/>
    <w:rPr>
      <w:kern w:val="2"/>
      <w:sz w:val="21"/>
      <w:szCs w:val="21"/>
    </w:rPr>
  </w:style>
  <w:style w:type="paragraph" w:customStyle="1" w:styleId="93">
    <w:name w:val="CM3"/>
    <w:basedOn w:val="1"/>
    <w:next w:val="1"/>
    <w:qFormat/>
    <w:uiPriority w:val="99"/>
    <w:pPr>
      <w:autoSpaceDE w:val="0"/>
      <w:autoSpaceDN w:val="0"/>
      <w:snapToGrid/>
      <w:spacing w:line="460" w:lineRule="atLeast"/>
      <w:ind w:firstLine="0" w:firstLineChars="0"/>
      <w:jc w:val="left"/>
    </w:pPr>
    <w:rPr>
      <w:kern w:val="0"/>
      <w:szCs w:val="24"/>
    </w:rPr>
  </w:style>
  <w:style w:type="character" w:customStyle="1" w:styleId="94">
    <w:name w:val="标题 7 Char"/>
    <w:basedOn w:val="28"/>
    <w:link w:val="8"/>
    <w:qFormat/>
    <w:uiPriority w:val="0"/>
    <w:rPr>
      <w:b/>
      <w:bCs/>
      <w:kern w:val="2"/>
      <w:sz w:val="24"/>
      <w:szCs w:val="24"/>
    </w:rPr>
  </w:style>
  <w:style w:type="character" w:customStyle="1" w:styleId="95">
    <w:name w:val="正文首行缩进 2 Char"/>
    <w:basedOn w:val="96"/>
    <w:link w:val="24"/>
    <w:qFormat/>
    <w:uiPriority w:val="99"/>
    <w:rPr>
      <w:kern w:val="2"/>
      <w:sz w:val="24"/>
      <w:szCs w:val="24"/>
      <w:lang w:eastAsia="en-US" w:bidi="en-US"/>
    </w:rPr>
  </w:style>
  <w:style w:type="character" w:customStyle="1" w:styleId="96">
    <w:name w:val="正文文本缩进 Char"/>
    <w:basedOn w:val="28"/>
    <w:link w:val="14"/>
    <w:qFormat/>
    <w:uiPriority w:val="0"/>
    <w:rPr>
      <w:kern w:val="2"/>
      <w:sz w:val="24"/>
      <w:szCs w:val="22"/>
    </w:rPr>
  </w:style>
  <w:style w:type="character" w:customStyle="1" w:styleId="97">
    <w:name w:val="正文首行缩进 2 Char1"/>
    <w:basedOn w:val="96"/>
    <w:qFormat/>
    <w:uiPriority w:val="0"/>
    <w:rPr>
      <w:kern w:val="2"/>
      <w:sz w:val="24"/>
      <w:szCs w:val="22"/>
    </w:rPr>
  </w:style>
  <w:style w:type="character" w:customStyle="1" w:styleId="98">
    <w:name w:val="样式 正文 +"/>
    <w:qFormat/>
    <w:uiPriority w:val="0"/>
    <w:rPr>
      <w:rFonts w:ascii="Times New Roman" w:hAnsi="Times New Roman" w:cs="Times New Roman"/>
      <w:kern w:val="0"/>
      <w:sz w:val="18"/>
      <w:szCs w:val="18"/>
    </w:rPr>
  </w:style>
  <w:style w:type="paragraph" w:customStyle="1" w:styleId="99">
    <w:name w:val="正文+缩进 Char Char Char"/>
    <w:basedOn w:val="1"/>
    <w:link w:val="116"/>
    <w:qFormat/>
    <w:uiPriority w:val="0"/>
    <w:rPr>
      <w:bCs/>
      <w:szCs w:val="24"/>
    </w:rPr>
  </w:style>
  <w:style w:type="character" w:customStyle="1" w:styleId="100">
    <w:name w:val="本文正文 Char"/>
    <w:link w:val="101"/>
    <w:qFormat/>
    <w:uiPriority w:val="0"/>
    <w:rPr>
      <w:sz w:val="24"/>
      <w:szCs w:val="44"/>
    </w:rPr>
  </w:style>
  <w:style w:type="paragraph" w:customStyle="1" w:styleId="101">
    <w:name w:val="本文正文"/>
    <w:basedOn w:val="1"/>
    <w:link w:val="100"/>
    <w:qFormat/>
    <w:uiPriority w:val="0"/>
    <w:pPr>
      <w:tabs>
        <w:tab w:val="left" w:pos="4500"/>
      </w:tabs>
      <w:adjustRightInd/>
      <w:snapToGrid/>
    </w:pPr>
    <w:rPr>
      <w:kern w:val="0"/>
      <w:szCs w:val="44"/>
    </w:rPr>
  </w:style>
  <w:style w:type="character" w:customStyle="1" w:styleId="102">
    <w:name w:val="报告图题 Char"/>
    <w:link w:val="103"/>
    <w:qFormat/>
    <w:uiPriority w:val="0"/>
    <w:rPr>
      <w:rFonts w:ascii="黑体" w:eastAsia="黑体"/>
    </w:rPr>
  </w:style>
  <w:style w:type="paragraph" w:customStyle="1" w:styleId="103">
    <w:name w:val="报告图题"/>
    <w:basedOn w:val="1"/>
    <w:next w:val="1"/>
    <w:link w:val="102"/>
    <w:qFormat/>
    <w:uiPriority w:val="0"/>
    <w:pPr>
      <w:adjustRightInd/>
      <w:snapToGrid/>
      <w:spacing w:before="120" w:after="120" w:line="400" w:lineRule="exact"/>
      <w:ind w:firstLine="0" w:firstLineChars="0"/>
      <w:jc w:val="center"/>
    </w:pPr>
    <w:rPr>
      <w:rFonts w:ascii="黑体" w:eastAsia="黑体"/>
      <w:kern w:val="0"/>
      <w:sz w:val="20"/>
      <w:szCs w:val="20"/>
    </w:rPr>
  </w:style>
  <w:style w:type="character" w:customStyle="1" w:styleId="104">
    <w:name w:val="表右 Char"/>
    <w:link w:val="105"/>
    <w:qFormat/>
    <w:uiPriority w:val="0"/>
    <w:rPr>
      <w:kern w:val="2"/>
      <w:sz w:val="21"/>
      <w:szCs w:val="24"/>
    </w:rPr>
  </w:style>
  <w:style w:type="paragraph" w:customStyle="1" w:styleId="105">
    <w:name w:val="表右"/>
    <w:next w:val="1"/>
    <w:link w:val="104"/>
    <w:qFormat/>
    <w:uiPriority w:val="0"/>
    <w:pPr>
      <w:jc w:val="right"/>
    </w:pPr>
    <w:rPr>
      <w:rFonts w:ascii="Times New Roman" w:hAnsi="Times New Roman" w:eastAsia="宋体" w:cs="Times New Roman"/>
      <w:kern w:val="2"/>
      <w:sz w:val="21"/>
      <w:szCs w:val="24"/>
      <w:lang w:val="en-US" w:eastAsia="zh-CN" w:bidi="ar-SA"/>
    </w:rPr>
  </w:style>
  <w:style w:type="character" w:customStyle="1" w:styleId="106">
    <w:name w:val="正文文本 Char"/>
    <w:basedOn w:val="28"/>
    <w:link w:val="13"/>
    <w:qFormat/>
    <w:uiPriority w:val="0"/>
    <w:rPr>
      <w:kern w:val="2"/>
      <w:sz w:val="24"/>
      <w:szCs w:val="22"/>
    </w:rPr>
  </w:style>
  <w:style w:type="character" w:customStyle="1" w:styleId="107">
    <w:name w:val="正文首行缩进 Char"/>
    <w:basedOn w:val="106"/>
    <w:link w:val="23"/>
    <w:qFormat/>
    <w:uiPriority w:val="0"/>
    <w:rPr>
      <w:kern w:val="2"/>
      <w:sz w:val="24"/>
      <w:szCs w:val="22"/>
    </w:rPr>
  </w:style>
  <w:style w:type="character" w:customStyle="1" w:styleId="108">
    <w:name w:val="纯文本 Char"/>
    <w:basedOn w:val="28"/>
    <w:link w:val="16"/>
    <w:qFormat/>
    <w:uiPriority w:val="99"/>
    <w:rPr>
      <w:rFonts w:ascii="宋体" w:hAnsi="Courier New"/>
      <w:szCs w:val="21"/>
    </w:rPr>
  </w:style>
  <w:style w:type="character" w:customStyle="1" w:styleId="109">
    <w:name w:val="正文文本_"/>
    <w:basedOn w:val="28"/>
    <w:link w:val="110"/>
    <w:qFormat/>
    <w:locked/>
    <w:uiPriority w:val="99"/>
    <w:rPr>
      <w:rFonts w:ascii="MingLiU" w:hAnsi="MingLiU" w:eastAsia="MingLiU" w:cs="MingLiU"/>
      <w:spacing w:val="30"/>
      <w:sz w:val="22"/>
      <w:shd w:val="clear" w:color="auto" w:fill="FFFFFF"/>
    </w:rPr>
  </w:style>
  <w:style w:type="paragraph" w:customStyle="1" w:styleId="110">
    <w:name w:val="正文文本1"/>
    <w:basedOn w:val="1"/>
    <w:link w:val="109"/>
    <w:qFormat/>
    <w:uiPriority w:val="99"/>
    <w:pPr>
      <w:shd w:val="clear" w:color="auto" w:fill="FFFFFF"/>
      <w:adjustRightInd/>
      <w:snapToGrid/>
      <w:spacing w:line="456" w:lineRule="exact"/>
      <w:ind w:firstLine="0" w:firstLineChars="0"/>
      <w:jc w:val="distribute"/>
    </w:pPr>
    <w:rPr>
      <w:rFonts w:ascii="MingLiU" w:hAnsi="MingLiU" w:eastAsia="MingLiU" w:cs="MingLiU"/>
      <w:spacing w:val="30"/>
      <w:kern w:val="0"/>
      <w:sz w:val="22"/>
      <w:szCs w:val="20"/>
    </w:rPr>
  </w:style>
  <w:style w:type="character" w:customStyle="1" w:styleId="111">
    <w:name w:val="表内文字 Char"/>
    <w:link w:val="112"/>
    <w:qFormat/>
    <w:locked/>
    <w:uiPriority w:val="0"/>
    <w:rPr>
      <w:sz w:val="18"/>
    </w:rPr>
  </w:style>
  <w:style w:type="paragraph" w:customStyle="1" w:styleId="112">
    <w:name w:val="表内文字"/>
    <w:basedOn w:val="1"/>
    <w:link w:val="111"/>
    <w:qFormat/>
    <w:uiPriority w:val="0"/>
    <w:pPr>
      <w:adjustRightInd/>
      <w:snapToGrid/>
      <w:spacing w:line="240" w:lineRule="atLeast"/>
      <w:ind w:left="-20" w:leftChars="-20" w:right="-20" w:rightChars="-20" w:firstLine="0" w:firstLineChars="0"/>
      <w:jc w:val="center"/>
    </w:pPr>
    <w:rPr>
      <w:kern w:val="0"/>
      <w:sz w:val="18"/>
      <w:szCs w:val="20"/>
    </w:rPr>
  </w:style>
  <w:style w:type="character" w:customStyle="1" w:styleId="113">
    <w:name w:val="庆平高速正文 Char"/>
    <w:link w:val="114"/>
    <w:qFormat/>
    <w:uiPriority w:val="0"/>
    <w:rPr>
      <w:bCs/>
      <w:sz w:val="24"/>
      <w:szCs w:val="24"/>
    </w:rPr>
  </w:style>
  <w:style w:type="paragraph" w:customStyle="1" w:styleId="114">
    <w:name w:val="庆平高速正文"/>
    <w:basedOn w:val="1"/>
    <w:link w:val="113"/>
    <w:qFormat/>
    <w:uiPriority w:val="0"/>
    <w:pPr>
      <w:autoSpaceDE w:val="0"/>
      <w:autoSpaceDN w:val="0"/>
      <w:ind w:firstLine="480"/>
      <w:jc w:val="left"/>
    </w:pPr>
    <w:rPr>
      <w:bCs/>
      <w:kern w:val="0"/>
      <w:szCs w:val="24"/>
    </w:rPr>
  </w:style>
  <w:style w:type="character" w:customStyle="1" w:styleId="115">
    <w:name w:val="标题 4 Char Char"/>
    <w:qFormat/>
    <w:uiPriority w:val="0"/>
    <w:rPr>
      <w:rFonts w:eastAsia="宋体"/>
      <w:b/>
      <w:bCs/>
      <w:kern w:val="2"/>
      <w:sz w:val="24"/>
      <w:szCs w:val="24"/>
      <w:lang w:val="en-US" w:eastAsia="zh-CN" w:bidi="ar-SA"/>
    </w:rPr>
  </w:style>
  <w:style w:type="character" w:customStyle="1" w:styleId="116">
    <w:name w:val="正文+缩进 Char Char Char Char Char"/>
    <w:link w:val="99"/>
    <w:qFormat/>
    <w:uiPriority w:val="0"/>
    <w:rPr>
      <w:bCs/>
      <w:kern w:val="2"/>
      <w:sz w:val="24"/>
      <w:szCs w:val="24"/>
    </w:rPr>
  </w:style>
  <w:style w:type="paragraph" w:customStyle="1" w:styleId="117">
    <w:name w:val="样式 (符号) 宋体 加粗"/>
    <w:basedOn w:val="1"/>
    <w:qFormat/>
    <w:uiPriority w:val="0"/>
    <w:pPr>
      <w:widowControl/>
      <w:adjustRightInd/>
      <w:snapToGrid/>
      <w:ind w:left="567" w:hanging="567" w:firstLineChars="0"/>
      <w:outlineLvl w:val="3"/>
    </w:pPr>
    <w:rPr>
      <w:b/>
      <w:kern w:val="0"/>
      <w:szCs w:val="24"/>
    </w:rPr>
  </w:style>
  <w:style w:type="paragraph" w:customStyle="1" w:styleId="118">
    <w:name w:val="样式 标题 3 + 宋体 非全部大写"/>
    <w:basedOn w:val="5"/>
    <w:qFormat/>
    <w:uiPriority w:val="0"/>
    <w:pPr>
      <w:tabs>
        <w:tab w:val="left" w:pos="720"/>
      </w:tabs>
      <w:adjustRightInd/>
      <w:snapToGrid/>
      <w:spacing w:line="360" w:lineRule="auto"/>
      <w:ind w:left="720" w:hanging="720"/>
    </w:pPr>
    <w:rPr>
      <w:bCs w:val="0"/>
      <w:szCs w:val="24"/>
    </w:rPr>
  </w:style>
  <w:style w:type="paragraph" w:customStyle="1" w:styleId="119">
    <w:name w:val="标题4-c"/>
    <w:basedOn w:val="117"/>
    <w:link w:val="120"/>
    <w:qFormat/>
    <w:uiPriority w:val="0"/>
  </w:style>
  <w:style w:type="character" w:customStyle="1" w:styleId="120">
    <w:name w:val="标题4-c Char"/>
    <w:basedOn w:val="28"/>
    <w:link w:val="119"/>
    <w:qFormat/>
    <w:uiPriority w:val="0"/>
    <w:rPr>
      <w:b/>
      <w:sz w:val="24"/>
      <w:szCs w:val="24"/>
    </w:rPr>
  </w:style>
  <w:style w:type="character" w:customStyle="1" w:styleId="121">
    <w:name w:val="fontstyle01"/>
    <w:basedOn w:val="28"/>
    <w:qFormat/>
    <w:uiPriority w:val="0"/>
    <w:rPr>
      <w:rFonts w:hint="eastAsia" w:ascii="宋体" w:hAnsi="宋体" w:eastAsia="宋体"/>
      <w:color w:val="000000"/>
      <w:sz w:val="24"/>
      <w:szCs w:val="24"/>
    </w:rPr>
  </w:style>
  <w:style w:type="character" w:customStyle="1" w:styleId="122">
    <w:name w:val="fontstyle21"/>
    <w:basedOn w:val="28"/>
    <w:qFormat/>
    <w:uiPriority w:val="0"/>
    <w:rPr>
      <w:rFonts w:hint="default" w:ascii="TimesNewRomanPSMT" w:hAnsi="TimesNewRomanPSMT"/>
      <w:color w:val="000000"/>
      <w:sz w:val="24"/>
      <w:szCs w:val="24"/>
    </w:rPr>
  </w:style>
  <w:style w:type="character" w:customStyle="1" w:styleId="123">
    <w:name w:val="方案正文 Char"/>
    <w:link w:val="55"/>
    <w:qFormat/>
    <w:uiPriority w:val="0"/>
    <w:rPr>
      <w:rFonts w:eastAsia="仿宋_GB2312"/>
      <w:snapToGrid w:val="0"/>
      <w:kern w:val="24"/>
      <w:sz w:val="24"/>
      <w:szCs w:val="24"/>
    </w:rPr>
  </w:style>
  <w:style w:type="character" w:customStyle="1" w:styleId="124">
    <w:name w:val="apple-converted-space"/>
    <w:basedOn w:val="28"/>
    <w:qFormat/>
    <w:uiPriority w:val="0"/>
  </w:style>
  <w:style w:type="character" w:customStyle="1" w:styleId="125">
    <w:name w:val="日期 Char"/>
    <w:basedOn w:val="28"/>
    <w:link w:val="17"/>
    <w:qFormat/>
    <w:uiPriority w:val="0"/>
    <w:rPr>
      <w:kern w:val="2"/>
      <w:sz w:val="24"/>
      <w:szCs w:val="22"/>
    </w:rPr>
  </w:style>
  <w:style w:type="character" w:customStyle="1" w:styleId="126">
    <w:name w:val="ask-title"/>
    <w:basedOn w:val="28"/>
    <w:qFormat/>
    <w:uiPriority w:val="0"/>
  </w:style>
  <w:style w:type="paragraph" w:customStyle="1" w:styleId="127">
    <w:name w:val="列出段落1"/>
    <w:basedOn w:val="1"/>
    <w:qFormat/>
    <w:uiPriority w:val="0"/>
    <w:pPr>
      <w:ind w:firstLine="420"/>
    </w:pPr>
    <w:rPr>
      <w:szCs w:val="24"/>
    </w:rPr>
  </w:style>
  <w:style w:type="paragraph" w:customStyle="1" w:styleId="128">
    <w:name w:val="列出段落2"/>
    <w:basedOn w:val="1"/>
    <w:qFormat/>
    <w:uiPriority w:val="34"/>
    <w:pPr>
      <w:topLinePunct/>
      <w:ind w:firstLine="420"/>
    </w:pPr>
    <w:rPr>
      <w:kern w:val="0"/>
      <w:szCs w:val="24"/>
    </w:rPr>
  </w:style>
  <w:style w:type="paragraph" w:customStyle="1" w:styleId="129">
    <w:name w:val="5级标题"/>
    <w:basedOn w:val="55"/>
    <w:link w:val="130"/>
    <w:qFormat/>
    <w:uiPriority w:val="0"/>
    <w:pPr>
      <w:ind w:firstLine="480"/>
      <w:outlineLvl w:val="4"/>
    </w:pPr>
  </w:style>
  <w:style w:type="character" w:customStyle="1" w:styleId="130">
    <w:name w:val="5级标题 Char"/>
    <w:basedOn w:val="123"/>
    <w:link w:val="129"/>
    <w:qFormat/>
    <w:uiPriority w:val="0"/>
    <w:rPr>
      <w:rFonts w:eastAsia="仿宋_GB2312"/>
      <w:snapToGrid w:val="0"/>
      <w:kern w:val="24"/>
      <w:sz w:val="24"/>
      <w:szCs w:val="24"/>
    </w:rPr>
  </w:style>
  <w:style w:type="paragraph" w:customStyle="1" w:styleId="131">
    <w:name w:val="列出段落3"/>
    <w:basedOn w:val="1"/>
    <w:qFormat/>
    <w:uiPriority w:val="99"/>
    <w:pPr>
      <w:topLinePunct/>
      <w:ind w:firstLine="420"/>
    </w:pPr>
    <w:rPr>
      <w:rFonts w:eastAsia="楷体_GB2312"/>
      <w:kern w:val="0"/>
      <w:szCs w:val="24"/>
    </w:rPr>
  </w:style>
  <w:style w:type="character" w:customStyle="1" w:styleId="132">
    <w:name w:val="标题 8 Char"/>
    <w:basedOn w:val="28"/>
    <w:link w:val="9"/>
    <w:qFormat/>
    <w:uiPriority w:val="0"/>
    <w:rPr>
      <w:rFonts w:asciiTheme="majorHAnsi" w:hAnsiTheme="majorHAnsi" w:eastAsiaTheme="majorEastAsia" w:cstheme="majorBidi"/>
      <w:kern w:val="2"/>
      <w:sz w:val="24"/>
      <w:szCs w:val="24"/>
    </w:rPr>
  </w:style>
  <w:style w:type="paragraph" w:customStyle="1" w:styleId="133">
    <w:name w:val="表格内容1"/>
    <w:basedOn w:val="1"/>
    <w:qFormat/>
    <w:uiPriority w:val="0"/>
    <w:pPr>
      <w:widowControl/>
      <w:topLinePunct/>
      <w:spacing w:line="240" w:lineRule="auto"/>
      <w:ind w:firstLine="0" w:firstLineChars="0"/>
      <w:jc w:val="center"/>
    </w:pPr>
    <w:rPr>
      <w:rFonts w:eastAsia="仿宋_GB2312"/>
      <w:kern w:val="0"/>
      <w:sz w:val="21"/>
      <w:szCs w:val="21"/>
    </w:rPr>
  </w:style>
  <w:style w:type="paragraph" w:customStyle="1" w:styleId="134">
    <w:name w:val="四级标题+"/>
    <w:basedOn w:val="1"/>
    <w:link w:val="135"/>
    <w:qFormat/>
    <w:uiPriority w:val="0"/>
    <w:pPr>
      <w:topLinePunct/>
      <w:ind w:firstLine="0" w:firstLineChars="0"/>
      <w:outlineLvl w:val="3"/>
    </w:pPr>
    <w:rPr>
      <w:rFonts w:eastAsia="仿宋_GB2312"/>
      <w:b/>
      <w:kern w:val="0"/>
      <w:szCs w:val="24"/>
    </w:rPr>
  </w:style>
  <w:style w:type="character" w:customStyle="1" w:styleId="135">
    <w:name w:val="四级标题+ Char"/>
    <w:basedOn w:val="28"/>
    <w:link w:val="134"/>
    <w:qFormat/>
    <w:uiPriority w:val="0"/>
    <w:rPr>
      <w:rFonts w:eastAsia="仿宋_GB2312"/>
      <w:b/>
      <w:sz w:val="24"/>
      <w:szCs w:val="24"/>
    </w:rPr>
  </w:style>
  <w:style w:type="character" w:customStyle="1" w:styleId="136">
    <w:name w:val="表格标题 Char"/>
    <w:link w:val="137"/>
    <w:qFormat/>
    <w:uiPriority w:val="0"/>
    <w:rPr>
      <w:rFonts w:eastAsia="仿宋_GB2312"/>
      <w:b/>
      <w:spacing w:val="15"/>
      <w:kern w:val="2"/>
      <w:sz w:val="21"/>
      <w:szCs w:val="24"/>
    </w:rPr>
  </w:style>
  <w:style w:type="paragraph" w:customStyle="1" w:styleId="137">
    <w:name w:val="表格标题"/>
    <w:basedOn w:val="1"/>
    <w:link w:val="136"/>
    <w:qFormat/>
    <w:uiPriority w:val="0"/>
    <w:pPr>
      <w:ind w:firstLine="0" w:firstLineChars="0"/>
      <w:jc w:val="center"/>
      <w:outlineLvl w:val="4"/>
    </w:pPr>
    <w:rPr>
      <w:rFonts w:eastAsia="仿宋_GB2312"/>
      <w:b/>
      <w:spacing w:val="15"/>
      <w:sz w:val="21"/>
      <w:szCs w:val="24"/>
    </w:rPr>
  </w:style>
  <w:style w:type="paragraph" w:customStyle="1" w:styleId="138">
    <w:name w:val="表格文字"/>
    <w:basedOn w:val="1"/>
    <w:link w:val="139"/>
    <w:qFormat/>
    <w:uiPriority w:val="0"/>
    <w:pPr>
      <w:adjustRightInd/>
      <w:snapToGrid/>
      <w:spacing w:line="240" w:lineRule="exact"/>
      <w:ind w:firstLine="0" w:firstLineChars="0"/>
      <w:jc w:val="center"/>
    </w:pPr>
    <w:rPr>
      <w:rFonts w:ascii="宋体" w:hAnsi="宋体"/>
      <w:sz w:val="21"/>
      <w:szCs w:val="24"/>
    </w:rPr>
  </w:style>
  <w:style w:type="character" w:customStyle="1" w:styleId="139">
    <w:name w:val="表格文字 Char"/>
    <w:basedOn w:val="28"/>
    <w:link w:val="138"/>
    <w:qFormat/>
    <w:uiPriority w:val="0"/>
    <w:rPr>
      <w:rFonts w:ascii="宋体" w:hAnsi="宋体"/>
      <w:kern w:val="2"/>
      <w:sz w:val="21"/>
      <w:szCs w:val="24"/>
    </w:rPr>
  </w:style>
  <w:style w:type="paragraph" w:customStyle="1" w:styleId="140">
    <w:name w:val="Table Paragraph"/>
    <w:basedOn w:val="1"/>
    <w:qFormat/>
    <w:uiPriority w:val="1"/>
  </w:style>
  <w:style w:type="character" w:customStyle="1" w:styleId="141">
    <w:name w:val="number"/>
    <w:basedOn w:val="28"/>
    <w:qFormat/>
    <w:uiPriority w:val="0"/>
  </w:style>
  <w:style w:type="paragraph" w:customStyle="1" w:styleId="14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43">
    <w:name w:val="内容 Char"/>
    <w:link w:val="144"/>
    <w:qFormat/>
    <w:uiPriority w:val="0"/>
    <w:rPr>
      <w:rFonts w:eastAsia="仿宋_GB2312"/>
      <w:sz w:val="28"/>
    </w:rPr>
  </w:style>
  <w:style w:type="paragraph" w:customStyle="1" w:styleId="144">
    <w:name w:val="内容"/>
    <w:basedOn w:val="1"/>
    <w:link w:val="143"/>
    <w:qFormat/>
    <w:uiPriority w:val="0"/>
    <w:pPr>
      <w:tabs>
        <w:tab w:val="left" w:pos="5725"/>
      </w:tabs>
      <w:ind w:left="280" w:leftChars="100" w:right="100" w:rightChars="100" w:firstLine="560"/>
    </w:pPr>
    <w:rPr>
      <w:rFonts w:eastAsia="仿宋_GB2312"/>
      <w:kern w:val="0"/>
      <w:sz w:val="28"/>
      <w:szCs w:val="20"/>
    </w:rPr>
  </w:style>
  <w:style w:type="character" w:customStyle="1" w:styleId="145">
    <w:name w:val="批注文字 Char"/>
    <w:basedOn w:val="28"/>
    <w:link w:val="12"/>
    <w:qFormat/>
    <w:uiPriority w:val="0"/>
    <w:rPr>
      <w:kern w:val="2"/>
      <w:sz w:val="24"/>
      <w:szCs w:val="22"/>
    </w:rPr>
  </w:style>
  <w:style w:type="character" w:customStyle="1" w:styleId="146">
    <w:name w:val="pass-clearbtn-verifycode"/>
    <w:basedOn w:val="28"/>
    <w:qFormat/>
    <w:uiPriority w:val="0"/>
  </w:style>
  <w:style w:type="character" w:customStyle="1" w:styleId="147">
    <w:name w:val="tang-pass-qrcode-list-bj"/>
    <w:basedOn w:val="28"/>
    <w:qFormat/>
    <w:uiPriority w:val="0"/>
  </w:style>
  <w:style w:type="character" w:customStyle="1" w:styleId="148">
    <w:name w:val="tang-pass-qrcode-list-aq"/>
    <w:basedOn w:val="28"/>
    <w:qFormat/>
    <w:uiPriority w:val="0"/>
  </w:style>
  <w:style w:type="character" w:customStyle="1" w:styleId="149">
    <w:name w:val="tang-pass-qrcode-list-gx"/>
    <w:basedOn w:val="28"/>
    <w:qFormat/>
    <w:uiPriority w:val="0"/>
  </w:style>
  <w:style w:type="character" w:customStyle="1" w:styleId="150">
    <w:name w:val="pass-placeholder2"/>
    <w:basedOn w:val="28"/>
    <w:qFormat/>
    <w:uiPriority w:val="0"/>
  </w:style>
  <w:style w:type="character" w:customStyle="1" w:styleId="151">
    <w:name w:val="pass-clearbtn-smsverifycode"/>
    <w:basedOn w:val="28"/>
    <w:qFormat/>
    <w:uiPriority w:val="0"/>
  </w:style>
  <w:style w:type="character" w:customStyle="1" w:styleId="152">
    <w:name w:val="open"/>
    <w:basedOn w:val="28"/>
    <w:qFormat/>
    <w:uiPriority w:val="0"/>
  </w:style>
  <w:style w:type="character" w:customStyle="1" w:styleId="153">
    <w:name w:val="pass-placeholder-smsphone"/>
    <w:basedOn w:val="28"/>
    <w:qFormat/>
    <w:uiPriority w:val="0"/>
  </w:style>
  <w:style w:type="character" w:customStyle="1" w:styleId="154">
    <w:name w:val="pass-item-time-timing2"/>
    <w:basedOn w:val="28"/>
    <w:qFormat/>
    <w:uiPriority w:val="0"/>
  </w:style>
  <w:style w:type="character" w:customStyle="1" w:styleId="155">
    <w:name w:val="pass-placeholder-smsverifycode"/>
    <w:basedOn w:val="28"/>
    <w:qFormat/>
    <w:uiPriority w:val="0"/>
  </w:style>
  <w:style w:type="character" w:customStyle="1" w:styleId="156">
    <w:name w:val="pass-item-timer2"/>
    <w:basedOn w:val="2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7.jpeg"/><Relationship Id="rId5" Type="http://schemas.openxmlformats.org/officeDocument/2006/relationships/header" Target="header1.xml"/><Relationship Id="rId49" Type="http://schemas.openxmlformats.org/officeDocument/2006/relationships/image" Target="media/image16.png"/><Relationship Id="rId48" Type="http://schemas.openxmlformats.org/officeDocument/2006/relationships/image" Target="media/image15.png"/><Relationship Id="rId47" Type="http://schemas.openxmlformats.org/officeDocument/2006/relationships/image" Target="media/image14.png"/><Relationship Id="rId46" Type="http://schemas.openxmlformats.org/officeDocument/2006/relationships/image" Target="media/image13.png"/><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endnotes" Target="endnotes.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jpeg"/><Relationship Id="rId35" Type="http://schemas.openxmlformats.org/officeDocument/2006/relationships/image" Target="media/image2.jpeg"/><Relationship Id="rId34" Type="http://schemas.openxmlformats.org/officeDocument/2006/relationships/image" Target="media/image1.jpeg"/><Relationship Id="rId33" Type="http://schemas.openxmlformats.org/officeDocument/2006/relationships/theme" Target="theme/theme1.xml"/><Relationship Id="rId32" Type="http://schemas.openxmlformats.org/officeDocument/2006/relationships/header" Target="header19.xml"/><Relationship Id="rId31" Type="http://schemas.openxmlformats.org/officeDocument/2006/relationships/header" Target="header18.xml"/><Relationship Id="rId30" Type="http://schemas.openxmlformats.org/officeDocument/2006/relationships/header" Target="header17.xml"/><Relationship Id="rId3" Type="http://schemas.openxmlformats.org/officeDocument/2006/relationships/footnotes" Target="footnotes.xml"/><Relationship Id="rId29" Type="http://schemas.openxmlformats.org/officeDocument/2006/relationships/header" Target="header16.xml"/><Relationship Id="rId28" Type="http://schemas.openxmlformats.org/officeDocument/2006/relationships/header" Target="header15.xml"/><Relationship Id="rId27" Type="http://schemas.openxmlformats.org/officeDocument/2006/relationships/header" Target="header14.xml"/><Relationship Id="rId26" Type="http://schemas.openxmlformats.org/officeDocument/2006/relationships/header" Target="header13.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BBFAC2-6753-407C-83BE-F3302D18091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91</Pages>
  <Words>43405</Words>
  <Characters>49405</Characters>
  <Lines>411</Lines>
  <Paragraphs>115</Paragraphs>
  <TotalTime>54</TotalTime>
  <ScaleCrop>false</ScaleCrop>
  <LinksUpToDate>false</LinksUpToDate>
  <CharactersWithSpaces>50442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2020-09-25T03:28:00Z</dcterms:created>
  <dc:creator>Administrator</dc:creator>
  <cp:lastModifiedBy>Administrator</cp:lastModifiedBy>
  <cp:lastPrinted>2019-09-22T05:20:00Z</cp:lastPrinted>
  <dcterms:modified xsi:type="dcterms:W3CDTF">2021-08-19T01:56:28Z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DC89A1EA46DD4E7BA7D0B5266C0C1AD8</vt:lpwstr>
  </property>
</Properties>
</file>