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rPr>
          <w:rFonts w:hint="eastAsia" w:ascii="Times New Roman" w:hAnsi="Times New Roman" w:eastAsia="仿宋_GB2312" w:cs="Times New Roman"/>
          <w:b/>
          <w:color w:val="auto"/>
          <w:sz w:val="28"/>
          <w:szCs w:val="28"/>
          <w:highlight w:val="none"/>
          <w:lang w:val="en-US" w:eastAsia="zh-CN"/>
        </w:rPr>
      </w:pPr>
      <w:bookmarkStart w:id="0" w:name="_Toc417412289"/>
      <w:bookmarkStart w:id="1" w:name="_Toc417412299"/>
    </w:p>
    <w:p>
      <w:pPr>
        <w:overflowPunct w:val="0"/>
        <w:autoSpaceDE w:val="0"/>
        <w:autoSpaceDN w:val="0"/>
        <w:ind w:firstLine="0" w:firstLineChars="0"/>
        <w:jc w:val="both"/>
        <w:rPr>
          <w:rFonts w:hint="default" w:ascii="Times New Roman" w:hAnsi="Times New Roman" w:eastAsia="仿宋_GB2312" w:cs="Times New Roman"/>
          <w:color w:val="auto"/>
          <w:spacing w:val="-8"/>
          <w:sz w:val="36"/>
          <w:szCs w:val="36"/>
          <w:highlight w:val="none"/>
        </w:rPr>
      </w:pPr>
    </w:p>
    <w:p>
      <w:pPr>
        <w:overflowPunct w:val="0"/>
        <w:autoSpaceDE w:val="0"/>
        <w:autoSpaceDN w:val="0"/>
        <w:ind w:firstLine="0" w:firstLineChars="0"/>
        <w:jc w:val="center"/>
        <w:rPr>
          <w:rFonts w:hint="default" w:ascii="Times New Roman" w:hAnsi="Times New Roman" w:eastAsia="仿宋_GB2312" w:cs="Times New Roman"/>
          <w:color w:val="auto"/>
          <w:spacing w:val="-8"/>
          <w:sz w:val="36"/>
          <w:szCs w:val="36"/>
          <w:highlight w:val="none"/>
        </w:rPr>
      </w:pPr>
    </w:p>
    <w:p>
      <w:pPr>
        <w:overflowPunct w:val="0"/>
        <w:autoSpaceDE w:val="0"/>
        <w:autoSpaceDN w:val="0"/>
        <w:ind w:firstLine="0" w:firstLineChars="0"/>
        <w:jc w:val="center"/>
        <w:rPr>
          <w:rFonts w:hint="default" w:ascii="Times New Roman" w:hAnsi="Times New Roman" w:eastAsia="仿宋_GB2312" w:cs="Times New Roman"/>
          <w:color w:val="auto"/>
          <w:spacing w:val="-8"/>
          <w:sz w:val="36"/>
          <w:szCs w:val="36"/>
          <w:highlight w:val="none"/>
        </w:rPr>
      </w:pPr>
    </w:p>
    <w:p>
      <w:pPr>
        <w:overflowPunct w:val="0"/>
        <w:autoSpaceDE w:val="0"/>
        <w:autoSpaceDN w:val="0"/>
        <w:ind w:firstLine="0" w:firstLineChars="0"/>
        <w:jc w:val="center"/>
        <w:rPr>
          <w:rFonts w:hint="eastAsia" w:ascii="Times New Roman" w:hAnsi="Times New Roman" w:eastAsia="宋体" w:cs="Times New Roman"/>
          <w:b/>
          <w:color w:val="auto"/>
          <w:sz w:val="44"/>
          <w:szCs w:val="44"/>
          <w:highlight w:val="none"/>
          <w:lang w:eastAsia="zh-CN"/>
        </w:rPr>
      </w:pPr>
      <w:r>
        <w:rPr>
          <w:rFonts w:hint="eastAsia" w:cs="Times New Roman"/>
          <w:b/>
          <w:color w:val="auto"/>
          <w:sz w:val="44"/>
          <w:szCs w:val="44"/>
          <w:highlight w:val="none"/>
          <w:lang w:eastAsia="zh-CN"/>
        </w:rPr>
        <w:t>弗光哈密一期20MWp光伏并网发电项目</w:t>
      </w:r>
    </w:p>
    <w:p>
      <w:pPr>
        <w:overflowPunct w:val="0"/>
        <w:autoSpaceDE w:val="0"/>
        <w:autoSpaceDN w:val="0"/>
        <w:spacing w:before="360" w:beforeLines="150" w:line="1100" w:lineRule="exact"/>
        <w:ind w:firstLine="0" w:firstLineChars="0"/>
        <w:jc w:val="center"/>
        <w:rPr>
          <w:rFonts w:hint="default" w:ascii="Times New Roman" w:hAnsi="Times New Roman" w:eastAsia="黑体" w:cs="Times New Roman"/>
          <w:b/>
          <w:color w:val="auto"/>
          <w:sz w:val="88"/>
          <w:szCs w:val="88"/>
          <w:highlight w:val="none"/>
        </w:rPr>
      </w:pPr>
      <w:r>
        <w:rPr>
          <w:rFonts w:hint="default" w:ascii="Times New Roman" w:hAnsi="Times New Roman" w:eastAsia="黑体" w:cs="Times New Roman"/>
          <w:b/>
          <w:color w:val="auto"/>
          <w:sz w:val="84"/>
          <w:szCs w:val="84"/>
          <w:highlight w:val="none"/>
        </w:rPr>
        <w:t>水土保持方案报告书</w:t>
      </w:r>
    </w:p>
    <w:p>
      <w:pPr>
        <w:overflowPunct w:val="0"/>
        <w:autoSpaceDE w:val="0"/>
        <w:autoSpaceDN w:val="0"/>
        <w:spacing w:before="360" w:beforeLines="150"/>
        <w:ind w:firstLine="0" w:firstLineChars="0"/>
        <w:jc w:val="center"/>
        <w:rPr>
          <w:rFonts w:hint="default" w:ascii="Times New Roman" w:hAnsi="Times New Roman" w:cs="Times New Roman"/>
          <w:b/>
          <w:color w:val="auto"/>
          <w:spacing w:val="-8"/>
          <w:sz w:val="44"/>
          <w:szCs w:val="44"/>
          <w:highlight w:val="none"/>
        </w:rPr>
      </w:pPr>
      <w:r>
        <w:rPr>
          <w:rFonts w:hint="default" w:ascii="Times New Roman" w:hAnsi="Times New Roman" w:cs="Times New Roman"/>
          <w:b/>
          <w:color w:val="auto"/>
          <w:spacing w:val="-8"/>
          <w:sz w:val="44"/>
          <w:szCs w:val="44"/>
          <w:highlight w:val="none"/>
        </w:rPr>
        <w:t>（</w:t>
      </w:r>
      <w:r>
        <w:rPr>
          <w:rFonts w:hint="eastAsia" w:cs="Times New Roman"/>
          <w:b/>
          <w:color w:val="auto"/>
          <w:spacing w:val="-8"/>
          <w:sz w:val="44"/>
          <w:szCs w:val="44"/>
          <w:highlight w:val="none"/>
          <w:lang w:eastAsia="zh-CN"/>
        </w:rPr>
        <w:t>报批</w:t>
      </w:r>
      <w:r>
        <w:rPr>
          <w:rFonts w:hint="default" w:ascii="Times New Roman" w:hAnsi="Times New Roman" w:cs="Times New Roman"/>
          <w:b/>
          <w:color w:val="auto"/>
          <w:spacing w:val="-8"/>
          <w:sz w:val="44"/>
          <w:szCs w:val="44"/>
          <w:highlight w:val="none"/>
        </w:rPr>
        <w:t>稿）</w:t>
      </w:r>
    </w:p>
    <w:p>
      <w:pPr>
        <w:overflowPunct w:val="0"/>
        <w:autoSpaceDE w:val="0"/>
        <w:autoSpaceDN w:val="0"/>
        <w:ind w:firstLine="0" w:firstLineChars="0"/>
        <w:jc w:val="center"/>
        <w:rPr>
          <w:rFonts w:hint="default" w:ascii="Times New Roman" w:hAnsi="Times New Roman" w:eastAsia="仿宋_GB2312" w:cs="Times New Roman"/>
          <w:color w:val="auto"/>
          <w:sz w:val="36"/>
          <w:szCs w:val="36"/>
          <w:highlight w:val="none"/>
        </w:rPr>
      </w:pPr>
    </w:p>
    <w:p>
      <w:pPr>
        <w:pStyle w:val="2"/>
        <w:pBdr>
          <w:top w:val="none" w:color="auto" w:sz="0" w:space="0"/>
          <w:left w:val="none" w:color="auto" w:sz="0" w:space="0"/>
          <w:bottom w:val="none" w:color="auto" w:sz="0" w:space="0"/>
          <w:right w:val="none" w:color="auto" w:sz="0" w:space="0"/>
          <w:between w:val="none" w:color="auto" w:sz="0" w:space="0"/>
        </w:pBdr>
        <w:ind w:firstLine="0" w:firstLineChars="0"/>
        <w:rPr>
          <w:rFonts w:hint="default" w:ascii="Times New Roman" w:hAnsi="Times New Roman" w:eastAsia="仿宋_GB2312" w:cs="Times New Roman"/>
          <w:color w:val="auto"/>
          <w:sz w:val="36"/>
          <w:szCs w:val="36"/>
          <w:highlight w:val="none"/>
        </w:rPr>
      </w:pPr>
    </w:p>
    <w:p>
      <w:pPr>
        <w:pStyle w:val="2"/>
        <w:pBdr>
          <w:top w:val="none" w:color="auto" w:sz="0" w:space="0"/>
          <w:left w:val="none" w:color="auto" w:sz="0" w:space="0"/>
          <w:bottom w:val="none" w:color="auto" w:sz="0" w:space="0"/>
          <w:right w:val="none" w:color="auto" w:sz="0" w:space="0"/>
          <w:between w:val="none" w:color="auto" w:sz="0" w:space="0"/>
        </w:pBdr>
        <w:ind w:firstLine="0" w:firstLineChars="0"/>
        <w:rPr>
          <w:rFonts w:hint="default" w:ascii="Times New Roman" w:hAnsi="Times New Roman" w:eastAsia="仿宋_GB2312" w:cs="Times New Roman"/>
          <w:color w:val="auto"/>
          <w:sz w:val="36"/>
          <w:szCs w:val="36"/>
          <w:highlight w:val="none"/>
        </w:rPr>
      </w:pPr>
    </w:p>
    <w:p>
      <w:pPr>
        <w:pStyle w:val="2"/>
        <w:pBdr>
          <w:top w:val="none" w:color="auto" w:sz="0" w:space="0"/>
          <w:left w:val="none" w:color="auto" w:sz="0" w:space="0"/>
          <w:bottom w:val="none" w:color="auto" w:sz="0" w:space="0"/>
          <w:right w:val="none" w:color="auto" w:sz="0" w:space="0"/>
          <w:between w:val="none" w:color="auto" w:sz="0" w:space="0"/>
        </w:pBdr>
        <w:ind w:firstLine="0" w:firstLineChars="0"/>
        <w:rPr>
          <w:rFonts w:hint="default" w:ascii="Times New Roman" w:hAnsi="Times New Roman" w:eastAsia="仿宋_GB2312" w:cs="Times New Roman"/>
          <w:color w:val="auto"/>
          <w:sz w:val="36"/>
          <w:szCs w:val="36"/>
          <w:highlight w:val="none"/>
        </w:rPr>
      </w:pPr>
    </w:p>
    <w:p>
      <w:pPr>
        <w:pStyle w:val="2"/>
        <w:pBdr>
          <w:top w:val="none" w:color="auto" w:sz="0" w:space="0"/>
          <w:left w:val="none" w:color="auto" w:sz="0" w:space="0"/>
          <w:bottom w:val="none" w:color="auto" w:sz="0" w:space="0"/>
          <w:right w:val="none" w:color="auto" w:sz="0" w:space="0"/>
          <w:between w:val="none" w:color="auto" w:sz="0" w:space="0"/>
        </w:pBdr>
        <w:ind w:firstLine="0" w:firstLineChars="0"/>
        <w:rPr>
          <w:rFonts w:hint="default" w:ascii="Times New Roman" w:hAnsi="Times New Roman" w:eastAsia="仿宋_GB2312" w:cs="Times New Roman"/>
          <w:color w:val="auto"/>
          <w:sz w:val="36"/>
          <w:szCs w:val="36"/>
          <w:highlight w:val="none"/>
        </w:rPr>
      </w:pPr>
    </w:p>
    <w:p>
      <w:pPr>
        <w:pStyle w:val="2"/>
        <w:pBdr>
          <w:top w:val="none" w:color="auto" w:sz="0" w:space="0"/>
          <w:left w:val="none" w:color="auto" w:sz="0" w:space="0"/>
          <w:bottom w:val="none" w:color="auto" w:sz="0" w:space="0"/>
          <w:right w:val="none" w:color="auto" w:sz="0" w:space="0"/>
          <w:between w:val="none" w:color="auto" w:sz="0" w:space="0"/>
        </w:pBdr>
        <w:ind w:firstLine="0" w:firstLineChars="0"/>
        <w:rPr>
          <w:rFonts w:hint="default" w:ascii="Times New Roman" w:hAnsi="Times New Roman" w:eastAsia="仿宋_GB2312" w:cs="Times New Roman"/>
          <w:color w:val="auto"/>
          <w:sz w:val="36"/>
          <w:szCs w:val="36"/>
          <w:highlight w:val="none"/>
        </w:rPr>
      </w:pPr>
    </w:p>
    <w:p>
      <w:pPr>
        <w:pStyle w:val="2"/>
        <w:pBdr>
          <w:top w:val="none" w:color="auto" w:sz="0" w:space="0"/>
          <w:left w:val="none" w:color="auto" w:sz="0" w:space="0"/>
          <w:bottom w:val="none" w:color="auto" w:sz="0" w:space="0"/>
          <w:right w:val="none" w:color="auto" w:sz="0" w:space="0"/>
          <w:between w:val="none" w:color="auto" w:sz="0" w:space="0"/>
        </w:pBdr>
        <w:ind w:firstLine="0" w:firstLineChars="0"/>
        <w:rPr>
          <w:rFonts w:hint="default" w:ascii="Times New Roman" w:hAnsi="Times New Roman" w:eastAsia="仿宋_GB2312" w:cs="Times New Roman"/>
          <w:color w:val="auto"/>
          <w:sz w:val="36"/>
          <w:szCs w:val="36"/>
          <w:highlight w:val="none"/>
        </w:rPr>
      </w:pPr>
    </w:p>
    <w:p>
      <w:pPr>
        <w:pStyle w:val="2"/>
        <w:pBdr>
          <w:top w:val="none" w:color="auto" w:sz="0" w:space="0"/>
          <w:left w:val="none" w:color="auto" w:sz="0" w:space="0"/>
          <w:bottom w:val="none" w:color="auto" w:sz="0" w:space="0"/>
          <w:right w:val="none" w:color="auto" w:sz="0" w:space="0"/>
          <w:between w:val="none" w:color="auto" w:sz="0" w:space="0"/>
        </w:pBdr>
        <w:ind w:firstLine="0" w:firstLineChars="0"/>
        <w:rPr>
          <w:rFonts w:hint="default" w:ascii="Times New Roman" w:hAnsi="Times New Roman" w:eastAsia="仿宋_GB2312" w:cs="Times New Roman"/>
          <w:color w:val="auto"/>
          <w:sz w:val="36"/>
          <w:szCs w:val="36"/>
          <w:highlight w:val="none"/>
        </w:rPr>
      </w:pPr>
    </w:p>
    <w:p>
      <w:pPr>
        <w:pBdr>
          <w:top w:val="none" w:color="auto" w:sz="0" w:space="0"/>
          <w:left w:val="none" w:color="auto" w:sz="0" w:space="0"/>
          <w:bottom w:val="none" w:color="auto" w:sz="0" w:space="0"/>
          <w:right w:val="none" w:color="auto" w:sz="0" w:space="0"/>
          <w:between w:val="none" w:color="auto" w:sz="0" w:space="0"/>
        </w:pBdr>
        <w:overflowPunct w:val="0"/>
        <w:autoSpaceDE w:val="0"/>
        <w:autoSpaceDN w:val="0"/>
        <w:ind w:firstLine="0" w:firstLineChars="0"/>
        <w:jc w:val="center"/>
        <w:rPr>
          <w:rFonts w:hint="default" w:ascii="Times New Roman" w:hAnsi="Times New Roman" w:eastAsia="仿宋_GB2312" w:cs="Times New Roman"/>
          <w:color w:val="auto"/>
          <w:sz w:val="36"/>
          <w:szCs w:val="36"/>
          <w:highlight w:val="none"/>
        </w:rPr>
      </w:pPr>
    </w:p>
    <w:p>
      <w:pPr>
        <w:overflowPunct w:val="0"/>
        <w:autoSpaceDE w:val="0"/>
        <w:autoSpaceDN w:val="0"/>
        <w:ind w:firstLine="1084" w:firstLineChars="300"/>
        <w:jc w:val="both"/>
        <w:rPr>
          <w:rFonts w:hint="default" w:ascii="Times New Roman" w:hAnsi="Times New Roman" w:eastAsia="宋体" w:cs="Times New Roman"/>
          <w:b/>
          <w:color w:val="auto"/>
          <w:sz w:val="36"/>
          <w:szCs w:val="36"/>
          <w:highlight w:val="none"/>
          <w:lang w:eastAsia="zh-CN"/>
        </w:rPr>
      </w:pPr>
      <w:r>
        <w:rPr>
          <w:rFonts w:hint="default" w:ascii="Times New Roman" w:hAnsi="Times New Roman" w:cs="Times New Roman"/>
          <w:b/>
          <w:color w:val="auto"/>
          <w:sz w:val="36"/>
          <w:szCs w:val="36"/>
          <w:highlight w:val="none"/>
        </w:rPr>
        <w:t>建设单位：</w:t>
      </w:r>
      <w:r>
        <w:rPr>
          <w:rFonts w:hint="eastAsia" w:cs="Times New Roman"/>
          <w:b/>
          <w:color w:val="auto"/>
          <w:sz w:val="36"/>
          <w:szCs w:val="36"/>
          <w:highlight w:val="none"/>
          <w:lang w:eastAsia="zh-CN"/>
        </w:rPr>
        <w:t>哈密弗光太阳能有限公司</w:t>
      </w:r>
    </w:p>
    <w:p>
      <w:pPr>
        <w:overflowPunct w:val="0"/>
        <w:autoSpaceDE w:val="0"/>
        <w:autoSpaceDN w:val="0"/>
        <w:ind w:firstLine="0" w:firstLineChars="0"/>
        <w:jc w:val="center"/>
        <w:rPr>
          <w:rFonts w:hint="default" w:ascii="Times New Roman" w:hAnsi="Times New Roman" w:cs="Times New Roman"/>
          <w:b/>
          <w:color w:val="auto"/>
          <w:sz w:val="36"/>
          <w:szCs w:val="36"/>
          <w:highlight w:val="none"/>
        </w:rPr>
      </w:pPr>
      <w:r>
        <w:rPr>
          <w:rFonts w:hint="default" w:ascii="Times New Roman" w:hAnsi="Times New Roman" w:cs="Times New Roman"/>
          <w:b/>
          <w:color w:val="auto"/>
          <w:sz w:val="36"/>
          <w:szCs w:val="36"/>
          <w:highlight w:val="none"/>
        </w:rPr>
        <w:t>编制单位：新疆万汇工程项目管理有限公司</w:t>
      </w:r>
    </w:p>
    <w:p>
      <w:pPr>
        <w:overflowPunct w:val="0"/>
        <w:autoSpaceDE w:val="0"/>
        <w:autoSpaceDN w:val="0"/>
        <w:ind w:firstLine="0" w:firstLineChars="0"/>
        <w:jc w:val="center"/>
        <w:rPr>
          <w:rFonts w:hint="default" w:ascii="Times New Roman" w:hAnsi="Times New Roman" w:cs="Times New Roman"/>
          <w:b/>
          <w:color w:val="auto"/>
          <w:sz w:val="36"/>
          <w:szCs w:val="36"/>
          <w:highlight w:val="none"/>
        </w:rPr>
      </w:pPr>
      <w:r>
        <w:rPr>
          <w:rFonts w:hint="default" w:ascii="Times New Roman" w:hAnsi="Times New Roman" w:cs="Times New Roman"/>
          <w:b/>
          <w:color w:val="auto"/>
          <w:sz w:val="36"/>
          <w:szCs w:val="36"/>
          <w:highlight w:val="none"/>
        </w:rPr>
        <w:t>二零二零年</w:t>
      </w:r>
      <w:r>
        <w:rPr>
          <w:rFonts w:hint="default" w:cs="Times New Roman"/>
          <w:b/>
          <w:color w:val="auto"/>
          <w:sz w:val="36"/>
          <w:szCs w:val="36"/>
          <w:highlight w:val="none"/>
          <w:lang w:val="en-US" w:eastAsia="zh-CN"/>
        </w:rPr>
        <w:t>十</w:t>
      </w:r>
      <w:r>
        <w:rPr>
          <w:rFonts w:hint="eastAsia" w:cs="Times New Roman"/>
          <w:b/>
          <w:color w:val="auto"/>
          <w:sz w:val="36"/>
          <w:szCs w:val="36"/>
          <w:highlight w:val="none"/>
          <w:lang w:val="en-US" w:eastAsia="zh-CN"/>
        </w:rPr>
        <w:t>二</w:t>
      </w:r>
      <w:r>
        <w:rPr>
          <w:rFonts w:hint="default" w:ascii="Times New Roman" w:hAnsi="Times New Roman" w:cs="Times New Roman"/>
          <w:b/>
          <w:color w:val="auto"/>
          <w:sz w:val="36"/>
          <w:szCs w:val="36"/>
          <w:highlight w:val="none"/>
        </w:rPr>
        <w:t>月</w:t>
      </w:r>
    </w:p>
    <w:p>
      <w:pPr>
        <w:overflowPunct w:val="0"/>
        <w:autoSpaceDE w:val="0"/>
        <w:autoSpaceDN w:val="0"/>
        <w:ind w:firstLine="0" w:firstLineChars="0"/>
        <w:jc w:val="center"/>
        <w:rPr>
          <w:rFonts w:hint="default" w:ascii="Times New Roman" w:hAnsi="Times New Roman" w:cs="Times New Roman"/>
          <w:b/>
          <w:color w:val="auto"/>
          <w:sz w:val="36"/>
          <w:szCs w:val="36"/>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417" w:bottom="1440" w:left="1520" w:header="851" w:footer="992" w:gutter="0"/>
          <w:pgBorders>
            <w:top w:val="none" w:sz="0" w:space="0"/>
            <w:left w:val="none" w:sz="0" w:space="0"/>
            <w:bottom w:val="none" w:sz="0" w:space="0"/>
            <w:right w:val="none" w:sz="0" w:space="0"/>
          </w:pgBorders>
          <w:pgNumType w:fmt="lowerRoman" w:start="1"/>
          <w:cols w:space="720" w:num="1"/>
          <w:docGrid w:linePitch="326" w:charSpace="0"/>
        </w:sectPr>
      </w:pPr>
    </w:p>
    <w:p>
      <w:pPr>
        <w:ind w:firstLine="0" w:firstLineChars="0"/>
        <w:contextualSpacing/>
        <w:rPr>
          <w:rFonts w:hint="default" w:ascii="Times New Roman" w:hAnsi="Times New Roman" w:eastAsia="仿宋_GB2312" w:cs="Times New Roman"/>
          <w:color w:val="auto"/>
          <w:highlight w:val="none"/>
        </w:rPr>
      </w:pPr>
    </w:p>
    <w:p>
      <w:pPr>
        <w:ind w:firstLine="0" w:firstLineChars="0"/>
        <w:contextualSpacing/>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mc:AlternateContent>
          <mc:Choice Requires="wps">
            <w:drawing>
              <wp:anchor distT="0" distB="0" distL="114300" distR="114300" simplePos="0" relativeHeight="252374016" behindDoc="0" locked="0" layoutInCell="1" allowOverlap="1">
                <wp:simplePos x="0" y="0"/>
                <wp:positionH relativeFrom="column">
                  <wp:posOffset>744220</wp:posOffset>
                </wp:positionH>
                <wp:positionV relativeFrom="paragraph">
                  <wp:posOffset>1699260</wp:posOffset>
                </wp:positionV>
                <wp:extent cx="4639310" cy="821055"/>
                <wp:effectExtent l="0" t="0" r="0" b="0"/>
                <wp:wrapNone/>
                <wp:docPr id="7" name="文本框 2290"/>
                <wp:cNvGraphicFramePr/>
                <a:graphic xmlns:a="http://schemas.openxmlformats.org/drawingml/2006/main">
                  <a:graphicData uri="http://schemas.microsoft.com/office/word/2010/wordprocessingShape">
                    <wps:wsp>
                      <wps:cNvSpPr txBox="1"/>
                      <wps:spPr>
                        <a:xfrm>
                          <a:off x="0" y="0"/>
                          <a:ext cx="4639310" cy="821055"/>
                        </a:xfrm>
                        <a:prstGeom prst="rect">
                          <a:avLst/>
                        </a:prstGeom>
                        <a:noFill/>
                        <a:ln>
                          <a:noFill/>
                        </a:ln>
                      </wps:spPr>
                      <wps:txbx>
                        <w:txbxContent>
                          <w:p>
                            <w:pPr>
                              <w:overflowPunct w:val="0"/>
                              <w:autoSpaceDE w:val="0"/>
                              <w:autoSpaceDN w:val="0"/>
                              <w:ind w:firstLine="0" w:firstLineChars="0"/>
                              <w:jc w:val="center"/>
                              <w:rPr>
                                <w:rFonts w:hint="eastAsia" w:ascii="华文中宋" w:hAnsi="华文中宋" w:eastAsia="华文中宋"/>
                                <w:b/>
                                <w:color w:val="0000FF"/>
                                <w:sz w:val="32"/>
                                <w:szCs w:val="28"/>
                                <w:lang w:eastAsia="zh-CN"/>
                              </w:rPr>
                            </w:pPr>
                            <w:r>
                              <w:rPr>
                                <w:rFonts w:hint="eastAsia" w:ascii="华文中宋" w:hAnsi="华文中宋" w:eastAsia="华文中宋"/>
                                <w:b/>
                                <w:color w:val="0000FF"/>
                                <w:sz w:val="32"/>
                                <w:szCs w:val="28"/>
                              </w:rPr>
                              <w:t>仅用于</w:t>
                            </w:r>
                            <w:r>
                              <w:rPr>
                                <w:rFonts w:hint="eastAsia" w:ascii="华文中宋" w:hAnsi="华文中宋" w:eastAsia="华文中宋"/>
                                <w:b/>
                                <w:color w:val="0000FF"/>
                                <w:sz w:val="32"/>
                                <w:szCs w:val="28"/>
                                <w:lang w:eastAsia="zh-CN"/>
                              </w:rPr>
                              <w:t>弗光哈密一期20MWp光伏并网发电项目</w:t>
                            </w:r>
                          </w:p>
                          <w:p>
                            <w:pPr>
                              <w:overflowPunct w:val="0"/>
                              <w:autoSpaceDE w:val="0"/>
                              <w:autoSpaceDN w:val="0"/>
                              <w:ind w:firstLine="0" w:firstLineChars="0"/>
                              <w:jc w:val="center"/>
                              <w:rPr>
                                <w:rFonts w:ascii="华文中宋" w:hAnsi="华文中宋" w:eastAsia="华文中宋"/>
                                <w:b/>
                                <w:color w:val="0000FF"/>
                                <w:sz w:val="32"/>
                                <w:szCs w:val="28"/>
                              </w:rPr>
                            </w:pPr>
                            <w:r>
                              <w:rPr>
                                <w:rFonts w:hint="eastAsia" w:ascii="华文中宋" w:hAnsi="华文中宋" w:eastAsia="华文中宋"/>
                                <w:b/>
                                <w:color w:val="0000FF"/>
                                <w:sz w:val="32"/>
                                <w:szCs w:val="28"/>
                              </w:rPr>
                              <w:t>否则无效</w:t>
                            </w:r>
                          </w:p>
                        </w:txbxContent>
                      </wps:txbx>
                      <wps:bodyPr lIns="18000" tIns="36000" rIns="18000" bIns="36000" upright="1"/>
                    </wps:wsp>
                  </a:graphicData>
                </a:graphic>
              </wp:anchor>
            </w:drawing>
          </mc:Choice>
          <mc:Fallback>
            <w:pict>
              <v:shape id="文本框 2290" o:spid="_x0000_s1026" o:spt="202" type="#_x0000_t202" style="position:absolute;left:0pt;margin-left:58.6pt;margin-top:133.8pt;height:64.65pt;width:365.3pt;z-index:252374016;mso-width-relative:page;mso-height-relative:page;" filled="f" stroked="f" coordsize="21600,21600" o:gfxdata="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ho9R3YAAAACwEAAA8AAAAAAAAAAQAgAAAAIgAAAGRycy9kb3ducmV2&#10;LnhtbFBLAQIUABQAAAAIAIdO4kBiCwiDwwEAAIUDAAAOAAAAAAAAAAEAIAAAACcBAABkcnMvZTJv&#10;RG9jLnhtbFBLBQYAAAAABgAGAFkBAABcBQAAAAA=&#10;">
                <v:fill on="f" focussize="0,0"/>
                <v:stroke on="f"/>
                <v:imagedata o:title=""/>
                <o:lock v:ext="edit" aspectratio="f"/>
                <v:textbox inset="0.5mm,1mm,0.5mm,1mm">
                  <w:txbxContent>
                    <w:p>
                      <w:pPr>
                        <w:overflowPunct w:val="0"/>
                        <w:autoSpaceDE w:val="0"/>
                        <w:autoSpaceDN w:val="0"/>
                        <w:ind w:firstLine="0" w:firstLineChars="0"/>
                        <w:jc w:val="center"/>
                        <w:rPr>
                          <w:rFonts w:hint="eastAsia" w:ascii="华文中宋" w:hAnsi="华文中宋" w:eastAsia="华文中宋"/>
                          <w:b/>
                          <w:color w:val="0000FF"/>
                          <w:sz w:val="32"/>
                          <w:szCs w:val="28"/>
                          <w:lang w:eastAsia="zh-CN"/>
                        </w:rPr>
                      </w:pPr>
                      <w:r>
                        <w:rPr>
                          <w:rFonts w:hint="eastAsia" w:ascii="华文中宋" w:hAnsi="华文中宋" w:eastAsia="华文中宋"/>
                          <w:b/>
                          <w:color w:val="0000FF"/>
                          <w:sz w:val="32"/>
                          <w:szCs w:val="28"/>
                        </w:rPr>
                        <w:t>仅用于</w:t>
                      </w:r>
                      <w:r>
                        <w:rPr>
                          <w:rFonts w:hint="eastAsia" w:ascii="华文中宋" w:hAnsi="华文中宋" w:eastAsia="华文中宋"/>
                          <w:b/>
                          <w:color w:val="0000FF"/>
                          <w:sz w:val="32"/>
                          <w:szCs w:val="28"/>
                          <w:lang w:eastAsia="zh-CN"/>
                        </w:rPr>
                        <w:t>弗光哈密一期20MWp光伏并网发电项目</w:t>
                      </w:r>
                    </w:p>
                    <w:p>
                      <w:pPr>
                        <w:overflowPunct w:val="0"/>
                        <w:autoSpaceDE w:val="0"/>
                        <w:autoSpaceDN w:val="0"/>
                        <w:ind w:firstLine="0" w:firstLineChars="0"/>
                        <w:jc w:val="center"/>
                        <w:rPr>
                          <w:rFonts w:ascii="华文中宋" w:hAnsi="华文中宋" w:eastAsia="华文中宋"/>
                          <w:b/>
                          <w:color w:val="0000FF"/>
                          <w:sz w:val="32"/>
                          <w:szCs w:val="28"/>
                        </w:rPr>
                      </w:pPr>
                      <w:r>
                        <w:rPr>
                          <w:rFonts w:hint="eastAsia" w:ascii="华文中宋" w:hAnsi="华文中宋" w:eastAsia="华文中宋"/>
                          <w:b/>
                          <w:color w:val="0000FF"/>
                          <w:sz w:val="32"/>
                          <w:szCs w:val="28"/>
                        </w:rPr>
                        <w:t>否则无效</w:t>
                      </w:r>
                    </w:p>
                  </w:txbxContent>
                </v:textbox>
              </v:shape>
            </w:pict>
          </mc:Fallback>
        </mc:AlternateContent>
      </w:r>
      <w:r>
        <w:rPr>
          <w:rFonts w:hint="default" w:ascii="Times New Roman" w:hAnsi="Times New Roman" w:eastAsia="仿宋_GB2312" w:cs="Times New Roman"/>
          <w:color w:val="auto"/>
          <w:highlight w:val="none"/>
        </w:rPr>
        <w:drawing>
          <wp:inline distT="0" distB="0" distL="0" distR="0">
            <wp:extent cx="5629910" cy="4057650"/>
            <wp:effectExtent l="0" t="0" r="0" b="0"/>
            <wp:docPr id="1" name="图片 1" descr="C:\Users\Administrator\Desktop\方案资质-新疆万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方案资质-新疆万汇.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629910" cy="4057813"/>
                    </a:xfrm>
                    <a:prstGeom prst="rect">
                      <a:avLst/>
                    </a:prstGeom>
                    <a:noFill/>
                    <a:ln>
                      <a:noFill/>
                    </a:ln>
                  </pic:spPr>
                </pic:pic>
              </a:graphicData>
            </a:graphic>
          </wp:inline>
        </w:drawing>
      </w:r>
    </w:p>
    <w:p>
      <w:pPr>
        <w:ind w:firstLine="0" w:firstLineChars="0"/>
        <w:contextualSpacing/>
        <w:rPr>
          <w:rFonts w:hint="default" w:ascii="Times New Roman" w:hAnsi="Times New Roman" w:eastAsia="仿宋_GB2312" w:cs="Times New Roman"/>
          <w:color w:val="auto"/>
          <w:highlight w:val="none"/>
        </w:rPr>
      </w:pPr>
    </w:p>
    <w:p>
      <w:pPr>
        <w:ind w:firstLine="0" w:firstLineChars="0"/>
        <w:contextualSpacing/>
        <w:rPr>
          <w:rFonts w:hint="default" w:ascii="Times New Roman" w:hAnsi="Times New Roman" w:eastAsia="仿宋_GB2312" w:cs="Times New Roman"/>
          <w:color w:val="auto"/>
          <w:highlight w:val="none"/>
        </w:rPr>
      </w:pPr>
    </w:p>
    <w:p>
      <w:pPr>
        <w:ind w:firstLine="0" w:firstLineChars="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pacing w:val="40"/>
          <w:sz w:val="32"/>
          <w:szCs w:val="32"/>
          <w:highlight w:val="none"/>
        </w:rPr>
        <w:t>设计单位</w:t>
      </w:r>
      <w:r>
        <w:rPr>
          <w:rFonts w:hint="default" w:ascii="Times New Roman" w:hAnsi="Times New Roman" w:eastAsia="仿宋_GB2312" w:cs="Times New Roman"/>
          <w:color w:val="auto"/>
          <w:sz w:val="32"/>
          <w:szCs w:val="32"/>
          <w:highlight w:val="none"/>
        </w:rPr>
        <w:t>：新疆万汇工程项目管理有限公司</w:t>
      </w:r>
    </w:p>
    <w:p>
      <w:pPr>
        <w:ind w:firstLine="0" w:firstLineChars="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通讯地址：新疆乌鲁木齐经济技术开发区（头屯河区）凤凰山街353号亚欧贸易中心2号商务综合楼1910室</w:t>
      </w:r>
    </w:p>
    <w:p>
      <w:pPr>
        <w:ind w:firstLine="0" w:firstLineChars="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邮政编码：830000</w:t>
      </w:r>
    </w:p>
    <w:p>
      <w:pPr>
        <w:ind w:firstLine="0" w:firstLineChars="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项目联系人：张豫珠</w:t>
      </w:r>
    </w:p>
    <w:p>
      <w:pPr>
        <w:ind w:firstLine="0" w:firstLineChars="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pacing w:val="38"/>
          <w:sz w:val="32"/>
          <w:szCs w:val="32"/>
          <w:highlight w:val="none"/>
        </w:rPr>
        <w:t>联系电话</w:t>
      </w:r>
      <w:r>
        <w:rPr>
          <w:rFonts w:hint="default" w:ascii="Times New Roman" w:hAnsi="Times New Roman" w:eastAsia="仿宋_GB2312" w:cs="Times New Roman"/>
          <w:color w:val="auto"/>
          <w:sz w:val="32"/>
          <w:szCs w:val="32"/>
          <w:highlight w:val="none"/>
        </w:rPr>
        <w:t>：13079964816</w:t>
      </w:r>
    </w:p>
    <w:p>
      <w:pPr>
        <w:ind w:firstLine="0" w:firstLineChars="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邮箱：1320710278@qq.com</w:t>
      </w:r>
    </w:p>
    <w:p>
      <w:pPr>
        <w:ind w:firstLine="0" w:firstLineChars="0"/>
        <w:contextualSpacing/>
        <w:rPr>
          <w:rFonts w:hint="default" w:ascii="Times New Roman" w:hAnsi="Times New Roman" w:eastAsia="仿宋_GB2312" w:cs="Times New Roman"/>
          <w:color w:val="auto"/>
          <w:highlight w:val="none"/>
        </w:rPr>
      </w:pPr>
    </w:p>
    <w:p>
      <w:pPr>
        <w:ind w:firstLine="0" w:firstLineChars="0"/>
        <w:contextualSpacing/>
        <w:rPr>
          <w:rFonts w:hint="default" w:ascii="Times New Roman" w:hAnsi="Times New Roman" w:eastAsia="仿宋_GB2312" w:cs="Times New Roman"/>
          <w:color w:val="auto"/>
          <w:highlight w:val="none"/>
        </w:rPr>
      </w:pPr>
    </w:p>
    <w:p>
      <w:pPr>
        <w:ind w:firstLine="0" w:firstLineChars="0"/>
        <w:contextualSpacing/>
        <w:rPr>
          <w:rFonts w:hint="default" w:ascii="Times New Roman" w:hAnsi="Times New Roman" w:eastAsia="仿宋_GB2312" w:cs="Times New Roman"/>
          <w:color w:val="auto"/>
          <w:highlight w:val="none"/>
        </w:rPr>
        <w:sectPr>
          <w:pgSz w:w="11906" w:h="16838"/>
          <w:pgMar w:top="1440" w:right="1520" w:bottom="1440" w:left="1520" w:header="851" w:footer="992" w:gutter="0"/>
          <w:pgBorders>
            <w:top w:val="none" w:sz="0" w:space="0"/>
            <w:left w:val="none" w:sz="0" w:space="0"/>
            <w:bottom w:val="none" w:sz="0" w:space="0"/>
            <w:right w:val="none" w:sz="0" w:space="0"/>
          </w:pgBorders>
          <w:pgNumType w:fmt="lowerRoman" w:start="1"/>
          <w:cols w:space="720" w:num="1"/>
          <w:docGrid w:linePitch="326" w:charSpace="0"/>
        </w:sectPr>
      </w:pPr>
    </w:p>
    <w:p>
      <w:pPr>
        <w:ind w:firstLine="0" w:firstLineChars="0"/>
        <w:jc w:val="center"/>
        <w:rPr>
          <w:rFonts w:hint="eastAsia" w:ascii="Times New Roman" w:hAnsi="Times New Roman" w:eastAsia="仿宋_GB2312" w:cs="Times New Roman"/>
          <w:b/>
          <w:color w:val="auto"/>
          <w:sz w:val="32"/>
          <w:szCs w:val="32"/>
          <w:highlight w:val="none"/>
          <w:lang w:eastAsia="zh-CN"/>
        </w:rPr>
      </w:pPr>
      <w:r>
        <w:rPr>
          <w:rFonts w:hint="eastAsia" w:eastAsia="仿宋_GB2312" w:cs="Times New Roman"/>
          <w:b/>
          <w:color w:val="auto"/>
          <w:sz w:val="32"/>
          <w:szCs w:val="32"/>
          <w:highlight w:val="none"/>
          <w:lang w:eastAsia="zh-CN"/>
        </w:rPr>
        <w:t>弗光哈密一期20MWp光伏并网发电项目</w:t>
      </w:r>
    </w:p>
    <w:p>
      <w:pPr>
        <w:ind w:firstLine="0" w:firstLineChars="0"/>
        <w:jc w:val="center"/>
        <w:rPr>
          <w:rFonts w:hint="default" w:ascii="Times New Roman" w:hAnsi="Times New Roman" w:eastAsia="仿宋_GB2312" w:cs="Times New Roman"/>
          <w:b/>
          <w:color w:val="auto"/>
          <w:sz w:val="32"/>
          <w:szCs w:val="32"/>
          <w:highlight w:val="none"/>
        </w:rPr>
      </w:pPr>
      <w:r>
        <w:rPr>
          <w:rFonts w:hint="default" w:ascii="Times New Roman" w:hAnsi="Times New Roman" w:eastAsia="仿宋_GB2312" w:cs="Times New Roman"/>
          <w:b/>
          <w:color w:val="auto"/>
          <w:sz w:val="32"/>
          <w:szCs w:val="32"/>
          <w:highlight w:val="none"/>
        </w:rPr>
        <w:t>水土保持方案报告书</w:t>
      </w:r>
    </w:p>
    <w:p>
      <w:pPr>
        <w:pStyle w:val="2"/>
        <w:pBdr>
          <w:bottom w:val="none" w:color="auto" w:sz="0" w:space="0"/>
        </w:pBdr>
        <w:spacing w:before="120" w:beforeLines="50" w:line="360" w:lineRule="auto"/>
        <w:ind w:firstLine="643"/>
        <w:rPr>
          <w:rFonts w:hint="default" w:ascii="Times New Roman" w:hAnsi="Times New Roman" w:eastAsia="仿宋_GB2312" w:cs="Times New Roman"/>
          <w:b/>
          <w:color w:val="auto"/>
          <w:kern w:val="2"/>
          <w:sz w:val="32"/>
          <w:szCs w:val="32"/>
          <w:highlight w:val="none"/>
        </w:rPr>
      </w:pPr>
      <w:r>
        <w:rPr>
          <w:rFonts w:hint="default" w:ascii="Times New Roman" w:hAnsi="Times New Roman" w:eastAsia="仿宋_GB2312" w:cs="Times New Roman"/>
          <w:b/>
          <w:color w:val="auto"/>
          <w:kern w:val="2"/>
          <w:sz w:val="32"/>
          <w:szCs w:val="32"/>
          <w:highlight w:val="none"/>
        </w:rPr>
        <w:t>责任页</w:t>
      </w:r>
    </w:p>
    <w:p>
      <w:pPr>
        <w:pStyle w:val="2"/>
        <w:pBdr>
          <w:bottom w:val="none" w:color="auto" w:sz="0" w:space="0"/>
        </w:pBdr>
        <w:spacing w:line="360" w:lineRule="auto"/>
        <w:ind w:firstLine="643"/>
        <w:rPr>
          <w:rFonts w:hint="default" w:ascii="Times New Roman" w:hAnsi="Times New Roman" w:eastAsia="仿宋_GB2312" w:cs="Times New Roman"/>
          <w:b/>
          <w:color w:val="auto"/>
          <w:kern w:val="2"/>
          <w:sz w:val="32"/>
          <w:szCs w:val="32"/>
          <w:highlight w:val="none"/>
        </w:rPr>
      </w:pPr>
      <w:r>
        <w:rPr>
          <w:rFonts w:hint="default" w:ascii="Times New Roman" w:hAnsi="Times New Roman" w:eastAsia="仿宋_GB2312" w:cs="Times New Roman"/>
          <w:b/>
          <w:color w:val="auto"/>
          <w:sz w:val="32"/>
          <w:szCs w:val="32"/>
          <w:highlight w:val="none"/>
        </w:rPr>
        <w:t>（新疆万汇工程项目管理有限公司）</w:t>
      </w:r>
    </w:p>
    <w:p>
      <w:pPr>
        <w:ind w:left="602" w:hanging="602" w:hangingChars="200"/>
        <w:rPr>
          <w:rFonts w:hint="default" w:ascii="Times New Roman" w:hAnsi="Times New Roman" w:eastAsia="仿宋_GB2312" w:cs="Times New Roman"/>
          <w:b/>
          <w:color w:val="auto"/>
          <w:sz w:val="30"/>
          <w:szCs w:val="30"/>
          <w:highlight w:val="none"/>
        </w:rPr>
      </w:pPr>
    </w:p>
    <w:p>
      <w:pPr>
        <w:ind w:left="602" w:hanging="602" w:hangingChars="200"/>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b/>
          <w:color w:val="auto"/>
          <w:sz w:val="30"/>
          <w:szCs w:val="30"/>
          <w:highlight w:val="none"/>
        </w:rPr>
        <w:t>批准：</w:t>
      </w:r>
      <w:r>
        <w:rPr>
          <w:rFonts w:hint="default" w:ascii="Times New Roman" w:hAnsi="Times New Roman" w:eastAsia="仿宋_GB2312" w:cs="Times New Roman"/>
          <w:color w:val="auto"/>
          <w:sz w:val="30"/>
          <w:szCs w:val="30"/>
          <w:highlight w:val="none"/>
        </w:rPr>
        <w:t>顾会刚（总经理）</w:t>
      </w:r>
    </w:p>
    <w:p>
      <w:pPr>
        <w:ind w:left="602" w:hanging="602" w:hangingChars="200"/>
        <w:rPr>
          <w:rFonts w:hint="default" w:ascii="Times New Roman" w:hAnsi="Times New Roman" w:eastAsia="仿宋_GB2312" w:cs="Times New Roman"/>
          <w:b/>
          <w:color w:val="auto"/>
          <w:sz w:val="30"/>
          <w:szCs w:val="30"/>
          <w:highlight w:val="none"/>
        </w:rPr>
      </w:pPr>
    </w:p>
    <w:p>
      <w:pPr>
        <w:ind w:left="602" w:hanging="602" w:hangingChars="200"/>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b/>
          <w:color w:val="auto"/>
          <w:sz w:val="30"/>
          <w:szCs w:val="30"/>
          <w:highlight w:val="none"/>
        </w:rPr>
        <w:t>核定：</w:t>
      </w:r>
      <w:r>
        <w:rPr>
          <w:rFonts w:hint="default" w:ascii="Times New Roman" w:hAnsi="Times New Roman" w:eastAsia="仿宋_GB2312" w:cs="Times New Roman"/>
          <w:color w:val="auto"/>
          <w:sz w:val="30"/>
          <w:szCs w:val="30"/>
          <w:highlight w:val="none"/>
        </w:rPr>
        <w:t>佟婵娟（主任）</w:t>
      </w:r>
    </w:p>
    <w:p>
      <w:pPr>
        <w:ind w:left="602" w:hanging="602" w:hangingChars="200"/>
        <w:rPr>
          <w:rFonts w:hint="default" w:ascii="Times New Roman" w:hAnsi="Times New Roman" w:eastAsia="仿宋_GB2312" w:cs="Times New Roman"/>
          <w:b/>
          <w:color w:val="auto"/>
          <w:sz w:val="30"/>
          <w:szCs w:val="30"/>
          <w:highlight w:val="none"/>
        </w:rPr>
      </w:pPr>
    </w:p>
    <w:p>
      <w:pPr>
        <w:ind w:left="602" w:hanging="602" w:hangingChars="200"/>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b/>
          <w:color w:val="auto"/>
          <w:sz w:val="30"/>
          <w:szCs w:val="30"/>
          <w:highlight w:val="none"/>
        </w:rPr>
        <w:t>审查：</w:t>
      </w:r>
      <w:r>
        <w:rPr>
          <w:rFonts w:hint="default" w:ascii="Times New Roman" w:hAnsi="Times New Roman" w:eastAsia="仿宋_GB2312" w:cs="Times New Roman"/>
          <w:color w:val="auto"/>
          <w:sz w:val="30"/>
          <w:szCs w:val="30"/>
          <w:highlight w:val="none"/>
        </w:rPr>
        <w:t>杨海英（工程师）</w:t>
      </w:r>
    </w:p>
    <w:p>
      <w:pPr>
        <w:ind w:left="602" w:hanging="602" w:hangingChars="200"/>
        <w:rPr>
          <w:rFonts w:hint="default" w:ascii="Times New Roman" w:hAnsi="Times New Roman" w:eastAsia="仿宋_GB2312" w:cs="Times New Roman"/>
          <w:b/>
          <w:color w:val="auto"/>
          <w:sz w:val="30"/>
          <w:szCs w:val="30"/>
          <w:highlight w:val="none"/>
        </w:rPr>
      </w:pPr>
    </w:p>
    <w:p>
      <w:pPr>
        <w:ind w:left="602" w:hanging="602" w:hangingChars="200"/>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b/>
          <w:color w:val="auto"/>
          <w:sz w:val="30"/>
          <w:szCs w:val="30"/>
          <w:highlight w:val="none"/>
        </w:rPr>
        <w:t>校核：</w:t>
      </w:r>
      <w:r>
        <w:rPr>
          <w:rFonts w:hint="default" w:ascii="Times New Roman" w:hAnsi="Times New Roman" w:eastAsia="仿宋_GB2312" w:cs="Times New Roman"/>
          <w:color w:val="auto"/>
          <w:sz w:val="30"/>
          <w:szCs w:val="30"/>
          <w:highlight w:val="none"/>
        </w:rPr>
        <w:t>马勇强（工程师）</w:t>
      </w:r>
    </w:p>
    <w:p>
      <w:pPr>
        <w:ind w:left="602" w:hanging="602" w:hangingChars="200"/>
        <w:rPr>
          <w:rFonts w:hint="default" w:ascii="Times New Roman" w:hAnsi="Times New Roman" w:eastAsia="仿宋_GB2312" w:cs="Times New Roman"/>
          <w:b/>
          <w:color w:val="auto"/>
          <w:sz w:val="30"/>
          <w:szCs w:val="30"/>
          <w:highlight w:val="none"/>
        </w:rPr>
      </w:pPr>
    </w:p>
    <w:p>
      <w:pPr>
        <w:ind w:left="602" w:hanging="602" w:hangingChars="200"/>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b/>
          <w:color w:val="auto"/>
          <w:sz w:val="30"/>
          <w:szCs w:val="30"/>
          <w:highlight w:val="none"/>
        </w:rPr>
        <w:t>项目负责人：</w:t>
      </w:r>
      <w:r>
        <w:rPr>
          <w:rFonts w:hint="default" w:ascii="Times New Roman" w:hAnsi="Times New Roman" w:eastAsia="仿宋_GB2312" w:cs="Times New Roman"/>
          <w:color w:val="auto"/>
          <w:sz w:val="30"/>
          <w:szCs w:val="30"/>
          <w:highlight w:val="none"/>
          <w:lang w:eastAsia="zh-CN"/>
        </w:rPr>
        <w:t>张豫珠</w:t>
      </w:r>
      <w:r>
        <w:rPr>
          <w:rFonts w:hint="default" w:ascii="Times New Roman" w:hAnsi="Times New Roman" w:eastAsia="仿宋_GB2312" w:cs="Times New Roman"/>
          <w:color w:val="auto"/>
          <w:sz w:val="30"/>
          <w:szCs w:val="30"/>
          <w:highlight w:val="none"/>
        </w:rPr>
        <w:t>（工程师）</w:t>
      </w:r>
    </w:p>
    <w:p>
      <w:pPr>
        <w:ind w:left="602" w:hanging="602" w:hangingChars="200"/>
        <w:rPr>
          <w:rFonts w:hint="default" w:ascii="Times New Roman" w:hAnsi="Times New Roman" w:eastAsia="仿宋_GB2312" w:cs="Times New Roman"/>
          <w:b/>
          <w:color w:val="auto"/>
          <w:sz w:val="30"/>
          <w:szCs w:val="30"/>
          <w:highlight w:val="none"/>
        </w:rPr>
      </w:pPr>
    </w:p>
    <w:p>
      <w:pPr>
        <w:spacing w:line="480" w:lineRule="auto"/>
        <w:ind w:left="602" w:hanging="602" w:hangingChars="200"/>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b/>
          <w:color w:val="auto"/>
          <w:sz w:val="30"/>
          <w:szCs w:val="30"/>
          <w:highlight w:val="none"/>
        </w:rPr>
        <w:t>编写：</w:t>
      </w:r>
      <w:r>
        <w:rPr>
          <w:rFonts w:hint="default" w:ascii="Times New Roman" w:hAnsi="Times New Roman" w:eastAsia="仿宋_GB2312" w:cs="Times New Roman"/>
          <w:color w:val="auto"/>
          <w:sz w:val="30"/>
          <w:szCs w:val="30"/>
          <w:highlight w:val="none"/>
        </w:rPr>
        <w:t>魏占伟（参编第三章至第六章）</w:t>
      </w:r>
    </w:p>
    <w:p>
      <w:pPr>
        <w:spacing w:line="480" w:lineRule="auto"/>
        <w:ind w:left="600" w:hanging="600" w:hangingChars="200"/>
        <w:rPr>
          <w:rFonts w:hint="default" w:ascii="Times New Roman" w:hAnsi="Times New Roman" w:eastAsia="仿宋_GB2312" w:cs="Times New Roman"/>
          <w:color w:val="auto"/>
          <w:sz w:val="30"/>
          <w:szCs w:val="30"/>
          <w:highlight w:val="none"/>
        </w:rPr>
      </w:pPr>
    </w:p>
    <w:p>
      <w:pPr>
        <w:ind w:left="600" w:leftChars="250" w:firstLine="300" w:firstLineChars="100"/>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lang w:eastAsia="zh-CN"/>
        </w:rPr>
        <w:t>陈现辉</w:t>
      </w:r>
      <w:r>
        <w:rPr>
          <w:rFonts w:hint="default" w:ascii="Times New Roman" w:hAnsi="Times New Roman" w:eastAsia="仿宋_GB2312" w:cs="Times New Roman"/>
          <w:color w:val="auto"/>
          <w:sz w:val="30"/>
          <w:szCs w:val="30"/>
          <w:highlight w:val="none"/>
        </w:rPr>
        <w:t>（参编第一、二章</w:t>
      </w:r>
      <w:r>
        <w:rPr>
          <w:rFonts w:hint="default" w:ascii="Times New Roman" w:hAnsi="Times New Roman"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rPr>
        <w:t>第七、八章以及附件附图）</w:t>
      </w:r>
    </w:p>
    <w:p>
      <w:pPr>
        <w:ind w:left="600" w:hanging="600" w:hangingChars="200"/>
        <w:rPr>
          <w:rFonts w:hint="default" w:ascii="Times New Roman" w:hAnsi="Times New Roman" w:eastAsia="仿宋_GB2312" w:cs="Times New Roman"/>
          <w:color w:val="auto"/>
          <w:sz w:val="30"/>
          <w:szCs w:val="30"/>
          <w:highlight w:val="none"/>
          <w:lang w:eastAsia="zh-CN"/>
        </w:rPr>
      </w:pPr>
    </w:p>
    <w:p>
      <w:pPr>
        <w:ind w:firstLine="0" w:firstLineChars="0"/>
        <w:rPr>
          <w:rFonts w:hint="default" w:ascii="Times New Roman" w:hAnsi="Times New Roman" w:eastAsia="仿宋_GB2312" w:cs="Times New Roman"/>
          <w:color w:val="auto"/>
          <w:sz w:val="30"/>
          <w:szCs w:val="30"/>
          <w:highlight w:val="none"/>
        </w:rPr>
      </w:pPr>
    </w:p>
    <w:p>
      <w:pPr>
        <w:ind w:firstLine="0" w:firstLineChars="0"/>
        <w:jc w:val="center"/>
        <w:rPr>
          <w:rFonts w:hint="default" w:ascii="Times New Roman" w:hAnsi="Times New Roman" w:cs="Times New Roman"/>
          <w:color w:val="auto"/>
          <w:sz w:val="36"/>
          <w:szCs w:val="36"/>
          <w:highlight w:val="none"/>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417" w:bottom="1440" w:left="1417" w:header="851" w:footer="992" w:gutter="0"/>
          <w:pgBorders>
            <w:top w:val="none" w:sz="0" w:space="0"/>
            <w:left w:val="none" w:sz="0" w:space="0"/>
            <w:bottom w:val="none" w:sz="0" w:space="0"/>
            <w:right w:val="none" w:sz="0" w:space="0"/>
          </w:pgBorders>
          <w:pgNumType w:fmt="upperRoman" w:start="1"/>
          <w:cols w:space="720" w:num="1"/>
          <w:docGrid w:linePitch="326" w:charSpace="0"/>
        </w:sectPr>
      </w:pPr>
    </w:p>
    <w:p>
      <w:pPr>
        <w:ind w:firstLine="0" w:firstLineChars="0"/>
        <w:jc w:val="center"/>
        <w:rPr>
          <w:rFonts w:hint="default" w:ascii="Times New Roman" w:hAnsi="Times New Roman" w:eastAsia="黑体" w:cs="Times New Roman"/>
          <w:b/>
          <w:color w:val="auto"/>
          <w:sz w:val="32"/>
          <w:highlight w:val="none"/>
        </w:rPr>
      </w:pPr>
      <w:r>
        <w:rPr>
          <w:rFonts w:hint="default" w:ascii="Times New Roman" w:hAnsi="Times New Roman" w:eastAsia="黑体" w:cs="Times New Roman"/>
          <w:b/>
          <w:color w:val="auto"/>
          <w:sz w:val="32"/>
          <w:highlight w:val="none"/>
        </w:rPr>
        <w:t>目 录</w:t>
      </w:r>
    </w:p>
    <w:p>
      <w:pPr>
        <w:pStyle w:val="20"/>
        <w:tabs>
          <w:tab w:val="right" w:leader="dot" w:pos="8958"/>
        </w:tabs>
        <w:jc w:val="left"/>
        <w:rPr>
          <w:rFonts w:hint="eastAsia" w:ascii="新宋体" w:hAnsi="新宋体" w:eastAsia="新宋体" w:cs="新宋体"/>
          <w:b w:val="0"/>
          <w:bCs w:val="0"/>
          <w:sz w:val="24"/>
          <w:szCs w:val="24"/>
        </w:rPr>
      </w:pPr>
      <w:r>
        <w:rPr>
          <w:rStyle w:val="34"/>
          <w:rFonts w:hint="eastAsia" w:ascii="新宋体" w:hAnsi="新宋体" w:eastAsia="新宋体" w:cs="新宋体"/>
          <w:b w:val="0"/>
          <w:bCs w:val="0"/>
          <w:color w:val="auto"/>
          <w:kern w:val="2"/>
          <w:sz w:val="24"/>
          <w:szCs w:val="24"/>
          <w:highlight w:val="none"/>
          <w:lang w:val="en-US" w:eastAsia="zh-CN" w:bidi="ar-SA"/>
        </w:rPr>
        <w:fldChar w:fldCharType="begin"/>
      </w:r>
      <w:r>
        <w:rPr>
          <w:rStyle w:val="34"/>
          <w:rFonts w:hint="eastAsia" w:ascii="新宋体" w:hAnsi="新宋体" w:eastAsia="新宋体" w:cs="新宋体"/>
          <w:b w:val="0"/>
          <w:bCs w:val="0"/>
          <w:color w:val="auto"/>
          <w:kern w:val="2"/>
          <w:sz w:val="24"/>
          <w:szCs w:val="24"/>
          <w:highlight w:val="none"/>
          <w:lang w:val="en-US" w:eastAsia="zh-CN" w:bidi="ar-SA"/>
        </w:rPr>
        <w:instrText xml:space="preserve"> TOC \o "1-2" \h \z \u </w:instrText>
      </w:r>
      <w:r>
        <w:rPr>
          <w:rStyle w:val="34"/>
          <w:rFonts w:hint="eastAsia" w:ascii="新宋体" w:hAnsi="新宋体" w:eastAsia="新宋体" w:cs="新宋体"/>
          <w:b w:val="0"/>
          <w:bCs w:val="0"/>
          <w:color w:val="auto"/>
          <w:kern w:val="2"/>
          <w:sz w:val="24"/>
          <w:szCs w:val="24"/>
          <w:highlight w:val="none"/>
          <w:lang w:val="en-US" w:eastAsia="zh-CN" w:bidi="ar-SA"/>
        </w:rPr>
        <w:fldChar w:fldCharType="separate"/>
      </w: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_Toc7621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1 综合说明</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_Toc7621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1</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_Toc10759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1.1项目简况</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_Toc10759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1</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_Toc29661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1.2 编制依据</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_Toc29661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5</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_Toc252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1.3 设计水平年</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_Toc252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8</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_Toc13936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1.4 水土流失防治责任范围</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_Toc13936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8</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_Toc27022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1.5 水土流失防治目标</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_Toc27022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9</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_Toc22515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1.6 项目水土保持评价结论</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_Toc22515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10</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_Toc12022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1.7 水土流失预测结果</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_Toc12022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12</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_Toc22281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1.8 水土保持措施布设成果</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_Toc22281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13</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_Toc23659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1.9 水土保持监测方案</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_Toc23659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14</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_Toc1188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1.10 水土保持投资及效益分析成果</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_Toc1188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15</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_Toc3913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1.11 结论</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_Toc3913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15</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0"/>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_Toc8222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2 项目概况</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_Toc8222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18</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_Toc27459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2.1项目组成及工程布置</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_Toc27459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18</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_Toc8465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2.2 施工组织</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_Toc8465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32</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_Toc18784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2.3 工程占地</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_Toc18784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35</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_Toc1273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2.4 土石方平衡</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_Toc1273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36</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_Toc16269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2.5 拆迁（移民）安置与专项设施改（迁）建</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_Toc16269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39</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_Toc26344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2.6 施工进度</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_Toc26344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39</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_Toc19974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2.7 自然概况</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_Toc19974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40</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_Toc6608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lang w:val="en-US" w:eastAsia="zh-CN"/>
        </w:rPr>
        <w:t>2.8防洪</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_Toc6608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42</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_Toc10483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2.</w:t>
      </w:r>
      <w:r>
        <w:rPr>
          <w:rFonts w:hint="eastAsia" w:ascii="新宋体" w:hAnsi="新宋体" w:eastAsia="新宋体" w:cs="新宋体"/>
          <w:b w:val="0"/>
          <w:bCs w:val="0"/>
          <w:sz w:val="24"/>
          <w:szCs w:val="24"/>
          <w:highlight w:val="none"/>
          <w:lang w:val="en-US" w:eastAsia="zh-CN"/>
        </w:rPr>
        <w:t xml:space="preserve">9 </w:t>
      </w:r>
      <w:r>
        <w:rPr>
          <w:rFonts w:hint="eastAsia" w:ascii="新宋体" w:hAnsi="新宋体" w:eastAsia="新宋体" w:cs="新宋体"/>
          <w:b w:val="0"/>
          <w:bCs w:val="0"/>
          <w:sz w:val="24"/>
          <w:szCs w:val="24"/>
          <w:highlight w:val="none"/>
        </w:rPr>
        <w:t>其他</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_Toc10483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43</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0"/>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_Toc564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3 项目水土保持评价</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_Toc564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44</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_Toc2016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3.1 主体工程选址（线）水土保持评价</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_Toc2016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44</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_Toc4668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3.2 建设方案与布局水土保持评价</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_Toc4668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48</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_Toc29179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3.3 主体工程设计中水土保持措施界定</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_Toc29179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54</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0"/>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_Toc9082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4水土流失分析与预测</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_Toc9082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57</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_Toc30011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4.1水土流失现状</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_Toc30011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57</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_Toc1004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4.2 水土流失影响因素分析</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_Toc1004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58</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_Toc26598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4.3 土壤流失量预测</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_Toc26598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60</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_Toc30721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4.4 水土流失危害分析</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_Toc30721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67</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_Toc3849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4.5 预测成果</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_Toc3849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67</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_Toc31857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4.</w:t>
      </w:r>
      <w:r>
        <w:rPr>
          <w:rFonts w:hint="eastAsia" w:ascii="新宋体" w:hAnsi="新宋体" w:eastAsia="新宋体" w:cs="新宋体"/>
          <w:b w:val="0"/>
          <w:bCs w:val="0"/>
          <w:sz w:val="24"/>
          <w:szCs w:val="24"/>
          <w:highlight w:val="none"/>
          <w:lang w:val="en-US" w:eastAsia="zh-CN"/>
        </w:rPr>
        <w:t>6</w:t>
      </w:r>
      <w:r>
        <w:rPr>
          <w:rFonts w:hint="eastAsia" w:ascii="新宋体" w:hAnsi="新宋体" w:eastAsia="新宋体" w:cs="新宋体"/>
          <w:b w:val="0"/>
          <w:bCs w:val="0"/>
          <w:sz w:val="24"/>
          <w:szCs w:val="24"/>
          <w:highlight w:val="none"/>
        </w:rPr>
        <w:t xml:space="preserve"> </w:t>
      </w:r>
      <w:r>
        <w:rPr>
          <w:rFonts w:hint="eastAsia" w:ascii="新宋体" w:hAnsi="新宋体" w:eastAsia="新宋体" w:cs="新宋体"/>
          <w:b w:val="0"/>
          <w:bCs w:val="0"/>
          <w:sz w:val="24"/>
          <w:szCs w:val="24"/>
          <w:highlight w:val="none"/>
          <w:lang w:eastAsia="zh-CN"/>
        </w:rPr>
        <w:t>水土流失调查与分析</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_Toc31857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69</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_Toc8485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4.</w:t>
      </w:r>
      <w:r>
        <w:rPr>
          <w:rFonts w:hint="eastAsia" w:ascii="新宋体" w:hAnsi="新宋体" w:eastAsia="新宋体" w:cs="新宋体"/>
          <w:b w:val="0"/>
          <w:bCs w:val="0"/>
          <w:sz w:val="24"/>
          <w:szCs w:val="24"/>
          <w:highlight w:val="none"/>
          <w:lang w:val="en-US" w:eastAsia="zh-CN"/>
        </w:rPr>
        <w:t>7</w:t>
      </w:r>
      <w:r>
        <w:rPr>
          <w:rFonts w:hint="eastAsia" w:ascii="新宋体" w:hAnsi="新宋体" w:eastAsia="新宋体" w:cs="新宋体"/>
          <w:b w:val="0"/>
          <w:bCs w:val="0"/>
          <w:sz w:val="24"/>
          <w:szCs w:val="24"/>
          <w:highlight w:val="none"/>
        </w:rPr>
        <w:t xml:space="preserve"> 指导意见</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_Toc8485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69</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0"/>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_Toc25151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5 水土保持措施</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_Toc25151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71</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_Toc4922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5.1 防治区划分</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_Toc4922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71</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_Toc23968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5.2 措施总体布局</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_Toc23968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72</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_Toc30687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5.3 措施设计及立地条件分析</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_Toc30687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73</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_Toc18564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5.4 分区措施布设</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_Toc18564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74</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_Toc5469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5.5 施工要求</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_Toc5469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77</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0"/>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_Toc23464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6 水土保持监测</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_Toc23464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80</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_Toc1716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6.1 范围与时段</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_Toc1716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80</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_Toc15992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6.2 内容与方法</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_Toc15992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80</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_Toc5216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6.3 点位布设</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_Toc5216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83</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_Toc25405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6.4 实施条件与结果</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_Toc25405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84</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0"/>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_Toc27741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7 水土保持投资</w:t>
      </w:r>
      <w:r>
        <w:rPr>
          <w:rFonts w:hint="eastAsia" w:ascii="新宋体" w:hAnsi="新宋体" w:eastAsia="新宋体" w:cs="新宋体"/>
          <w:b w:val="0"/>
          <w:bCs w:val="0"/>
          <w:sz w:val="24"/>
          <w:szCs w:val="24"/>
          <w:highlight w:val="none"/>
          <w:lang w:eastAsia="zh-CN"/>
        </w:rPr>
        <w:t>概</w:t>
      </w:r>
      <w:r>
        <w:rPr>
          <w:rFonts w:hint="eastAsia" w:ascii="新宋体" w:hAnsi="新宋体" w:eastAsia="新宋体" w:cs="新宋体"/>
          <w:b w:val="0"/>
          <w:bCs w:val="0"/>
          <w:sz w:val="24"/>
          <w:szCs w:val="24"/>
          <w:highlight w:val="none"/>
        </w:rPr>
        <w:t>算及效益分析</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_Toc27741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87</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_Toc31112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7.1 投资</w:t>
      </w:r>
      <w:r>
        <w:rPr>
          <w:rFonts w:hint="eastAsia" w:ascii="新宋体" w:hAnsi="新宋体" w:eastAsia="新宋体" w:cs="新宋体"/>
          <w:b w:val="0"/>
          <w:bCs w:val="0"/>
          <w:sz w:val="24"/>
          <w:szCs w:val="24"/>
          <w:highlight w:val="none"/>
          <w:lang w:eastAsia="zh-CN"/>
        </w:rPr>
        <w:t>概算</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_Toc31112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87</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_Toc31571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7.2 效益分析</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_Toc31571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95</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0"/>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_Toc20797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8 水土保持管理</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_Toc20797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99</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_Toc30732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8.1 组织管理</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_Toc30732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99</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_Toc6827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8.2 后续设计</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_Toc6827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99</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_Toc31644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8.3 水土保持监测</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_Toc31644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100</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_Toc5257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8.4 水土保持监理</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_Toc5257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100</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_Toc5106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8.5 水土保持施工</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_Toc5106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101</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pStyle w:val="21"/>
        <w:tabs>
          <w:tab w:val="right" w:leader="dot" w:pos="8958"/>
        </w:tabs>
        <w:jc w:val="left"/>
        <w:rPr>
          <w:rFonts w:hint="eastAsia" w:ascii="新宋体" w:hAnsi="新宋体" w:eastAsia="新宋体" w:cs="新宋体"/>
          <w:b w:val="0"/>
          <w:bCs w:val="0"/>
          <w:sz w:val="24"/>
          <w:szCs w:val="24"/>
        </w:rPr>
      </w:pPr>
      <w:r>
        <w:rPr>
          <w:rFonts w:hint="eastAsia" w:ascii="新宋体" w:hAnsi="新宋体" w:eastAsia="新宋体" w:cs="新宋体"/>
          <w:b w:val="0"/>
          <w:bCs w:val="0"/>
          <w:color w:val="auto"/>
          <w:kern w:val="2"/>
          <w:sz w:val="24"/>
          <w:szCs w:val="24"/>
          <w:highlight w:val="none"/>
          <w:lang w:val="en-US" w:eastAsia="zh-CN" w:bidi="ar-SA"/>
        </w:rPr>
        <w:fldChar w:fldCharType="begin"/>
      </w:r>
      <w:r>
        <w:rPr>
          <w:rFonts w:hint="eastAsia" w:ascii="新宋体" w:hAnsi="新宋体" w:eastAsia="新宋体" w:cs="新宋体"/>
          <w:b w:val="0"/>
          <w:bCs w:val="0"/>
          <w:kern w:val="2"/>
          <w:sz w:val="24"/>
          <w:szCs w:val="24"/>
          <w:highlight w:val="none"/>
          <w:lang w:val="en-US" w:eastAsia="zh-CN" w:bidi="ar-SA"/>
        </w:rPr>
        <w:instrText xml:space="preserve"> HYPERLINK \l _Toc32477 </w:instrText>
      </w:r>
      <w:r>
        <w:rPr>
          <w:rFonts w:hint="eastAsia" w:ascii="新宋体" w:hAnsi="新宋体" w:eastAsia="新宋体" w:cs="新宋体"/>
          <w:b w:val="0"/>
          <w:bCs w:val="0"/>
          <w:kern w:val="2"/>
          <w:sz w:val="24"/>
          <w:szCs w:val="24"/>
          <w:highlight w:val="none"/>
          <w:lang w:val="en-US" w:eastAsia="zh-CN" w:bidi="ar-SA"/>
        </w:rPr>
        <w:fldChar w:fldCharType="separate"/>
      </w:r>
      <w:r>
        <w:rPr>
          <w:rFonts w:hint="eastAsia" w:ascii="新宋体" w:hAnsi="新宋体" w:eastAsia="新宋体" w:cs="新宋体"/>
          <w:b w:val="0"/>
          <w:bCs w:val="0"/>
          <w:sz w:val="24"/>
          <w:szCs w:val="24"/>
          <w:highlight w:val="none"/>
        </w:rPr>
        <w:t>8.6 水土保持设施验收</w:t>
      </w:r>
      <w:r>
        <w:rPr>
          <w:rFonts w:hint="eastAsia" w:ascii="新宋体" w:hAnsi="新宋体" w:eastAsia="新宋体" w:cs="新宋体"/>
          <w:b w:val="0"/>
          <w:bCs w:val="0"/>
          <w:sz w:val="24"/>
          <w:szCs w:val="24"/>
        </w:rPr>
        <w:tab/>
      </w:r>
      <w:r>
        <w:rPr>
          <w:rFonts w:hint="eastAsia" w:ascii="新宋体" w:hAnsi="新宋体" w:eastAsia="新宋体" w:cs="新宋体"/>
          <w:b w:val="0"/>
          <w:bCs w:val="0"/>
          <w:sz w:val="24"/>
          <w:szCs w:val="24"/>
        </w:rPr>
        <w:fldChar w:fldCharType="begin"/>
      </w:r>
      <w:r>
        <w:rPr>
          <w:rFonts w:hint="eastAsia" w:ascii="新宋体" w:hAnsi="新宋体" w:eastAsia="新宋体" w:cs="新宋体"/>
          <w:b w:val="0"/>
          <w:bCs w:val="0"/>
          <w:sz w:val="24"/>
          <w:szCs w:val="24"/>
        </w:rPr>
        <w:instrText xml:space="preserve"> PAGEREF _Toc32477 </w:instrText>
      </w:r>
      <w:r>
        <w:rPr>
          <w:rFonts w:hint="eastAsia" w:ascii="新宋体" w:hAnsi="新宋体" w:eastAsia="新宋体" w:cs="新宋体"/>
          <w:b w:val="0"/>
          <w:bCs w:val="0"/>
          <w:sz w:val="24"/>
          <w:szCs w:val="24"/>
        </w:rPr>
        <w:fldChar w:fldCharType="separate"/>
      </w:r>
      <w:r>
        <w:rPr>
          <w:rFonts w:hint="eastAsia" w:ascii="新宋体" w:hAnsi="新宋体" w:eastAsia="新宋体" w:cs="新宋体"/>
          <w:b w:val="0"/>
          <w:bCs w:val="0"/>
          <w:sz w:val="24"/>
          <w:szCs w:val="24"/>
        </w:rPr>
        <w:t>101</w:t>
      </w:r>
      <w:r>
        <w:rPr>
          <w:rFonts w:hint="eastAsia" w:ascii="新宋体" w:hAnsi="新宋体" w:eastAsia="新宋体" w:cs="新宋体"/>
          <w:b w:val="0"/>
          <w:bCs w:val="0"/>
          <w:sz w:val="24"/>
          <w:szCs w:val="24"/>
        </w:rPr>
        <w:fldChar w:fldCharType="end"/>
      </w:r>
      <w:r>
        <w:rPr>
          <w:rFonts w:hint="eastAsia" w:ascii="新宋体" w:hAnsi="新宋体" w:eastAsia="新宋体" w:cs="新宋体"/>
          <w:b w:val="0"/>
          <w:bCs w:val="0"/>
          <w:color w:val="auto"/>
          <w:kern w:val="2"/>
          <w:sz w:val="24"/>
          <w:szCs w:val="24"/>
          <w:highlight w:val="none"/>
          <w:lang w:val="en-US" w:eastAsia="zh-CN" w:bidi="ar-SA"/>
        </w:rPr>
        <w:fldChar w:fldCharType="end"/>
      </w:r>
    </w:p>
    <w:p>
      <w:pPr>
        <w:ind w:firstLine="560"/>
        <w:jc w:val="left"/>
        <w:rPr>
          <w:rStyle w:val="34"/>
          <w:rFonts w:hint="default" w:ascii="Times New Roman" w:hAnsi="Times New Roman" w:eastAsia="仿宋_GB2312" w:cs="Times New Roman"/>
          <w:b w:val="0"/>
          <w:color w:val="auto"/>
          <w:kern w:val="2"/>
          <w:sz w:val="28"/>
          <w:szCs w:val="22"/>
          <w:highlight w:val="none"/>
          <w:lang w:val="en-US" w:eastAsia="zh-CN" w:bidi="ar-SA"/>
        </w:rPr>
      </w:pPr>
      <w:r>
        <w:rPr>
          <w:rFonts w:hint="eastAsia" w:ascii="新宋体" w:hAnsi="新宋体" w:eastAsia="新宋体" w:cs="新宋体"/>
          <w:b w:val="0"/>
          <w:bCs w:val="0"/>
          <w:color w:val="auto"/>
          <w:kern w:val="2"/>
          <w:sz w:val="24"/>
          <w:szCs w:val="24"/>
          <w:highlight w:val="none"/>
          <w:lang w:val="en-US" w:eastAsia="zh-CN" w:bidi="ar-SA"/>
        </w:rPr>
        <w:fldChar w:fldCharType="end"/>
      </w:r>
      <w:r>
        <w:rPr>
          <w:rStyle w:val="34"/>
          <w:rFonts w:hint="default" w:ascii="Times New Roman" w:hAnsi="Times New Roman" w:eastAsia="仿宋_GB2312" w:cs="Times New Roman"/>
          <w:b w:val="0"/>
          <w:color w:val="auto"/>
          <w:kern w:val="2"/>
          <w:sz w:val="28"/>
          <w:szCs w:val="22"/>
          <w:highlight w:val="none"/>
          <w:lang w:val="en-US" w:eastAsia="zh-CN" w:bidi="ar-SA"/>
        </w:rPr>
        <w:br w:type="page"/>
      </w:r>
    </w:p>
    <w:p>
      <w:pPr>
        <w:pStyle w:val="128"/>
        <w:ind w:firstLine="238" w:firstLineChars="74"/>
        <w:rPr>
          <w:rFonts w:hint="default" w:ascii="Times New Roman" w:hAnsi="Times New Roman" w:eastAsia="仿宋_GB2312" w:cs="Times New Roman"/>
          <w:b/>
          <w:color w:val="auto"/>
          <w:sz w:val="32"/>
          <w:szCs w:val="32"/>
          <w:highlight w:val="none"/>
        </w:rPr>
      </w:pPr>
      <w:r>
        <w:rPr>
          <w:rFonts w:hint="default" w:ascii="Times New Roman" w:hAnsi="Times New Roman" w:eastAsia="仿宋_GB2312" w:cs="Times New Roman"/>
          <w:b/>
          <w:color w:val="auto"/>
          <w:sz w:val="32"/>
          <w:szCs w:val="32"/>
          <w:highlight w:val="none"/>
        </w:rPr>
        <w:t>附表:</w:t>
      </w:r>
    </w:p>
    <w:p>
      <w:pPr>
        <w:pStyle w:val="128"/>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附表1</w:t>
      </w:r>
      <w:r>
        <w:rPr>
          <w:rFonts w:hint="eastAsia" w:eastAsia="仿宋_GB2312" w:cs="Times New Roman"/>
          <w:color w:val="auto"/>
          <w:highlight w:val="none"/>
          <w:lang w:val="en-US" w:eastAsia="zh-CN"/>
        </w:rPr>
        <w:t xml:space="preserve">  </w:t>
      </w:r>
      <w:r>
        <w:rPr>
          <w:rFonts w:hint="default" w:ascii="Times New Roman" w:hAnsi="Times New Roman" w:eastAsia="仿宋_GB2312" w:cs="Times New Roman"/>
          <w:color w:val="auto"/>
          <w:highlight w:val="none"/>
        </w:rPr>
        <w:t>单价分析表；</w:t>
      </w:r>
    </w:p>
    <w:p>
      <w:pPr>
        <w:pStyle w:val="128"/>
        <w:ind w:firstLine="238" w:firstLineChars="74"/>
        <w:rPr>
          <w:rFonts w:hint="default" w:ascii="Times New Roman" w:hAnsi="Times New Roman" w:eastAsia="仿宋_GB2312" w:cs="Times New Roman"/>
          <w:b/>
          <w:color w:val="auto"/>
          <w:sz w:val="32"/>
          <w:szCs w:val="32"/>
          <w:highlight w:val="none"/>
        </w:rPr>
      </w:pPr>
    </w:p>
    <w:p>
      <w:pPr>
        <w:pStyle w:val="128"/>
        <w:ind w:firstLine="238" w:firstLineChars="74"/>
        <w:rPr>
          <w:rFonts w:hint="default" w:ascii="Times New Roman" w:hAnsi="Times New Roman" w:eastAsia="仿宋_GB2312" w:cs="Times New Roman"/>
          <w:b/>
          <w:color w:val="auto"/>
          <w:sz w:val="32"/>
          <w:szCs w:val="32"/>
          <w:highlight w:val="none"/>
        </w:rPr>
      </w:pPr>
      <w:r>
        <w:rPr>
          <w:rFonts w:hint="default" w:ascii="Times New Roman" w:hAnsi="Times New Roman" w:eastAsia="仿宋_GB2312" w:cs="Times New Roman"/>
          <w:b/>
          <w:color w:val="auto"/>
          <w:sz w:val="32"/>
          <w:szCs w:val="32"/>
          <w:highlight w:val="none"/>
        </w:rPr>
        <w:t>附件:</w:t>
      </w:r>
    </w:p>
    <w:p>
      <w:pPr>
        <w:pStyle w:val="128"/>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附件1</w:t>
      </w:r>
      <w:r>
        <w:rPr>
          <w:rFonts w:hint="eastAsia" w:eastAsia="仿宋_GB2312" w:cs="Times New Roman"/>
          <w:color w:val="auto"/>
          <w:highlight w:val="none"/>
          <w:lang w:val="en-US" w:eastAsia="zh-CN"/>
        </w:rPr>
        <w:t xml:space="preserve">  </w:t>
      </w:r>
      <w:r>
        <w:rPr>
          <w:rFonts w:hint="default" w:ascii="Times New Roman" w:hAnsi="Times New Roman" w:eastAsia="仿宋_GB2312" w:cs="Times New Roman"/>
          <w:color w:val="auto"/>
          <w:highlight w:val="none"/>
        </w:rPr>
        <w:t>水土保持方案编制委托书；</w:t>
      </w:r>
    </w:p>
    <w:p>
      <w:pPr>
        <w:pStyle w:val="128"/>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附件2</w:t>
      </w:r>
      <w:r>
        <w:rPr>
          <w:rFonts w:hint="eastAsia" w:eastAsia="仿宋_GB2312" w:cs="Times New Roman"/>
          <w:color w:val="auto"/>
          <w:highlight w:val="none"/>
          <w:lang w:val="en-US" w:eastAsia="zh-CN"/>
        </w:rPr>
        <w:t xml:space="preserve">  自治区</w:t>
      </w:r>
      <w:r>
        <w:rPr>
          <w:rFonts w:hint="eastAsia" w:eastAsia="仿宋_GB2312" w:cs="Times New Roman"/>
          <w:color w:val="auto"/>
          <w:highlight w:val="none"/>
          <w:lang w:eastAsia="zh-CN"/>
        </w:rPr>
        <w:t>发改委项目核准批复</w:t>
      </w:r>
      <w:r>
        <w:rPr>
          <w:rFonts w:hint="default" w:ascii="Times New Roman" w:hAnsi="Times New Roman" w:eastAsia="仿宋_GB2312" w:cs="Times New Roman"/>
          <w:color w:val="auto"/>
          <w:highlight w:val="none"/>
        </w:rPr>
        <w:t>；</w:t>
      </w:r>
    </w:p>
    <w:p>
      <w:pPr>
        <w:pStyle w:val="128"/>
        <w:ind w:firstLine="480"/>
        <w:rPr>
          <w:rFonts w:hint="default" w:ascii="Times New Roman" w:hAnsi="Times New Roman" w:eastAsia="仿宋_GB2312" w:cs="Times New Roman"/>
          <w:color w:val="auto"/>
          <w:highlight w:val="none"/>
          <w:lang w:val="en-US" w:eastAsia="zh-CN"/>
        </w:rPr>
      </w:pPr>
      <w:r>
        <w:rPr>
          <w:rFonts w:hint="eastAsia" w:eastAsia="仿宋_GB2312" w:cs="Times New Roman"/>
          <w:color w:val="auto"/>
          <w:highlight w:val="none"/>
          <w:lang w:val="en-US" w:eastAsia="zh-CN"/>
        </w:rPr>
        <w:t>附件3  建设用地规划许可证</w:t>
      </w:r>
    </w:p>
    <w:p>
      <w:pPr>
        <w:pStyle w:val="128"/>
        <w:ind w:firstLine="480"/>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eastAsia="zh-CN"/>
        </w:rPr>
        <w:t>附件</w:t>
      </w:r>
      <w:r>
        <w:rPr>
          <w:rFonts w:hint="eastAsia" w:eastAsia="仿宋_GB2312" w:cs="Times New Roman"/>
          <w:color w:val="auto"/>
          <w:highlight w:val="none"/>
          <w:lang w:val="en-US" w:eastAsia="zh-CN"/>
        </w:rPr>
        <w:t xml:space="preserve">4  </w:t>
      </w:r>
      <w:r>
        <w:rPr>
          <w:rFonts w:hint="default" w:ascii="Times New Roman" w:hAnsi="Times New Roman" w:eastAsia="仿宋_GB2312" w:cs="Times New Roman"/>
          <w:color w:val="auto"/>
          <w:highlight w:val="none"/>
          <w:lang w:val="en-US" w:eastAsia="zh-CN"/>
        </w:rPr>
        <w:t>环境影响评价报告表的批复；</w:t>
      </w:r>
    </w:p>
    <w:p>
      <w:pPr>
        <w:pStyle w:val="128"/>
        <w:ind w:firstLine="480"/>
        <w:rPr>
          <w:rFonts w:hint="eastAsia" w:eastAsia="仿宋_GB2312" w:cs="Times New Roman"/>
          <w:color w:val="auto"/>
          <w:highlight w:val="none"/>
          <w:lang w:val="en-US" w:eastAsia="zh-CN"/>
        </w:rPr>
      </w:pPr>
      <w:r>
        <w:rPr>
          <w:rFonts w:hint="eastAsia" w:eastAsia="仿宋_GB2312" w:cs="Times New Roman"/>
          <w:color w:val="auto"/>
          <w:highlight w:val="none"/>
          <w:lang w:val="en-US" w:eastAsia="zh-CN"/>
        </w:rPr>
        <w:t>附件5  弗光哈密一期20MWp光伏并网发电项目结算价格汇总表；</w:t>
      </w:r>
    </w:p>
    <w:p>
      <w:pPr>
        <w:pStyle w:val="128"/>
        <w:ind w:firstLine="480"/>
        <w:rPr>
          <w:rFonts w:hint="eastAsia" w:eastAsia="仿宋_GB2312" w:cs="Times New Roman"/>
          <w:color w:val="auto"/>
          <w:highlight w:val="none"/>
          <w:lang w:val="en-US" w:eastAsia="zh-CN"/>
        </w:rPr>
      </w:pPr>
      <w:r>
        <w:rPr>
          <w:rFonts w:hint="eastAsia" w:eastAsia="仿宋_GB2312" w:cs="Times New Roman"/>
          <w:color w:val="auto"/>
          <w:highlight w:val="none"/>
          <w:lang w:val="en-US" w:eastAsia="zh-CN"/>
        </w:rPr>
        <w:t>附件6  专家审查意见（3个）；</w:t>
      </w:r>
    </w:p>
    <w:p>
      <w:pPr>
        <w:pStyle w:val="128"/>
        <w:ind w:firstLine="480"/>
        <w:rPr>
          <w:rFonts w:hint="eastAsia" w:eastAsia="仿宋_GB2312" w:cs="Times New Roman"/>
          <w:color w:val="auto"/>
          <w:highlight w:val="none"/>
          <w:lang w:val="en-US" w:eastAsia="zh-CN"/>
        </w:rPr>
      </w:pPr>
      <w:r>
        <w:rPr>
          <w:rFonts w:hint="eastAsia" w:eastAsia="仿宋_GB2312" w:cs="Times New Roman"/>
          <w:color w:val="auto"/>
          <w:highlight w:val="none"/>
          <w:lang w:val="en-US" w:eastAsia="zh-CN"/>
        </w:rPr>
        <w:t>附件7  报告修改说明；</w:t>
      </w:r>
    </w:p>
    <w:p>
      <w:pPr>
        <w:pStyle w:val="128"/>
        <w:ind w:firstLine="480"/>
        <w:rPr>
          <w:rFonts w:hint="default" w:eastAsia="仿宋_GB2312" w:cs="Times New Roman"/>
          <w:color w:val="auto"/>
          <w:highlight w:val="none"/>
          <w:lang w:val="en-US" w:eastAsia="zh-CN"/>
        </w:rPr>
      </w:pPr>
      <w:r>
        <w:rPr>
          <w:rFonts w:hint="eastAsia" w:eastAsia="仿宋_GB2312" w:cs="Times New Roman"/>
          <w:color w:val="auto"/>
          <w:highlight w:val="none"/>
          <w:lang w:val="en-US" w:eastAsia="zh-CN"/>
        </w:rPr>
        <w:t>附件8  专家复审意见。</w:t>
      </w:r>
      <w:bookmarkStart w:id="174" w:name="_GoBack"/>
      <w:bookmarkEnd w:id="174"/>
    </w:p>
    <w:p>
      <w:pPr>
        <w:pStyle w:val="128"/>
        <w:ind w:firstLine="480"/>
        <w:rPr>
          <w:rFonts w:hint="default" w:ascii="Times New Roman" w:hAnsi="Times New Roman" w:eastAsia="仿宋_GB2312" w:cs="Times New Roman"/>
          <w:color w:val="auto"/>
          <w:highlight w:val="none"/>
        </w:rPr>
      </w:pPr>
    </w:p>
    <w:p>
      <w:pPr>
        <w:pStyle w:val="128"/>
        <w:ind w:firstLine="480"/>
        <w:rPr>
          <w:rFonts w:hint="default" w:ascii="Times New Roman" w:hAnsi="Times New Roman" w:eastAsia="仿宋_GB2312" w:cs="Times New Roman"/>
          <w:color w:val="auto"/>
          <w:highlight w:val="none"/>
        </w:rPr>
      </w:pPr>
    </w:p>
    <w:p>
      <w:pPr>
        <w:pStyle w:val="128"/>
        <w:ind w:firstLine="238" w:firstLineChars="74"/>
        <w:rPr>
          <w:rFonts w:hint="default" w:ascii="Times New Roman" w:hAnsi="Times New Roman" w:eastAsia="仿宋_GB2312" w:cs="Times New Roman"/>
          <w:b/>
          <w:color w:val="auto"/>
          <w:sz w:val="32"/>
          <w:szCs w:val="32"/>
          <w:highlight w:val="none"/>
        </w:rPr>
      </w:pPr>
      <w:bookmarkStart w:id="2" w:name="_Toc420589290"/>
      <w:bookmarkStart w:id="3" w:name="_Toc379804300"/>
      <w:bookmarkStart w:id="4" w:name="_Toc425510562"/>
      <w:bookmarkStart w:id="5" w:name="_Toc370050983"/>
      <w:bookmarkStart w:id="6" w:name="_Toc394051109"/>
      <w:bookmarkStart w:id="7" w:name="_Toc394737623"/>
      <w:bookmarkStart w:id="8" w:name="_Toc421798835"/>
      <w:bookmarkStart w:id="9" w:name="_Toc452729562"/>
      <w:bookmarkStart w:id="10" w:name="_Toc392181689"/>
      <w:bookmarkStart w:id="11" w:name="_Toc421798906"/>
      <w:bookmarkStart w:id="12" w:name="_Toc422067507"/>
      <w:bookmarkStart w:id="13" w:name="_Toc389470362"/>
      <w:bookmarkStart w:id="14" w:name="_Toc398465307"/>
      <w:bookmarkStart w:id="15" w:name="_Toc370324889"/>
      <w:r>
        <w:rPr>
          <w:rFonts w:hint="default" w:ascii="Times New Roman" w:hAnsi="Times New Roman" w:eastAsia="仿宋_GB2312" w:cs="Times New Roman"/>
          <w:b/>
          <w:color w:val="auto"/>
          <w:sz w:val="32"/>
          <w:szCs w:val="32"/>
          <w:highlight w:val="none"/>
        </w:rPr>
        <w:t>附图</w:t>
      </w:r>
      <w:bookmarkEnd w:id="2"/>
      <w:bookmarkEnd w:id="3"/>
      <w:bookmarkEnd w:id="4"/>
      <w:bookmarkEnd w:id="5"/>
      <w:bookmarkEnd w:id="6"/>
      <w:bookmarkEnd w:id="7"/>
      <w:bookmarkEnd w:id="8"/>
      <w:bookmarkEnd w:id="9"/>
      <w:bookmarkEnd w:id="10"/>
      <w:bookmarkEnd w:id="11"/>
      <w:bookmarkEnd w:id="12"/>
      <w:bookmarkEnd w:id="13"/>
      <w:bookmarkEnd w:id="14"/>
      <w:bookmarkEnd w:id="15"/>
      <w:r>
        <w:rPr>
          <w:rFonts w:hint="default" w:ascii="Times New Roman" w:hAnsi="Times New Roman" w:eastAsia="仿宋_GB2312" w:cs="Times New Roman"/>
          <w:b/>
          <w:color w:val="auto"/>
          <w:sz w:val="32"/>
          <w:szCs w:val="32"/>
          <w:highlight w:val="none"/>
        </w:rPr>
        <w:t>:</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附图1</w:t>
      </w:r>
      <w:r>
        <w:rPr>
          <w:rFonts w:hint="eastAsia" w:eastAsia="仿宋_GB2312" w:cs="Times New Roman"/>
          <w:color w:val="auto"/>
          <w:highlight w:val="none"/>
          <w:lang w:val="en-US" w:eastAsia="zh-CN"/>
        </w:rPr>
        <w:t xml:space="preserve">  </w:t>
      </w:r>
      <w:r>
        <w:rPr>
          <w:rFonts w:hint="default" w:ascii="Times New Roman" w:hAnsi="Times New Roman" w:eastAsia="仿宋_GB2312" w:cs="Times New Roman"/>
          <w:color w:val="auto"/>
          <w:highlight w:val="none"/>
        </w:rPr>
        <w:t>项目</w:t>
      </w:r>
      <w:r>
        <w:rPr>
          <w:rFonts w:hint="eastAsia" w:eastAsia="仿宋_GB2312" w:cs="Times New Roman"/>
          <w:color w:val="auto"/>
          <w:highlight w:val="none"/>
          <w:lang w:eastAsia="zh-CN"/>
        </w:rPr>
        <w:t>区</w:t>
      </w:r>
      <w:r>
        <w:rPr>
          <w:rFonts w:hint="default" w:ascii="Times New Roman" w:hAnsi="Times New Roman" w:eastAsia="仿宋_GB2312" w:cs="Times New Roman"/>
          <w:color w:val="auto"/>
          <w:highlight w:val="none"/>
        </w:rPr>
        <w:t>地理位置图；</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附图2</w:t>
      </w:r>
      <w:r>
        <w:rPr>
          <w:rFonts w:hint="eastAsia" w:eastAsia="仿宋_GB2312" w:cs="Times New Roman"/>
          <w:color w:val="auto"/>
          <w:highlight w:val="none"/>
          <w:lang w:val="en-US" w:eastAsia="zh-CN"/>
        </w:rPr>
        <w:t xml:space="preserve">  </w:t>
      </w:r>
      <w:r>
        <w:rPr>
          <w:rFonts w:hint="default" w:ascii="Times New Roman" w:hAnsi="Times New Roman" w:eastAsia="仿宋_GB2312" w:cs="Times New Roman"/>
          <w:color w:val="auto"/>
          <w:highlight w:val="none"/>
        </w:rPr>
        <w:t>项目区水系图；</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附图3</w:t>
      </w:r>
      <w:r>
        <w:rPr>
          <w:rFonts w:hint="eastAsia" w:eastAsia="仿宋_GB2312" w:cs="Times New Roman"/>
          <w:color w:val="auto"/>
          <w:highlight w:val="none"/>
          <w:lang w:val="en-US" w:eastAsia="zh-CN"/>
        </w:rPr>
        <w:t xml:space="preserve">  项目区土地利用现状图</w:t>
      </w:r>
      <w:r>
        <w:rPr>
          <w:rFonts w:hint="default" w:ascii="Times New Roman" w:hAnsi="Times New Roman" w:eastAsia="仿宋_GB2312" w:cs="Times New Roman"/>
          <w:color w:val="auto"/>
          <w:highlight w:val="none"/>
        </w:rPr>
        <w:t>；</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附图4</w:t>
      </w:r>
      <w:r>
        <w:rPr>
          <w:rFonts w:hint="eastAsia" w:eastAsia="仿宋_GB2312" w:cs="Times New Roman"/>
          <w:color w:val="auto"/>
          <w:highlight w:val="none"/>
          <w:lang w:val="en-US" w:eastAsia="zh-CN"/>
        </w:rPr>
        <w:t xml:space="preserve">  </w:t>
      </w:r>
      <w:r>
        <w:rPr>
          <w:rFonts w:hint="default" w:ascii="Times New Roman" w:hAnsi="Times New Roman" w:eastAsia="仿宋_GB2312" w:cs="Times New Roman"/>
          <w:color w:val="auto"/>
          <w:highlight w:val="none"/>
        </w:rPr>
        <w:t>项目区土壤侵蚀强度分布图；</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附图5</w:t>
      </w:r>
      <w:r>
        <w:rPr>
          <w:rFonts w:hint="eastAsia" w:eastAsia="仿宋_GB2312" w:cs="Times New Roman"/>
          <w:color w:val="auto"/>
          <w:highlight w:val="none"/>
          <w:lang w:val="en-US" w:eastAsia="zh-CN"/>
        </w:rPr>
        <w:t xml:space="preserve">  </w:t>
      </w:r>
      <w:r>
        <w:rPr>
          <w:rFonts w:hint="default" w:ascii="Times New Roman" w:hAnsi="Times New Roman" w:eastAsia="仿宋_GB2312" w:cs="Times New Roman"/>
          <w:color w:val="auto"/>
          <w:highlight w:val="none"/>
        </w:rPr>
        <w:t>项目</w:t>
      </w:r>
      <w:r>
        <w:rPr>
          <w:rFonts w:hint="eastAsia" w:eastAsia="仿宋_GB2312" w:cs="Times New Roman"/>
          <w:color w:val="auto"/>
          <w:highlight w:val="none"/>
          <w:lang w:eastAsia="zh-CN"/>
        </w:rPr>
        <w:t>区</w:t>
      </w:r>
      <w:r>
        <w:rPr>
          <w:rFonts w:hint="default" w:ascii="Times New Roman" w:hAnsi="Times New Roman" w:eastAsia="仿宋_GB2312" w:cs="Times New Roman"/>
          <w:color w:val="auto"/>
          <w:highlight w:val="none"/>
        </w:rPr>
        <w:t>总</w:t>
      </w:r>
      <w:r>
        <w:rPr>
          <w:rFonts w:hint="eastAsia" w:eastAsia="仿宋_GB2312" w:cs="Times New Roman"/>
          <w:color w:val="auto"/>
          <w:highlight w:val="none"/>
          <w:lang w:eastAsia="zh-CN"/>
        </w:rPr>
        <w:t>平面</w:t>
      </w:r>
      <w:r>
        <w:rPr>
          <w:rFonts w:hint="default" w:ascii="Times New Roman" w:hAnsi="Times New Roman" w:eastAsia="仿宋_GB2312" w:cs="Times New Roman"/>
          <w:color w:val="auto"/>
          <w:highlight w:val="none"/>
        </w:rPr>
        <w:t>布置图；</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附图6</w:t>
      </w:r>
      <w:r>
        <w:rPr>
          <w:rFonts w:hint="eastAsia" w:eastAsia="仿宋_GB2312" w:cs="Times New Roman"/>
          <w:color w:val="auto"/>
          <w:highlight w:val="none"/>
          <w:lang w:val="en-US" w:eastAsia="zh-CN"/>
        </w:rPr>
        <w:t xml:space="preserve">  </w:t>
      </w:r>
      <w:r>
        <w:rPr>
          <w:rFonts w:hint="default" w:ascii="Times New Roman" w:hAnsi="Times New Roman" w:eastAsia="仿宋_GB2312" w:cs="Times New Roman"/>
          <w:color w:val="auto"/>
          <w:highlight w:val="none"/>
        </w:rPr>
        <w:t>分区防治措施总体布局图（含监测点位图）；</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附图</w:t>
      </w:r>
      <w:r>
        <w:rPr>
          <w:rFonts w:hint="eastAsia" w:eastAsia="仿宋_GB2312" w:cs="Times New Roman"/>
          <w:color w:val="auto"/>
          <w:highlight w:val="none"/>
          <w:lang w:val="en-US" w:eastAsia="zh-CN"/>
        </w:rPr>
        <w:t>7  钢丝网围栏</w:t>
      </w:r>
      <w:r>
        <w:rPr>
          <w:rFonts w:hint="default" w:ascii="Times New Roman" w:hAnsi="Times New Roman" w:eastAsia="仿宋_GB2312" w:cs="Times New Roman"/>
          <w:color w:val="auto"/>
          <w:highlight w:val="none"/>
        </w:rPr>
        <w:t>典型设计图；</w:t>
      </w:r>
    </w:p>
    <w:p>
      <w:pPr>
        <w:ind w:firstLine="480"/>
        <w:rPr>
          <w:rFonts w:hint="eastAsia"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附图</w:t>
      </w:r>
      <w:r>
        <w:rPr>
          <w:rFonts w:hint="eastAsia" w:eastAsia="仿宋_GB2312" w:cs="Times New Roman"/>
          <w:color w:val="auto"/>
          <w:highlight w:val="none"/>
          <w:lang w:val="en-US" w:eastAsia="zh-CN"/>
        </w:rPr>
        <w:t xml:space="preserve">8  </w:t>
      </w:r>
      <w:r>
        <w:rPr>
          <w:rFonts w:hint="eastAsia" w:eastAsia="仿宋_GB2312" w:cs="Times New Roman"/>
          <w:color w:val="auto"/>
          <w:highlight w:val="none"/>
          <w:lang w:eastAsia="zh-CN"/>
        </w:rPr>
        <w:t>临时堆土</w:t>
      </w:r>
      <w:r>
        <w:rPr>
          <w:rFonts w:hint="default" w:ascii="Times New Roman" w:hAnsi="Times New Roman" w:eastAsia="仿宋_GB2312" w:cs="Times New Roman"/>
          <w:color w:val="auto"/>
          <w:highlight w:val="none"/>
        </w:rPr>
        <w:t>典型设计图</w:t>
      </w:r>
      <w:r>
        <w:rPr>
          <w:rFonts w:hint="eastAsia" w:eastAsia="仿宋_GB2312" w:cs="Times New Roman"/>
          <w:color w:val="auto"/>
          <w:highlight w:val="none"/>
          <w:lang w:eastAsia="zh-CN"/>
        </w:rPr>
        <w:t>。</w:t>
      </w:r>
    </w:p>
    <w:p>
      <w:pPr>
        <w:ind w:firstLine="480"/>
        <w:rPr>
          <w:rFonts w:hint="default" w:ascii="Times New Roman" w:hAnsi="Times New Roman" w:cs="Times New Roman"/>
          <w:color w:val="auto"/>
          <w:highlight w:val="none"/>
        </w:rPr>
        <w:sectPr>
          <w:headerReference r:id="rId17" w:type="default"/>
          <w:footerReference r:id="rId18" w:type="default"/>
          <w:pgSz w:w="11906" w:h="16838"/>
          <w:pgMar w:top="1440" w:right="1531" w:bottom="1440" w:left="1417" w:header="851" w:footer="992" w:gutter="0"/>
          <w:pgBorders>
            <w:top w:val="none" w:sz="0" w:space="0"/>
            <w:left w:val="none" w:sz="0" w:space="0"/>
            <w:bottom w:val="none" w:sz="0" w:space="0"/>
            <w:right w:val="none" w:sz="0" w:space="0"/>
          </w:pgBorders>
          <w:pgNumType w:start="1" w:chapStyle="1"/>
          <w:cols w:space="720" w:num="1"/>
          <w:docGrid w:linePitch="312" w:charSpace="0"/>
        </w:sectPr>
      </w:pPr>
    </w:p>
    <w:p>
      <w:pPr>
        <w:pStyle w:val="65"/>
        <w:rPr>
          <w:rFonts w:hint="default" w:ascii="Times New Roman" w:hAnsi="Times New Roman" w:cs="Times New Roman"/>
          <w:color w:val="auto"/>
          <w:highlight w:val="none"/>
        </w:rPr>
      </w:pPr>
      <w:bookmarkStart w:id="16" w:name="_Toc437269299"/>
      <w:bookmarkStart w:id="17" w:name="_Toc7621"/>
      <w:r>
        <w:rPr>
          <w:rFonts w:hint="default" w:ascii="Times New Roman" w:hAnsi="Times New Roman" w:cs="Times New Roman"/>
          <w:color w:val="auto"/>
          <w:highlight w:val="none"/>
        </w:rPr>
        <w:t>1 综合说明</w:t>
      </w:r>
      <w:bookmarkEnd w:id="0"/>
      <w:bookmarkEnd w:id="16"/>
      <w:bookmarkEnd w:id="17"/>
    </w:p>
    <w:p>
      <w:pPr>
        <w:pStyle w:val="66"/>
        <w:ind w:firstLine="148"/>
        <w:rPr>
          <w:rFonts w:hint="default" w:ascii="Times New Roman" w:hAnsi="Times New Roman" w:cs="Times New Roman"/>
          <w:color w:val="auto"/>
          <w:highlight w:val="none"/>
        </w:rPr>
      </w:pPr>
      <w:bookmarkStart w:id="18" w:name="_Toc181347827"/>
      <w:bookmarkStart w:id="19" w:name="_Toc281388969"/>
      <w:bookmarkStart w:id="20" w:name="_Toc286261298"/>
      <w:bookmarkStart w:id="21" w:name="_Toc198990052"/>
      <w:bookmarkStart w:id="22" w:name="_Toc334008411"/>
      <w:bookmarkStart w:id="23" w:name="_Toc209160997"/>
      <w:bookmarkStart w:id="24" w:name="_Toc204572529"/>
      <w:bookmarkStart w:id="25" w:name="_Toc204752353"/>
      <w:bookmarkStart w:id="26" w:name="_Toc168888752"/>
      <w:bookmarkStart w:id="27" w:name="_Toc198879318"/>
      <w:bookmarkStart w:id="28" w:name="_Toc221895964"/>
      <w:bookmarkStart w:id="29" w:name="_Toc169012205"/>
      <w:bookmarkStart w:id="30" w:name="_Toc232508567"/>
      <w:bookmarkStart w:id="31" w:name="_Toc162326791"/>
      <w:bookmarkStart w:id="32" w:name="_Toc221895757"/>
      <w:bookmarkStart w:id="33" w:name="_Toc207625491"/>
      <w:bookmarkStart w:id="34" w:name="_Toc417412290"/>
      <w:bookmarkStart w:id="35" w:name="_Toc207625675"/>
      <w:bookmarkStart w:id="36" w:name="_Toc198989709"/>
      <w:bookmarkStart w:id="37" w:name="_Toc225781495"/>
      <w:bookmarkStart w:id="38" w:name="_Toc204083327"/>
      <w:bookmarkStart w:id="39" w:name="_Toc198879108"/>
      <w:bookmarkStart w:id="40" w:name="_Toc209161094"/>
      <w:bookmarkStart w:id="41" w:name="_Toc207700347"/>
      <w:bookmarkStart w:id="42" w:name="_Toc282985257"/>
      <w:bookmarkStart w:id="43" w:name="_Toc198879555"/>
      <w:bookmarkStart w:id="44" w:name="_Toc221896088"/>
      <w:bookmarkStart w:id="45" w:name="_Toc212541491"/>
      <w:bookmarkStart w:id="46" w:name="_Toc10759"/>
      <w:r>
        <w:rPr>
          <w:rFonts w:hint="default" w:ascii="Times New Roman" w:hAnsi="Times New Roman" w:cs="Times New Roman"/>
          <w:color w:val="auto"/>
          <w:highlight w:val="none"/>
        </w:rPr>
        <w:t>1.1</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hint="default" w:ascii="Times New Roman" w:hAnsi="Times New Roman" w:cs="Times New Roman"/>
          <w:color w:val="auto"/>
          <w:highlight w:val="none"/>
        </w:rPr>
        <w:t>项目简况</w:t>
      </w:r>
      <w:bookmarkEnd w:id="46"/>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1.1.1 项目基本情况</w:t>
      </w:r>
    </w:p>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1.1.1.1 项目建设必要性</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开发太阳能资源是改善生态、保护环境、适应持续发展的需要</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状况已经警示我国所能拥有的排放空间已经十分有限了，再不加大清洁能源和可再生能源的份额，我国的经济和社会发展就将被迫减速。根据《中国应对气候变化国家方案》和《可再生能源中长期发展规划》，我国将通过大力发展可再生能源，优化能源消费结构，到 2020年，力争使可再生能源开发利用总量在一次能源供应结构中的比重提高到 15%。</w:t>
      </w:r>
      <w:r>
        <w:rPr>
          <w:rFonts w:hint="eastAsia" w:cs="Times New Roman"/>
          <w:color w:val="auto"/>
          <w:highlight w:val="none"/>
          <w:lang w:eastAsia="zh-CN"/>
        </w:rPr>
        <w:t>弗光哈密一期20MWp光伏并网发电项目</w:t>
      </w:r>
      <w:r>
        <w:rPr>
          <w:rFonts w:hint="default" w:ascii="Times New Roman" w:hAnsi="Times New Roman" w:cs="Times New Roman"/>
          <w:color w:val="auto"/>
          <w:highlight w:val="none"/>
        </w:rPr>
        <w:t>所处的新疆哈密市是新疆太阳能资源丰富的地区之一，</w:t>
      </w:r>
      <w:r>
        <w:rPr>
          <w:rFonts w:hint="default" w:ascii="Times New Roman" w:hAnsi="Times New Roman" w:cs="Times New Roman"/>
          <w:color w:val="auto"/>
          <w:highlight w:val="none"/>
          <w:lang w:eastAsia="zh-CN"/>
        </w:rPr>
        <w:t>在此</w:t>
      </w:r>
      <w:r>
        <w:rPr>
          <w:rFonts w:hint="default" w:ascii="Times New Roman" w:hAnsi="Times New Roman" w:cs="Times New Roman"/>
          <w:color w:val="auto"/>
          <w:highlight w:val="none"/>
        </w:rPr>
        <w:t>开发光伏发电项目有利于增加可再生能源的比例，优化系统</w:t>
      </w:r>
      <w:r>
        <w:rPr>
          <w:rFonts w:hint="default" w:ascii="Times New Roman" w:hAnsi="Times New Roman" w:cs="Times New Roman"/>
          <w:color w:val="auto"/>
          <w:highlight w:val="none"/>
          <w:lang w:eastAsia="zh-CN"/>
        </w:rPr>
        <w:t>能源</w:t>
      </w:r>
      <w:r>
        <w:rPr>
          <w:rFonts w:hint="default" w:ascii="Times New Roman" w:hAnsi="Times New Roman" w:cs="Times New Roman"/>
          <w:color w:val="auto"/>
          <w:highlight w:val="none"/>
        </w:rPr>
        <w:t>结构，且没有任何污染，减轻环保压力。</w:t>
      </w:r>
    </w:p>
    <w:p>
      <w:pPr>
        <w:pStyle w:val="56"/>
        <w:ind w:firstLine="480"/>
        <w:rPr>
          <w:rFonts w:hint="eastAsia"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根据《哈密电网“十二五”发展规划》，哈密电网2015 年需电量 62.6 亿 kW·h，最高负荷为 1164MW，电量缺口约为 41.3 亿 kW·h，需从主网供电。哈密弗光 20MWp 光伏并网</w:t>
      </w:r>
      <w:r>
        <w:rPr>
          <w:rFonts w:hint="eastAsia" w:cs="Times New Roman"/>
          <w:color w:val="auto"/>
          <w:highlight w:val="none"/>
          <w:lang w:eastAsia="zh-CN"/>
        </w:rPr>
        <w:t>发电项目</w:t>
      </w:r>
      <w:r>
        <w:rPr>
          <w:rFonts w:hint="default" w:ascii="Times New Roman" w:hAnsi="Times New Roman" w:cs="Times New Roman"/>
          <w:color w:val="auto"/>
          <w:highlight w:val="none"/>
        </w:rPr>
        <w:t>建成后，可向电网提供一定的电力电量，促进地区经济可持续发</w:t>
      </w:r>
      <w:r>
        <w:rPr>
          <w:rFonts w:hint="eastAsia" w:ascii="Times New Roman" w:hAnsi="Times New Roman" w:cs="Times New Roman"/>
          <w:color w:val="auto"/>
          <w:highlight w:val="none"/>
          <w:lang w:eastAsia="zh-CN"/>
        </w:rPr>
        <w:t>展，开发太阳能资源补充电网电量也符合国家能源政策。</w:t>
      </w:r>
    </w:p>
    <w:p>
      <w:pPr>
        <w:pStyle w:val="56"/>
        <w:ind w:firstLine="480"/>
        <w:rPr>
          <w:rFonts w:hint="eastAsia"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2007 年底国家发展和改革委员会下发了《关于开展 大型并网光伏示范电站建设有关要求的通知》，鼓励在宁夏、新疆、西藏、青海、 甘肃等太阳能资源丰富地区开展大型并网光伏电站的建设工作。本太阳能并网光伏电站选址在新疆，是国家政策鼓励扶持地区。</w:t>
      </w:r>
      <w:r>
        <w:rPr>
          <w:rFonts w:hint="eastAsia" w:ascii="Times New Roman" w:hAnsi="Times New Roman" w:cs="Times New Roman"/>
          <w:color w:val="auto"/>
          <w:highlight w:val="none"/>
          <w:lang w:eastAsia="zh-CN"/>
        </w:rPr>
        <w:t>本工程已列入“国家可再生能源电价附加资金补助目录（第六批）”。</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太阳能光伏发电不产生燃煤发电带来的污染物排放问题。同时，电池板可循环使用，系统材料可再利用，光伏的能源投入可进一步降低</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是一项新型的绿色环保项目。大力发展太阳能发电事业，可以减轻矿物能源燃烧给环境造成的污染，保护环境，有利于建设环境和谐的社会。</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中国是世界上最大的发展中国家，经济高速发展，中国能源消耗增长速度居世界首位，加剧了中国能源替代形势的严重性和紧迫性。中国电力科学院的研究表明，在考虑到充分开发煤电、水电和核电的情况下，2010年和2020年电力供需的缺口分别为6.4%和10.7%</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这个缺口正是需要用可再生能源发电进行补充的。而太阳能光伏发电可能在未来</w:t>
      </w:r>
      <w:r>
        <w:rPr>
          <w:rFonts w:hint="default" w:ascii="Times New Roman" w:hAnsi="Times New Roman" w:cs="Times New Roman"/>
          <w:color w:val="auto"/>
          <w:highlight w:val="none"/>
          <w:lang w:eastAsia="zh-CN"/>
        </w:rPr>
        <w:t>我国</w:t>
      </w:r>
      <w:r>
        <w:rPr>
          <w:rFonts w:hint="default" w:ascii="Times New Roman" w:hAnsi="Times New Roman" w:cs="Times New Roman"/>
          <w:color w:val="auto"/>
          <w:highlight w:val="none"/>
        </w:rPr>
        <w:t>的能源供应中占据主要位置。因此建设本</w:t>
      </w:r>
      <w:r>
        <w:rPr>
          <w:rFonts w:hint="default" w:ascii="Times New Roman" w:hAnsi="Times New Roman" w:cs="Times New Roman"/>
          <w:color w:val="auto"/>
          <w:highlight w:val="none"/>
          <w:lang w:eastAsia="zh-CN"/>
        </w:rPr>
        <w:t>项目的建设</w:t>
      </w:r>
      <w:r>
        <w:rPr>
          <w:rFonts w:hint="default" w:ascii="Times New Roman" w:hAnsi="Times New Roman" w:cs="Times New Roman"/>
          <w:color w:val="auto"/>
          <w:highlight w:val="none"/>
        </w:rPr>
        <w:t>是必要的。</w:t>
      </w:r>
    </w:p>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1.1.1.2 地理位置</w:t>
      </w:r>
    </w:p>
    <w:p>
      <w:pPr>
        <w:pStyle w:val="56"/>
        <w:ind w:firstLine="480"/>
        <w:rPr>
          <w:rFonts w:hint="default" w:ascii="Times New Roman" w:hAnsi="Times New Roman" w:cs="Times New Roman"/>
          <w:color w:val="auto"/>
          <w:highlight w:val="none"/>
        </w:rPr>
      </w:pPr>
      <w:r>
        <w:rPr>
          <w:rFonts w:hint="eastAsia" w:cs="Times New Roman"/>
          <w:color w:val="auto"/>
          <w:highlight w:val="none"/>
          <w:lang w:eastAsia="zh-CN"/>
        </w:rPr>
        <w:t>弗光哈密一期20MWp光伏并网发电项目</w:t>
      </w:r>
      <w:r>
        <w:rPr>
          <w:rFonts w:hint="default" w:ascii="Times New Roman" w:hAnsi="Times New Roman" w:cs="Times New Roman"/>
          <w:color w:val="auto"/>
          <w:highlight w:val="none"/>
        </w:rPr>
        <w:t>位于新疆</w:t>
      </w:r>
      <w:r>
        <w:rPr>
          <w:rFonts w:hint="eastAsia" w:cs="Times New Roman"/>
          <w:color w:val="auto"/>
          <w:highlight w:val="none"/>
          <w:lang w:eastAsia="zh-CN"/>
        </w:rPr>
        <w:t>维吾尔自治区</w:t>
      </w:r>
      <w:r>
        <w:rPr>
          <w:rFonts w:hint="default" w:ascii="Times New Roman" w:hAnsi="Times New Roman" w:cs="Times New Roman"/>
          <w:color w:val="auto"/>
          <w:highlight w:val="none"/>
        </w:rPr>
        <w:t>哈密市北部的石城子光伏园区，距离</w:t>
      </w:r>
      <w:r>
        <w:rPr>
          <w:rFonts w:hint="eastAsia" w:cs="Times New Roman"/>
          <w:color w:val="auto"/>
          <w:highlight w:val="none"/>
          <w:lang w:eastAsia="zh-CN"/>
        </w:rPr>
        <w:t>哈密市</w:t>
      </w:r>
      <w:r>
        <w:rPr>
          <w:rFonts w:hint="default" w:ascii="Times New Roman" w:hAnsi="Times New Roman" w:cs="Times New Roman"/>
          <w:color w:val="auto"/>
          <w:highlight w:val="none"/>
          <w:lang w:eastAsia="zh-CN"/>
        </w:rPr>
        <w:t>中心约</w:t>
      </w:r>
      <w:r>
        <w:rPr>
          <w:rFonts w:hint="eastAsia" w:cs="Times New Roman"/>
          <w:color w:val="auto"/>
          <w:highlight w:val="none"/>
          <w:lang w:val="en-US" w:eastAsia="zh-CN"/>
        </w:rPr>
        <w:t>20</w:t>
      </w:r>
      <w:r>
        <w:rPr>
          <w:rFonts w:hint="default" w:ascii="Times New Roman" w:hAnsi="Times New Roman" w:cs="Times New Roman"/>
          <w:color w:val="auto"/>
          <w:highlight w:val="none"/>
        </w:rPr>
        <w:t>km</w:t>
      </w:r>
      <w:r>
        <w:rPr>
          <w:rFonts w:hint="eastAsia" w:cs="Times New Roman"/>
          <w:color w:val="auto"/>
          <w:highlight w:val="none"/>
          <w:lang w:eastAsia="zh-CN"/>
        </w:rPr>
        <w:t>，</w:t>
      </w:r>
      <w:r>
        <w:rPr>
          <w:rFonts w:hint="default" w:ascii="Times New Roman" w:hAnsi="Times New Roman" w:cs="Times New Roman"/>
          <w:color w:val="auto"/>
          <w:highlight w:val="none"/>
          <w:lang w:eastAsia="zh-CN"/>
        </w:rPr>
        <w:t>场址范围为N 43°01′17.42″～N43°01′50.86″， E93°35′48.17″～E 93°37′06.08″</w:t>
      </w:r>
      <w:r>
        <w:rPr>
          <w:rFonts w:hint="eastAsia" w:cs="Times New Roman"/>
          <w:color w:val="auto"/>
          <w:highlight w:val="none"/>
          <w:lang w:eastAsia="zh-CN"/>
        </w:rPr>
        <w:t>，</w:t>
      </w:r>
      <w:r>
        <w:rPr>
          <w:rFonts w:hint="eastAsia" w:cs="Times New Roman"/>
          <w:color w:val="auto"/>
          <w:highlight w:val="none"/>
          <w:lang w:val="en-US" w:eastAsia="zh-CN"/>
        </w:rPr>
        <w:t>项目中心地理坐标N43°01′18.51″，E93°36′30.29″。</w:t>
      </w:r>
      <w:r>
        <w:rPr>
          <w:rFonts w:hint="default" w:ascii="Times New Roman" w:hAnsi="Times New Roman" w:cs="Times New Roman"/>
          <w:color w:val="auto"/>
          <w:highlight w:val="none"/>
        </w:rPr>
        <w:t xml:space="preserve">S303省道和 </w:t>
      </w:r>
      <w:r>
        <w:rPr>
          <w:rFonts w:hint="eastAsia" w:cs="Times New Roman"/>
          <w:color w:val="auto"/>
          <w:highlight w:val="none"/>
          <w:lang w:eastAsia="zh-CN"/>
        </w:rPr>
        <w:t>Z504公路</w:t>
      </w:r>
      <w:r>
        <w:rPr>
          <w:rFonts w:hint="default" w:ascii="Times New Roman" w:hAnsi="Times New Roman" w:cs="Times New Roman"/>
          <w:color w:val="auto"/>
          <w:highlight w:val="none"/>
        </w:rPr>
        <w:t>分别从场址的东</w:t>
      </w:r>
      <w:r>
        <w:rPr>
          <w:rFonts w:hint="eastAsia" w:cs="Times New Roman"/>
          <w:color w:val="auto"/>
          <w:highlight w:val="none"/>
          <w:lang w:eastAsia="zh-CN"/>
        </w:rPr>
        <w:t>侧</w:t>
      </w:r>
      <w:r>
        <w:rPr>
          <w:rFonts w:hint="eastAsia" w:cs="Times New Roman"/>
          <w:color w:val="auto"/>
          <w:highlight w:val="none"/>
          <w:lang w:val="en-US" w:eastAsia="zh-CN"/>
        </w:rPr>
        <w:t>4km和</w:t>
      </w:r>
      <w:r>
        <w:rPr>
          <w:rFonts w:hint="default" w:ascii="Times New Roman" w:hAnsi="Times New Roman" w:cs="Times New Roman"/>
          <w:color w:val="auto"/>
          <w:highlight w:val="none"/>
        </w:rPr>
        <w:t>西侧</w:t>
      </w:r>
      <w:r>
        <w:rPr>
          <w:rFonts w:hint="eastAsia" w:cs="Times New Roman"/>
          <w:color w:val="auto"/>
          <w:highlight w:val="none"/>
          <w:lang w:val="en-US" w:eastAsia="zh-CN"/>
        </w:rPr>
        <w:t>2km处</w:t>
      </w:r>
      <w:r>
        <w:rPr>
          <w:rFonts w:hint="default" w:ascii="Times New Roman" w:hAnsi="Times New Roman" w:cs="Times New Roman"/>
          <w:color w:val="auto"/>
          <w:highlight w:val="none"/>
        </w:rPr>
        <w:t>通过，交通条件较为便利。</w:t>
      </w:r>
    </w:p>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1.1.1.3 基本情况</w:t>
      </w:r>
    </w:p>
    <w:p>
      <w:pPr>
        <w:pStyle w:val="56"/>
        <w:ind w:firstLine="480"/>
        <w:rPr>
          <w:rFonts w:hint="eastAsia" w:cs="Times New Roman"/>
          <w:color w:val="auto"/>
          <w:highlight w:val="none"/>
          <w:lang w:eastAsia="zh-CN"/>
        </w:rPr>
      </w:pPr>
      <w:r>
        <w:rPr>
          <w:rFonts w:hint="eastAsia" w:cs="Times New Roman"/>
          <w:color w:val="auto"/>
          <w:highlight w:val="none"/>
          <w:lang w:eastAsia="zh-CN"/>
        </w:rPr>
        <w:t>弗光哈密一期20MWp光伏并网发电项目</w:t>
      </w:r>
      <w:r>
        <w:rPr>
          <w:rFonts w:hint="default" w:ascii="Times New Roman" w:hAnsi="Times New Roman" w:cs="Times New Roman"/>
          <w:color w:val="auto"/>
          <w:highlight w:val="none"/>
        </w:rPr>
        <w:t>为新建建设类，</w:t>
      </w:r>
      <w:r>
        <w:rPr>
          <w:rFonts w:hint="eastAsia" w:cs="Times New Roman"/>
          <w:color w:val="auto"/>
          <w:highlight w:val="none"/>
          <w:lang w:eastAsia="zh-CN"/>
        </w:rPr>
        <w:t>核准建设规模为20MWp，一期</w:t>
      </w:r>
      <w:r>
        <w:rPr>
          <w:rFonts w:hint="default" w:ascii="Times New Roman" w:hAnsi="Times New Roman" w:cs="Times New Roman"/>
          <w:color w:val="auto"/>
          <w:highlight w:val="none"/>
        </w:rPr>
        <w:t>建设规模</w:t>
      </w:r>
      <w:r>
        <w:rPr>
          <w:rFonts w:hint="eastAsia" w:cs="Times New Roman"/>
          <w:color w:val="auto"/>
          <w:highlight w:val="none"/>
          <w:lang w:eastAsia="zh-CN"/>
        </w:rPr>
        <w:t>为</w:t>
      </w:r>
      <w:r>
        <w:rPr>
          <w:rFonts w:hint="eastAsia" w:cs="Times New Roman"/>
          <w:color w:val="auto"/>
          <w:highlight w:val="none"/>
          <w:lang w:val="en-US" w:eastAsia="zh-CN"/>
        </w:rPr>
        <w:t>11.76444</w:t>
      </w:r>
      <w:r>
        <w:rPr>
          <w:rFonts w:hint="default" w:ascii="Times New Roman" w:hAnsi="Times New Roman" w:cs="Times New Roman"/>
          <w:color w:val="auto"/>
          <w:highlight w:val="none"/>
          <w:lang w:eastAsia="zh-CN"/>
        </w:rPr>
        <w:t>MWp</w:t>
      </w:r>
      <w:r>
        <w:rPr>
          <w:rFonts w:hint="eastAsia" w:cs="Times New Roman"/>
          <w:color w:val="auto"/>
          <w:highlight w:val="none"/>
          <w:lang w:eastAsia="zh-CN"/>
        </w:rPr>
        <w:t>，建设</w:t>
      </w:r>
      <w:r>
        <w:rPr>
          <w:rFonts w:hint="default" w:ascii="Times New Roman" w:hAnsi="Times New Roman" w:cs="Times New Roman"/>
          <w:color w:val="auto"/>
          <w:highlight w:val="none"/>
        </w:rPr>
        <w:t>单位为</w:t>
      </w:r>
      <w:r>
        <w:rPr>
          <w:rFonts w:hint="eastAsia" w:cs="Times New Roman"/>
          <w:color w:val="auto"/>
          <w:highlight w:val="none"/>
          <w:lang w:eastAsia="zh-CN"/>
        </w:rPr>
        <w:t>哈密弗光太阳能有限公司，建设时间为</w:t>
      </w:r>
      <w:r>
        <w:rPr>
          <w:rFonts w:hint="default" w:ascii="Times New Roman" w:hAnsi="Times New Roman" w:cs="Times New Roman"/>
          <w:color w:val="auto"/>
          <w:highlight w:val="none"/>
        </w:rPr>
        <w:t>20</w:t>
      </w:r>
      <w:r>
        <w:rPr>
          <w:rFonts w:hint="eastAsia" w:cs="Times New Roman"/>
          <w:color w:val="auto"/>
          <w:highlight w:val="none"/>
          <w:lang w:val="en-US" w:eastAsia="zh-CN"/>
        </w:rPr>
        <w:t>12</w:t>
      </w:r>
      <w:r>
        <w:rPr>
          <w:rFonts w:hint="default" w:ascii="Times New Roman" w:hAnsi="Times New Roman" w:cs="Times New Roman"/>
          <w:color w:val="auto"/>
          <w:highlight w:val="none"/>
        </w:rPr>
        <w:t>年</w:t>
      </w:r>
      <w:r>
        <w:rPr>
          <w:rFonts w:hint="eastAsia" w:cs="Times New Roman"/>
          <w:color w:val="auto"/>
          <w:highlight w:val="none"/>
          <w:lang w:val="en-US" w:eastAsia="zh-CN"/>
        </w:rPr>
        <w:t>12</w:t>
      </w:r>
      <w:r>
        <w:rPr>
          <w:rFonts w:hint="default" w:ascii="Times New Roman" w:hAnsi="Times New Roman" w:cs="Times New Roman"/>
          <w:color w:val="auto"/>
          <w:highlight w:val="none"/>
        </w:rPr>
        <w:t>月</w:t>
      </w:r>
      <w:r>
        <w:rPr>
          <w:rFonts w:hint="eastAsia" w:cs="Times New Roman"/>
          <w:color w:val="auto"/>
          <w:highlight w:val="none"/>
          <w:lang w:val="en-US" w:eastAsia="zh-CN"/>
        </w:rPr>
        <w:t>1日至</w:t>
      </w:r>
      <w:r>
        <w:rPr>
          <w:rFonts w:hint="default" w:ascii="Times New Roman" w:hAnsi="Times New Roman" w:cs="Times New Roman"/>
          <w:color w:val="auto"/>
          <w:highlight w:val="none"/>
        </w:rPr>
        <w:t>20</w:t>
      </w:r>
      <w:r>
        <w:rPr>
          <w:rFonts w:hint="eastAsia" w:cs="Times New Roman"/>
          <w:color w:val="auto"/>
          <w:highlight w:val="none"/>
          <w:lang w:val="en-US" w:eastAsia="zh-CN"/>
        </w:rPr>
        <w:t>13</w:t>
      </w:r>
      <w:r>
        <w:rPr>
          <w:rFonts w:hint="default" w:ascii="Times New Roman" w:hAnsi="Times New Roman" w:cs="Times New Roman"/>
          <w:color w:val="auto"/>
          <w:highlight w:val="none"/>
        </w:rPr>
        <w:t>年12月</w:t>
      </w:r>
      <w:r>
        <w:rPr>
          <w:rFonts w:hint="eastAsia" w:cs="Times New Roman"/>
          <w:color w:val="auto"/>
          <w:highlight w:val="none"/>
          <w:lang w:val="en-US" w:eastAsia="zh-CN"/>
        </w:rPr>
        <w:t>10日</w:t>
      </w:r>
      <w:r>
        <w:rPr>
          <w:rFonts w:hint="eastAsia" w:cs="Times New Roman"/>
          <w:color w:val="auto"/>
          <w:highlight w:val="none"/>
          <w:lang w:eastAsia="zh-CN"/>
        </w:rPr>
        <w:t>，总工期</w:t>
      </w:r>
      <w:r>
        <w:rPr>
          <w:rFonts w:hint="eastAsia" w:cs="Times New Roman"/>
          <w:color w:val="auto"/>
          <w:highlight w:val="none"/>
          <w:lang w:val="en-US" w:eastAsia="zh-CN"/>
        </w:rPr>
        <w:t>13个月，</w:t>
      </w:r>
      <w:r>
        <w:rPr>
          <w:rFonts w:hint="eastAsia" w:cs="Times New Roman"/>
          <w:color w:val="auto"/>
          <w:highlight w:val="none"/>
          <w:lang w:eastAsia="zh-CN"/>
        </w:rPr>
        <w:t>本项目一期工程于</w:t>
      </w:r>
      <w:r>
        <w:rPr>
          <w:rFonts w:hint="eastAsia" w:cs="Times New Roman"/>
          <w:color w:val="auto"/>
          <w:highlight w:val="none"/>
          <w:lang w:val="en-US" w:eastAsia="zh-CN"/>
        </w:rPr>
        <w:t>2013年12月20日并网发电。本项目二期工程建设规模为8</w:t>
      </w:r>
      <w:r>
        <w:rPr>
          <w:rFonts w:hint="default" w:ascii="Times New Roman" w:hAnsi="Times New Roman" w:cs="Times New Roman"/>
          <w:color w:val="auto"/>
          <w:highlight w:val="none"/>
          <w:lang w:eastAsia="zh-CN"/>
        </w:rPr>
        <w:t>MWp</w:t>
      </w:r>
      <w:r>
        <w:rPr>
          <w:rFonts w:hint="eastAsia" w:cs="Times New Roman"/>
          <w:color w:val="auto"/>
          <w:highlight w:val="none"/>
          <w:lang w:eastAsia="zh-CN"/>
        </w:rPr>
        <w:t>，建设</w:t>
      </w:r>
      <w:r>
        <w:rPr>
          <w:rFonts w:hint="default" w:ascii="Times New Roman" w:hAnsi="Times New Roman" w:cs="Times New Roman"/>
          <w:color w:val="auto"/>
          <w:highlight w:val="none"/>
        </w:rPr>
        <w:t>单位为</w:t>
      </w:r>
      <w:r>
        <w:rPr>
          <w:rFonts w:hint="eastAsia" w:cs="Times New Roman"/>
          <w:color w:val="auto"/>
          <w:highlight w:val="none"/>
          <w:lang w:eastAsia="zh-CN"/>
        </w:rPr>
        <w:t>哈密弗光太阳能有限公司，二期项目已预留建设用地，建设时间尚未确定。</w:t>
      </w:r>
    </w:p>
    <w:p>
      <w:pPr>
        <w:pStyle w:val="56"/>
        <w:keepNext w:val="0"/>
        <w:keepLines w:val="0"/>
        <w:pageBreakBefore w:val="0"/>
        <w:widowControl/>
        <w:numPr>
          <w:ilvl w:val="0"/>
          <w:numId w:val="0"/>
        </w:numPr>
        <w:kinsoku/>
        <w:wordWrap/>
        <w:overflowPunct/>
        <w:topLinePunct w:val="0"/>
        <w:autoSpaceDE/>
        <w:autoSpaceDN/>
        <w:bidi w:val="0"/>
        <w:adjustRightInd w:val="0"/>
        <w:snapToGrid w:val="0"/>
        <w:ind w:left="0" w:leftChars="0" w:firstLine="480" w:firstLineChars="200"/>
        <w:textAlignment w:val="auto"/>
        <w:outlineLvl w:val="9"/>
        <w:rPr>
          <w:rFonts w:hint="default" w:cs="Times New Roman"/>
          <w:color w:val="auto"/>
          <w:highlight w:val="none"/>
          <w:lang w:val="en-US" w:eastAsia="zh-CN"/>
        </w:rPr>
      </w:pPr>
      <w:r>
        <w:rPr>
          <w:rFonts w:hint="eastAsia" w:cs="Times New Roman"/>
          <w:color w:val="auto"/>
          <w:highlight w:val="none"/>
          <w:lang w:eastAsia="zh-CN"/>
        </w:rPr>
        <w:t>本项目场址位于哈密市北部约 20km 的石城子光伏园区西侧，石城子光伏发电园区总规划容量约460MWp，占地范围约18.22km</w:t>
      </w:r>
      <w:r>
        <w:rPr>
          <w:rFonts w:hint="eastAsia" w:cs="Times New Roman"/>
          <w:color w:val="auto"/>
          <w:highlight w:val="none"/>
          <w:vertAlign w:val="superscript"/>
          <w:lang w:eastAsia="zh-CN"/>
        </w:rPr>
        <w:t>2</w:t>
      </w:r>
      <w:r>
        <w:rPr>
          <w:rFonts w:hint="eastAsia" w:cs="Times New Roman"/>
          <w:color w:val="auto"/>
          <w:highlight w:val="none"/>
          <w:lang w:eastAsia="zh-CN"/>
        </w:rPr>
        <w:t>，园区已在各发电地块外规划建设交通、厂用电、电力廊道、接入线路、通信、供水、 防洪等公共设施，基础设施配备齐全，交通、用水、用电、通信、送出条件优越便利。</w:t>
      </w:r>
    </w:p>
    <w:p>
      <w:pPr>
        <w:pStyle w:val="56"/>
        <w:spacing w:line="360" w:lineRule="auto"/>
        <w:ind w:firstLine="480"/>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eastAsia="zh-CN"/>
        </w:rPr>
        <w:t>交通工程：</w:t>
      </w:r>
      <w:r>
        <w:rPr>
          <w:rFonts w:hint="default" w:ascii="Times New Roman" w:hAnsi="Times New Roman" w:cs="Times New Roman"/>
          <w:color w:val="auto"/>
          <w:highlight w:val="none"/>
        </w:rPr>
        <w:t>项目厂址区</w:t>
      </w:r>
      <w:r>
        <w:rPr>
          <w:rFonts w:hint="eastAsia" w:cs="Times New Roman"/>
          <w:color w:val="auto"/>
          <w:highlight w:val="none"/>
          <w:lang w:eastAsia="zh-CN"/>
        </w:rPr>
        <w:t>东侧</w:t>
      </w:r>
      <w:r>
        <w:rPr>
          <w:rFonts w:hint="eastAsia" w:cs="Times New Roman"/>
          <w:color w:val="auto"/>
          <w:highlight w:val="none"/>
          <w:lang w:val="en-US" w:eastAsia="zh-CN"/>
        </w:rPr>
        <w:t>4km和</w:t>
      </w:r>
      <w:r>
        <w:rPr>
          <w:rFonts w:hint="default" w:ascii="Times New Roman" w:hAnsi="Times New Roman" w:cs="Times New Roman"/>
          <w:color w:val="auto"/>
          <w:highlight w:val="none"/>
        </w:rPr>
        <w:t>西侧</w:t>
      </w:r>
      <w:r>
        <w:rPr>
          <w:rFonts w:hint="eastAsia" w:cs="Times New Roman"/>
          <w:color w:val="auto"/>
          <w:highlight w:val="none"/>
          <w:lang w:val="en-US" w:eastAsia="zh-CN"/>
        </w:rPr>
        <w:t>2km处</w:t>
      </w:r>
      <w:r>
        <w:rPr>
          <w:rFonts w:hint="eastAsia" w:cs="Times New Roman"/>
          <w:color w:val="auto"/>
          <w:highlight w:val="none"/>
          <w:lang w:eastAsia="zh-CN"/>
        </w:rPr>
        <w:t>各有一条</w:t>
      </w:r>
      <w:r>
        <w:rPr>
          <w:rFonts w:hint="default" w:ascii="Times New Roman" w:hAnsi="Times New Roman" w:cs="Times New Roman"/>
          <w:color w:val="auto"/>
          <w:highlight w:val="none"/>
        </w:rPr>
        <w:t>S303省道和</w:t>
      </w:r>
      <w:r>
        <w:rPr>
          <w:rFonts w:hint="eastAsia" w:cs="Times New Roman"/>
          <w:color w:val="auto"/>
          <w:highlight w:val="none"/>
          <w:lang w:eastAsia="zh-CN"/>
        </w:rPr>
        <w:t>一条</w:t>
      </w:r>
      <w:r>
        <w:rPr>
          <w:rFonts w:hint="eastAsia" w:cs="Times New Roman"/>
          <w:color w:val="auto"/>
          <w:highlight w:val="none"/>
          <w:lang w:val="en-US" w:eastAsia="zh-CN"/>
        </w:rPr>
        <w:t>Z504公路</w:t>
      </w:r>
      <w:r>
        <w:rPr>
          <w:rFonts w:hint="eastAsia" w:cs="Times New Roman"/>
          <w:color w:val="auto"/>
          <w:highlight w:val="none"/>
          <w:lang w:eastAsia="zh-CN"/>
        </w:rPr>
        <w:t>通过，交通便利。工业园区内部交通路网完善，为本项目提供便利的交通条件，</w:t>
      </w:r>
      <w:r>
        <w:rPr>
          <w:rFonts w:hint="default" w:ascii="Times New Roman" w:hAnsi="Times New Roman" w:cs="Times New Roman"/>
          <w:color w:val="auto"/>
          <w:highlight w:val="none"/>
        </w:rPr>
        <w:t>因此本项目</w:t>
      </w:r>
      <w:r>
        <w:rPr>
          <w:rFonts w:hint="eastAsia" w:cs="Times New Roman"/>
          <w:color w:val="auto"/>
          <w:highlight w:val="none"/>
          <w:lang w:eastAsia="zh-CN"/>
        </w:rPr>
        <w:t>只</w:t>
      </w:r>
      <w:r>
        <w:rPr>
          <w:rFonts w:hint="default" w:ascii="Times New Roman" w:hAnsi="Times New Roman" w:cs="Times New Roman"/>
          <w:color w:val="auto"/>
          <w:highlight w:val="none"/>
        </w:rPr>
        <w:t>建设</w:t>
      </w:r>
      <w:r>
        <w:rPr>
          <w:rFonts w:hint="eastAsia" w:cs="Times New Roman"/>
          <w:color w:val="auto"/>
          <w:highlight w:val="none"/>
          <w:lang w:eastAsia="zh-CN"/>
        </w:rPr>
        <w:t>一条宽</w:t>
      </w:r>
      <w:r>
        <w:rPr>
          <w:rFonts w:hint="eastAsia" w:cs="Times New Roman"/>
          <w:color w:val="auto"/>
          <w:highlight w:val="none"/>
          <w:lang w:val="en-US" w:eastAsia="zh-CN"/>
        </w:rPr>
        <w:t>6m，长50m的混凝土路面</w:t>
      </w:r>
      <w:r>
        <w:rPr>
          <w:rFonts w:hint="default" w:ascii="Times New Roman" w:hAnsi="Times New Roman" w:cs="Times New Roman"/>
          <w:color w:val="auto"/>
          <w:highlight w:val="none"/>
          <w:lang w:eastAsia="zh-CN"/>
        </w:rPr>
        <w:t>进场道路</w:t>
      </w:r>
      <w:r>
        <w:rPr>
          <w:rFonts w:hint="eastAsia" w:cs="Times New Roman"/>
          <w:color w:val="auto"/>
          <w:highlight w:val="none"/>
          <w:lang w:eastAsia="zh-CN"/>
        </w:rPr>
        <w:t>垂直接入与园区内部道路。</w:t>
      </w:r>
    </w:p>
    <w:p>
      <w:pPr>
        <w:pStyle w:val="56"/>
        <w:keepNext w:val="0"/>
        <w:keepLines w:val="0"/>
        <w:pageBreakBefore w:val="0"/>
        <w:widowControl/>
        <w:numPr>
          <w:ilvl w:val="0"/>
          <w:numId w:val="0"/>
        </w:numPr>
        <w:kinsoku/>
        <w:wordWrap/>
        <w:overflowPunct/>
        <w:topLinePunct w:val="0"/>
        <w:autoSpaceDE/>
        <w:autoSpaceDN/>
        <w:bidi w:val="0"/>
        <w:adjustRightInd w:val="0"/>
        <w:snapToGrid w:val="0"/>
        <w:ind w:leftChars="0" w:firstLine="480" w:firstLineChars="200"/>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用水、用电：</w:t>
      </w:r>
      <w:r>
        <w:rPr>
          <w:rFonts w:hint="eastAsia" w:cs="Times New Roman"/>
          <w:color w:val="auto"/>
          <w:highlight w:val="none"/>
          <w:lang w:eastAsia="zh-CN"/>
        </w:rPr>
        <w:t>本项目</w:t>
      </w:r>
      <w:r>
        <w:rPr>
          <w:rFonts w:hint="default" w:ascii="Times New Roman" w:hAnsi="Times New Roman" w:cs="Times New Roman"/>
          <w:color w:val="auto"/>
          <w:highlight w:val="none"/>
        </w:rPr>
        <w:t>施工期生产用水均引自园区给水管网</w:t>
      </w:r>
      <w:r>
        <w:rPr>
          <w:rFonts w:hint="eastAsia" w:cs="Times New Roman"/>
          <w:color w:val="auto"/>
          <w:highlight w:val="none"/>
          <w:lang w:eastAsia="zh-CN"/>
        </w:rPr>
        <w:t>；</w:t>
      </w:r>
      <w:r>
        <w:rPr>
          <w:rFonts w:hint="default" w:ascii="Times New Roman" w:hAnsi="Times New Roman" w:cs="Times New Roman"/>
          <w:color w:val="auto"/>
          <w:highlight w:val="none"/>
        </w:rPr>
        <w:t>施工高峰日用水量为150m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eastAsia="zh-CN"/>
        </w:rPr>
        <w:t>；</w:t>
      </w:r>
      <w:r>
        <w:rPr>
          <w:rFonts w:hint="default" w:ascii="Times New Roman" w:hAnsi="Times New Roman" w:cs="Times New Roman"/>
          <w:color w:val="auto"/>
          <w:highlight w:val="none"/>
        </w:rPr>
        <w:t>工程</w:t>
      </w:r>
      <w:r>
        <w:rPr>
          <w:rFonts w:hint="eastAsia" w:cs="Times New Roman"/>
          <w:color w:val="auto"/>
          <w:highlight w:val="none"/>
          <w:lang w:eastAsia="zh-CN"/>
        </w:rPr>
        <w:t>运行期</w:t>
      </w:r>
      <w:r>
        <w:rPr>
          <w:rFonts w:hint="default" w:ascii="Times New Roman" w:hAnsi="Times New Roman" w:cs="Times New Roman"/>
          <w:color w:val="auto"/>
          <w:highlight w:val="none"/>
        </w:rPr>
        <w:t>生活用、浇洒道路用水和冲洗电池组件用水</w:t>
      </w:r>
      <w:r>
        <w:rPr>
          <w:rFonts w:hint="eastAsia" w:cs="Times New Roman"/>
          <w:color w:val="auto"/>
          <w:highlight w:val="none"/>
          <w:lang w:eastAsia="zh-CN"/>
        </w:rPr>
        <w:t>均</w:t>
      </w:r>
      <w:r>
        <w:rPr>
          <w:rFonts w:hint="default" w:ascii="Times New Roman" w:hAnsi="Times New Roman" w:cs="Times New Roman"/>
          <w:color w:val="auto"/>
          <w:highlight w:val="none"/>
        </w:rPr>
        <w:t>引自园区给水管网</w:t>
      </w:r>
      <w:r>
        <w:rPr>
          <w:rFonts w:hint="eastAsia" w:cs="Times New Roman"/>
          <w:color w:val="auto"/>
          <w:highlight w:val="none"/>
          <w:lang w:eastAsia="zh-CN"/>
        </w:rPr>
        <w:t>，</w:t>
      </w:r>
      <w:r>
        <w:rPr>
          <w:rFonts w:hint="default" w:ascii="Times New Roman" w:hAnsi="Times New Roman" w:cs="Times New Roman"/>
          <w:color w:val="auto"/>
          <w:highlight w:val="none"/>
        </w:rPr>
        <w:t>年总用水量为4497.17m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 本工程施工用电电源引自园区10kV厂用电供电系统，沿光伏电站进场道路布置线路，各标段施工单位由该线路接入各自施工区域</w:t>
      </w:r>
      <w:r>
        <w:rPr>
          <w:rFonts w:hint="eastAsia" w:cs="Times New Roman"/>
          <w:color w:val="auto"/>
          <w:highlight w:val="none"/>
          <w:lang w:eastAsia="zh-CN"/>
        </w:rPr>
        <w:t>，</w:t>
      </w:r>
      <w:r>
        <w:rPr>
          <w:rFonts w:hint="default" w:ascii="Times New Roman" w:hAnsi="Times New Roman" w:cs="Times New Roman"/>
          <w:color w:val="auto"/>
          <w:highlight w:val="none"/>
        </w:rPr>
        <w:t>工程高峰期施工用电负荷约为250kW</w:t>
      </w:r>
      <w:r>
        <w:rPr>
          <w:rFonts w:hint="eastAsia" w:cs="Times New Roman"/>
          <w:color w:val="auto"/>
          <w:highlight w:val="none"/>
          <w:lang w:eastAsia="zh-CN"/>
        </w:rPr>
        <w:t>；项目</w:t>
      </w:r>
      <w:r>
        <w:rPr>
          <w:rFonts w:hint="default" w:ascii="Times New Roman" w:hAnsi="Times New Roman" w:cs="Times New Roman"/>
          <w:color w:val="auto"/>
          <w:highlight w:val="none"/>
        </w:rPr>
        <w:t>运行期</w:t>
      </w:r>
      <w:r>
        <w:rPr>
          <w:rFonts w:hint="eastAsia" w:cs="Times New Roman"/>
          <w:color w:val="auto"/>
          <w:highlight w:val="none"/>
          <w:lang w:eastAsia="zh-CN"/>
        </w:rPr>
        <w:t>场内用电</w:t>
      </w:r>
      <w:r>
        <w:rPr>
          <w:rFonts w:hint="default" w:ascii="Times New Roman" w:hAnsi="Times New Roman" w:cs="Times New Roman"/>
          <w:color w:val="auto"/>
          <w:highlight w:val="none"/>
        </w:rPr>
        <w:t>引自本期35kV母线上的站用变压器。</w:t>
      </w:r>
    </w:p>
    <w:p>
      <w:pPr>
        <w:pStyle w:val="56"/>
        <w:keepNext w:val="0"/>
        <w:keepLines w:val="0"/>
        <w:pageBreakBefore w:val="0"/>
        <w:widowControl/>
        <w:numPr>
          <w:ilvl w:val="0"/>
          <w:numId w:val="0"/>
        </w:numPr>
        <w:kinsoku/>
        <w:wordWrap/>
        <w:overflowPunct/>
        <w:topLinePunct w:val="0"/>
        <w:autoSpaceDE/>
        <w:autoSpaceDN/>
        <w:bidi w:val="0"/>
        <w:adjustRightInd w:val="0"/>
        <w:snapToGrid w:val="0"/>
        <w:ind w:leftChars="0" w:firstLine="480" w:firstLineChars="200"/>
        <w:textAlignment w:val="auto"/>
        <w:outlineLvl w:val="9"/>
        <w:rPr>
          <w:rFonts w:hint="default" w:ascii="Times New Roman" w:hAnsi="Times New Roman" w:cs="Times New Roman"/>
          <w:color w:val="auto"/>
          <w:highlight w:val="none"/>
        </w:rPr>
      </w:pPr>
      <w:r>
        <w:rPr>
          <w:rFonts w:hint="eastAsia" w:cs="Times New Roman"/>
          <w:color w:val="auto"/>
          <w:highlight w:val="none"/>
          <w:lang w:eastAsia="zh-CN"/>
        </w:rPr>
        <w:t>通信工程：项目地哈密市石城子光伏工业园区内，有线通信网络已十分完善，本项目通信网络从园区接入。整个项目区有移动通信信号覆盖，工程建设可利用现有的移动通信资源，作为有线通信的补充。</w:t>
      </w:r>
    </w:p>
    <w:p>
      <w:pPr>
        <w:pStyle w:val="56"/>
        <w:keepNext w:val="0"/>
        <w:keepLines w:val="0"/>
        <w:pageBreakBefore w:val="0"/>
        <w:widowControl/>
        <w:numPr>
          <w:ilvl w:val="0"/>
          <w:numId w:val="0"/>
        </w:numPr>
        <w:kinsoku/>
        <w:wordWrap/>
        <w:overflowPunct/>
        <w:topLinePunct w:val="0"/>
        <w:autoSpaceDE/>
        <w:autoSpaceDN/>
        <w:bidi w:val="0"/>
        <w:adjustRightInd w:val="0"/>
        <w:snapToGrid w:val="0"/>
        <w:ind w:leftChars="0" w:firstLine="480" w:firstLineChars="200"/>
        <w:textAlignment w:val="auto"/>
        <w:outlineLvl w:val="9"/>
        <w:rPr>
          <w:rFonts w:hint="eastAsia" w:cs="Times New Roman"/>
          <w:color w:val="auto"/>
          <w:highlight w:val="yellow"/>
          <w:lang w:eastAsia="zh-CN"/>
        </w:rPr>
      </w:pPr>
      <w:r>
        <w:rPr>
          <w:rFonts w:hint="default" w:ascii="Times New Roman" w:hAnsi="Times New Roman" w:cs="Times New Roman"/>
          <w:color w:val="auto"/>
          <w:highlight w:val="none"/>
        </w:rPr>
        <w:t>接入系统：</w:t>
      </w:r>
      <w:r>
        <w:rPr>
          <w:rFonts w:hint="eastAsia" w:cs="Times New Roman"/>
          <w:color w:val="auto"/>
          <w:highlight w:val="none"/>
          <w:lang w:eastAsia="zh-CN"/>
        </w:rPr>
        <w:t>弗光哈密一期20MWp光伏并网发电项目共布置</w:t>
      </w:r>
      <w:r>
        <w:rPr>
          <w:rFonts w:hint="eastAsia" w:cs="Times New Roman"/>
          <w:color w:val="auto"/>
          <w:highlight w:val="none"/>
          <w:lang w:val="en-US" w:eastAsia="zh-CN"/>
        </w:rPr>
        <w:t>8台</w:t>
      </w:r>
      <w:r>
        <w:rPr>
          <w:rFonts w:hint="default" w:ascii="Times New Roman" w:hAnsi="Times New Roman" w:cs="Times New Roman"/>
          <w:color w:val="auto"/>
          <w:highlight w:val="none"/>
        </w:rPr>
        <w:t>35kV 箱变</w:t>
      </w:r>
      <w:r>
        <w:rPr>
          <w:rFonts w:hint="eastAsia" w:cs="Times New Roman"/>
          <w:color w:val="auto"/>
          <w:highlight w:val="none"/>
          <w:lang w:val="en-US" w:eastAsia="zh-CN"/>
        </w:rPr>
        <w:t>，</w:t>
      </w:r>
      <w:r>
        <w:rPr>
          <w:rFonts w:hint="eastAsia" w:cs="Times New Roman"/>
          <w:color w:val="auto"/>
          <w:highlight w:val="none"/>
          <w:lang w:eastAsia="zh-CN"/>
        </w:rPr>
        <w:t>每</w:t>
      </w:r>
      <w:r>
        <w:rPr>
          <w:rFonts w:hint="default" w:ascii="Times New Roman" w:hAnsi="Times New Roman" w:cs="Times New Roman"/>
          <w:color w:val="auto"/>
          <w:highlight w:val="none"/>
        </w:rPr>
        <w:t>4 台 35kV 双绕组箱式变在高压侧并联为</w:t>
      </w:r>
      <w:r>
        <w:rPr>
          <w:rFonts w:hint="eastAsia" w:cs="Times New Roman"/>
          <w:color w:val="auto"/>
          <w:highlight w:val="none"/>
          <w:lang w:val="en-US" w:eastAsia="zh-CN"/>
        </w:rPr>
        <w:t>1回集电线路，</w:t>
      </w:r>
      <w:r>
        <w:t>2回集电线路</w:t>
      </w:r>
      <w:r>
        <w:rPr>
          <w:rFonts w:hint="eastAsia"/>
          <w:lang w:eastAsia="zh-CN"/>
        </w:rPr>
        <w:t>分别接入</w:t>
      </w:r>
      <w:r>
        <w:t>本工程运行管理区110kV升压汇集站的35kV配电室</w:t>
      </w:r>
      <w:r>
        <w:rPr>
          <w:rFonts w:hint="eastAsia"/>
          <w:lang w:eastAsia="zh-CN"/>
        </w:rPr>
        <w:t>，</w:t>
      </w:r>
      <w:r>
        <w:rPr>
          <w:rFonts w:hint="default" w:ascii="Times New Roman" w:hAnsi="Times New Roman" w:cs="Times New Roman"/>
          <w:color w:val="auto"/>
          <w:highlight w:val="none"/>
        </w:rPr>
        <w:t>汇流为1回35kV出线接入园区汇集站，电站采用单母线接线。</w:t>
      </w:r>
    </w:p>
    <w:p>
      <w:pPr>
        <w:pStyle w:val="56"/>
        <w:ind w:firstLine="480"/>
        <w:rPr>
          <w:rFonts w:hint="default" w:ascii="Times New Roman" w:hAnsi="Times New Roman" w:cs="Times New Roman"/>
          <w:color w:val="auto"/>
          <w:highlight w:val="none"/>
        </w:rPr>
      </w:pPr>
      <w:r>
        <w:rPr>
          <w:rFonts w:hint="eastAsia" w:cs="Times New Roman"/>
          <w:color w:val="auto"/>
          <w:highlight w:val="none"/>
          <w:lang w:val="en-US" w:eastAsia="zh-CN"/>
        </w:rPr>
        <w:t>防洪工程：项目所在的</w:t>
      </w:r>
      <w:r>
        <w:rPr>
          <w:rFonts w:hint="eastAsia" w:cs="Times New Roman"/>
          <w:color w:val="auto"/>
          <w:highlight w:val="none"/>
          <w:lang w:eastAsia="zh-CN"/>
        </w:rPr>
        <w:t>石城子光伏园区已修建防洪堤，</w:t>
      </w:r>
      <w:r>
        <w:t>防洪堤长1257m，土质防洪堤，中部为东西走向，两侧向东北及西北延伸，防洪堤底宽10.0m，高2.0m，边坡1:1，顶宽6.0m，</w:t>
      </w:r>
      <w:r>
        <w:rPr>
          <w:rFonts w:hint="eastAsia"/>
          <w:lang w:eastAsia="zh-CN"/>
        </w:rPr>
        <w:t>设计防洪标准</w:t>
      </w:r>
      <w:r>
        <w:rPr>
          <w:rFonts w:hint="eastAsia"/>
          <w:lang w:val="en-US" w:eastAsia="zh-CN"/>
        </w:rPr>
        <w:t>50年一遇，</w:t>
      </w:r>
      <w:r>
        <w:rPr>
          <w:rFonts w:hint="eastAsia" w:cs="Times New Roman"/>
          <w:color w:val="auto"/>
          <w:highlight w:val="none"/>
          <w:lang w:eastAsia="zh-CN"/>
        </w:rPr>
        <w:t>故本项目防洪依托园区现有防洪工程，不新建防洪设施</w:t>
      </w:r>
      <w:r>
        <w:rPr>
          <w:rFonts w:hint="default" w:ascii="Times New Roman" w:hAnsi="Times New Roman" w:cs="Times New Roman"/>
          <w:color w:val="auto"/>
          <w:highlight w:val="none"/>
          <w:lang w:val="en-US" w:eastAsia="zh-CN"/>
        </w:rPr>
        <w:t>。</w:t>
      </w:r>
    </w:p>
    <w:p>
      <w:pPr>
        <w:pStyle w:val="56"/>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建设规模及内容：</w:t>
      </w:r>
      <w:r>
        <w:rPr>
          <w:rFonts w:hint="eastAsia" w:cs="Times New Roman"/>
          <w:color w:val="auto"/>
          <w:highlight w:val="none"/>
          <w:lang w:eastAsia="zh-CN"/>
        </w:rPr>
        <w:t>弗光哈密一期20MWp光伏并网发电项目</w:t>
      </w:r>
      <w:r>
        <w:rPr>
          <w:rFonts w:hint="default" w:ascii="Times New Roman" w:hAnsi="Times New Roman" w:cs="Times New Roman"/>
          <w:color w:val="auto"/>
          <w:highlight w:val="none"/>
        </w:rPr>
        <w:t>，</w:t>
      </w:r>
      <w:r>
        <w:rPr>
          <w:rFonts w:hint="eastAsia" w:cs="Times New Roman"/>
          <w:color w:val="auto"/>
          <w:highlight w:val="none"/>
          <w:lang w:eastAsia="zh-CN"/>
        </w:rPr>
        <w:t>实际</w:t>
      </w:r>
      <w:r>
        <w:rPr>
          <w:rFonts w:hint="default" w:ascii="Times New Roman" w:hAnsi="Times New Roman" w:cs="Times New Roman"/>
          <w:color w:val="auto"/>
          <w:highlight w:val="none"/>
        </w:rPr>
        <w:t>建设规模</w:t>
      </w:r>
      <w:r>
        <w:rPr>
          <w:rFonts w:hint="eastAsia" w:cs="Times New Roman"/>
          <w:color w:val="auto"/>
          <w:highlight w:val="none"/>
          <w:lang w:val="en-US" w:eastAsia="zh-CN"/>
        </w:rPr>
        <w:t>11.76444</w:t>
      </w:r>
      <w:r>
        <w:rPr>
          <w:rFonts w:hint="default" w:ascii="Times New Roman" w:hAnsi="Times New Roman" w:cs="Times New Roman"/>
          <w:color w:val="auto"/>
          <w:highlight w:val="none"/>
          <w:lang w:eastAsia="zh-CN"/>
        </w:rPr>
        <w:t>MWp</w:t>
      </w:r>
      <w:r>
        <w:rPr>
          <w:rFonts w:hint="default" w:ascii="Times New Roman" w:hAnsi="Times New Roman" w:cs="Times New Roman"/>
          <w:color w:val="auto"/>
          <w:highlight w:val="none"/>
        </w:rPr>
        <w:t>，建设地点位于新疆维吾尔自治区哈密市北部的石城子光伏园区，距</w:t>
      </w:r>
      <w:r>
        <w:rPr>
          <w:rFonts w:hint="eastAsia" w:cs="Times New Roman"/>
          <w:color w:val="auto"/>
          <w:highlight w:val="none"/>
          <w:lang w:eastAsia="zh-CN"/>
        </w:rPr>
        <w:t>哈密市</w:t>
      </w:r>
      <w:r>
        <w:rPr>
          <w:rFonts w:hint="default" w:ascii="Times New Roman" w:hAnsi="Times New Roman" w:cs="Times New Roman"/>
          <w:color w:val="auto"/>
          <w:highlight w:val="none"/>
          <w:lang w:eastAsia="zh-CN"/>
        </w:rPr>
        <w:t>中心约</w:t>
      </w:r>
      <w:r>
        <w:rPr>
          <w:rFonts w:hint="eastAsia" w:cs="Times New Roman"/>
          <w:color w:val="auto"/>
          <w:highlight w:val="none"/>
          <w:lang w:val="en-US" w:eastAsia="zh-CN"/>
        </w:rPr>
        <w:t>20</w:t>
      </w:r>
      <w:r>
        <w:rPr>
          <w:rFonts w:hint="default" w:ascii="Times New Roman" w:hAnsi="Times New Roman" w:cs="Times New Roman"/>
          <w:color w:val="auto"/>
          <w:highlight w:val="none"/>
        </w:rPr>
        <w:t>km</w:t>
      </w:r>
      <w:r>
        <w:rPr>
          <w:rFonts w:hint="eastAsia" w:cs="Times New Roman"/>
          <w:color w:val="auto"/>
          <w:highlight w:val="none"/>
          <w:lang w:eastAsia="zh-CN"/>
        </w:rPr>
        <w:t>。项目共安装</w:t>
      </w:r>
      <w:r>
        <w:rPr>
          <w:rFonts w:hint="default" w:ascii="Times New Roman" w:hAnsi="Times New Roman" w:cs="Times New Roman"/>
          <w:color w:val="auto"/>
          <w:highlight w:val="none"/>
        </w:rPr>
        <w:t>用单晶</w:t>
      </w:r>
      <w:r>
        <w:rPr>
          <w:rFonts w:hint="eastAsia" w:cs="Times New Roman"/>
          <w:color w:val="auto"/>
          <w:highlight w:val="none"/>
          <w:lang w:eastAsia="zh-CN"/>
        </w:rPr>
        <w:t>单</w:t>
      </w:r>
      <w:r>
        <w:rPr>
          <w:rFonts w:hint="default" w:ascii="Times New Roman" w:hAnsi="Times New Roman" w:cs="Times New Roman"/>
          <w:color w:val="auto"/>
          <w:highlight w:val="none"/>
        </w:rPr>
        <w:t>面</w:t>
      </w:r>
      <w:r>
        <w:rPr>
          <w:rFonts w:hint="eastAsia" w:cs="Times New Roman"/>
          <w:color w:val="auto"/>
          <w:highlight w:val="none"/>
          <w:lang w:val="en-US" w:eastAsia="zh-CN"/>
        </w:rPr>
        <w:t>2040</w:t>
      </w:r>
      <w:r>
        <w:rPr>
          <w:rFonts w:hint="default" w:ascii="Times New Roman" w:hAnsi="Times New Roman" w:cs="Times New Roman"/>
          <w:color w:val="auto"/>
          <w:highlight w:val="none"/>
        </w:rPr>
        <w:t>Wp组件</w:t>
      </w:r>
      <w:r>
        <w:rPr>
          <w:rFonts w:hint="eastAsia" w:cs="Times New Roman"/>
          <w:color w:val="auto"/>
          <w:highlight w:val="none"/>
          <w:lang w:val="en-US" w:eastAsia="zh-CN"/>
        </w:rPr>
        <w:t>3168</w:t>
      </w:r>
      <w:r>
        <w:rPr>
          <w:rFonts w:hint="default" w:ascii="Times New Roman" w:hAnsi="Times New Roman" w:cs="Times New Roman"/>
          <w:color w:val="auto"/>
          <w:highlight w:val="none"/>
        </w:rPr>
        <w:t>块</w:t>
      </w:r>
      <w:r>
        <w:rPr>
          <w:rFonts w:hint="eastAsia" w:cs="Times New Roman"/>
          <w:color w:val="auto"/>
          <w:highlight w:val="none"/>
          <w:lang w:eastAsia="zh-CN"/>
        </w:rPr>
        <w:t>；安装单晶单面</w:t>
      </w:r>
      <w:r>
        <w:rPr>
          <w:rFonts w:hint="eastAsia" w:cs="Times New Roman"/>
          <w:color w:val="auto"/>
          <w:highlight w:val="none"/>
          <w:lang w:val="en-US" w:eastAsia="zh-CN"/>
        </w:rPr>
        <w:t>75</w:t>
      </w:r>
      <w:r>
        <w:rPr>
          <w:rFonts w:hint="default" w:ascii="Times New Roman" w:hAnsi="Times New Roman" w:cs="Times New Roman"/>
          <w:color w:val="auto"/>
          <w:highlight w:val="none"/>
        </w:rPr>
        <w:t>Wp组件</w:t>
      </w:r>
      <w:r>
        <w:rPr>
          <w:rFonts w:hint="eastAsia" w:cs="Times New Roman"/>
          <w:color w:val="auto"/>
          <w:highlight w:val="none"/>
          <w:lang w:val="en-US" w:eastAsia="zh-CN"/>
        </w:rPr>
        <w:t>13500块；安装多晶单面425</w:t>
      </w:r>
      <w:r>
        <w:rPr>
          <w:rFonts w:hint="default" w:ascii="Times New Roman" w:hAnsi="Times New Roman" w:cs="Times New Roman"/>
          <w:color w:val="auto"/>
          <w:highlight w:val="none"/>
        </w:rPr>
        <w:t>Wp组件</w:t>
      </w:r>
      <w:r>
        <w:rPr>
          <w:rFonts w:hint="eastAsia" w:cs="Times New Roman"/>
          <w:color w:val="auto"/>
          <w:highlight w:val="none"/>
          <w:lang w:val="en-US" w:eastAsia="zh-CN"/>
        </w:rPr>
        <w:t>5076块；安装多晶单面420</w:t>
      </w:r>
      <w:r>
        <w:rPr>
          <w:rFonts w:hint="default" w:ascii="Times New Roman" w:hAnsi="Times New Roman" w:cs="Times New Roman"/>
          <w:color w:val="auto"/>
          <w:highlight w:val="none"/>
        </w:rPr>
        <w:t>Wp组件</w:t>
      </w:r>
      <w:r>
        <w:rPr>
          <w:rFonts w:hint="eastAsia" w:cs="Times New Roman"/>
          <w:color w:val="auto"/>
          <w:highlight w:val="none"/>
          <w:lang w:val="en-US" w:eastAsia="zh-CN"/>
        </w:rPr>
        <w:t>5076块，</w:t>
      </w:r>
      <w:r>
        <w:rPr>
          <w:rFonts w:hint="default" w:ascii="Times New Roman" w:hAnsi="Times New Roman" w:cs="Times New Roman"/>
          <w:color w:val="auto"/>
          <w:highlight w:val="none"/>
        </w:rPr>
        <w:t>均为固定</w:t>
      </w:r>
      <w:r>
        <w:rPr>
          <w:rFonts w:hint="eastAsia" w:cs="Times New Roman"/>
          <w:color w:val="auto"/>
          <w:highlight w:val="none"/>
          <w:lang w:eastAsia="zh-CN"/>
        </w:rPr>
        <w:t>倾角式（倾斜角</w:t>
      </w:r>
      <w:r>
        <w:rPr>
          <w:rFonts w:hint="eastAsia" w:cs="Times New Roman"/>
          <w:color w:val="auto"/>
          <w:highlight w:val="none"/>
          <w:lang w:val="en-US" w:eastAsia="zh-CN"/>
        </w:rPr>
        <w:t>40</w:t>
      </w:r>
      <w:r>
        <w:rPr>
          <w:rFonts w:hint="default" w:ascii="Times New Roman" w:hAnsi="Times New Roman" w:cs="Times New Roman"/>
          <w:color w:val="auto"/>
          <w:highlight w:val="none"/>
          <w:lang w:eastAsia="zh-CN"/>
        </w:rPr>
        <w:t>°</w:t>
      </w:r>
      <w:r>
        <w:rPr>
          <w:rFonts w:hint="eastAsia" w:cs="Times New Roman"/>
          <w:color w:val="auto"/>
          <w:highlight w:val="none"/>
          <w:lang w:eastAsia="zh-CN"/>
        </w:rPr>
        <w:t>，方位角</w:t>
      </w:r>
      <w:r>
        <w:rPr>
          <w:rFonts w:hint="eastAsia" w:cs="Times New Roman"/>
          <w:color w:val="auto"/>
          <w:highlight w:val="none"/>
          <w:lang w:val="en-US" w:eastAsia="zh-CN"/>
        </w:rPr>
        <w:t>0</w:t>
      </w:r>
      <w:r>
        <w:rPr>
          <w:rFonts w:hint="default" w:ascii="Times New Roman" w:hAnsi="Times New Roman" w:cs="Times New Roman"/>
          <w:color w:val="auto"/>
          <w:highlight w:val="none"/>
          <w:lang w:eastAsia="zh-CN"/>
        </w:rPr>
        <w:t>°</w:t>
      </w:r>
      <w:r>
        <w:rPr>
          <w:rFonts w:hint="eastAsia" w:cs="Times New Roman"/>
          <w:color w:val="auto"/>
          <w:highlight w:val="none"/>
          <w:lang w:eastAsia="zh-CN"/>
        </w:rPr>
        <w:t>）</w:t>
      </w:r>
      <w:r>
        <w:rPr>
          <w:rFonts w:hint="default" w:ascii="Times New Roman" w:hAnsi="Times New Roman" w:cs="Times New Roman"/>
          <w:color w:val="auto"/>
          <w:highlight w:val="none"/>
        </w:rPr>
        <w:t>组件支架安装</w:t>
      </w:r>
      <w:r>
        <w:rPr>
          <w:rFonts w:hint="eastAsia" w:cs="Times New Roman"/>
          <w:color w:val="auto"/>
          <w:highlight w:val="none"/>
          <w:lang w:eastAsia="zh-CN"/>
        </w:rPr>
        <w:t>。项目安装</w:t>
      </w:r>
      <w:r>
        <w:rPr>
          <w:rFonts w:hint="eastAsia" w:cs="Times New Roman"/>
          <w:color w:val="auto"/>
          <w:highlight w:val="none"/>
          <w:lang w:val="en-US" w:eastAsia="zh-CN"/>
        </w:rPr>
        <w:t>20</w:t>
      </w:r>
      <w:r>
        <w:rPr>
          <w:rFonts w:hint="default" w:ascii="Times New Roman" w:hAnsi="Times New Roman" w:cs="Times New Roman"/>
          <w:color w:val="auto"/>
          <w:highlight w:val="none"/>
        </w:rPr>
        <w:t>kW逆变器</w:t>
      </w:r>
      <w:r>
        <w:rPr>
          <w:rFonts w:hint="eastAsia" w:cs="Times New Roman"/>
          <w:color w:val="auto"/>
          <w:highlight w:val="none"/>
          <w:lang w:val="en-US" w:eastAsia="zh-CN"/>
        </w:rPr>
        <w:t>396</w:t>
      </w:r>
      <w:r>
        <w:rPr>
          <w:rFonts w:hint="default" w:ascii="Times New Roman" w:hAnsi="Times New Roman" w:cs="Times New Roman"/>
          <w:color w:val="auto"/>
          <w:highlight w:val="none"/>
        </w:rPr>
        <w:t>台，</w:t>
      </w:r>
      <w:r>
        <w:rPr>
          <w:rFonts w:hint="eastAsia" w:cs="Times New Roman"/>
          <w:color w:val="auto"/>
          <w:highlight w:val="none"/>
          <w:lang w:val="en-US" w:eastAsia="zh-CN"/>
        </w:rPr>
        <w:t>8</w:t>
      </w:r>
      <w:r>
        <w:rPr>
          <w:rFonts w:hint="default" w:ascii="Times New Roman" w:hAnsi="Times New Roman" w:cs="Times New Roman"/>
          <w:color w:val="auto"/>
          <w:highlight w:val="none"/>
        </w:rPr>
        <w:t>kW逆变器</w:t>
      </w:r>
      <w:r>
        <w:rPr>
          <w:rFonts w:hint="eastAsia" w:cs="Times New Roman"/>
          <w:color w:val="auto"/>
          <w:highlight w:val="none"/>
          <w:lang w:val="en-US" w:eastAsia="zh-CN"/>
        </w:rPr>
        <w:t>202</w:t>
      </w:r>
      <w:r>
        <w:rPr>
          <w:rFonts w:hint="default" w:ascii="Times New Roman" w:hAnsi="Times New Roman" w:cs="Times New Roman"/>
          <w:color w:val="auto"/>
          <w:highlight w:val="none"/>
        </w:rPr>
        <w:t>台，</w:t>
      </w:r>
      <w:r>
        <w:rPr>
          <w:rFonts w:hint="eastAsia" w:cs="Times New Roman"/>
          <w:color w:val="auto"/>
          <w:highlight w:val="none"/>
          <w:lang w:val="en-US" w:eastAsia="zh-CN"/>
        </w:rPr>
        <w:t>125</w:t>
      </w:r>
      <w:r>
        <w:rPr>
          <w:rFonts w:hint="default" w:ascii="Times New Roman" w:hAnsi="Times New Roman" w:cs="Times New Roman"/>
          <w:color w:val="auto"/>
          <w:highlight w:val="none"/>
        </w:rPr>
        <w:t>kW逆变器</w:t>
      </w:r>
      <w:r>
        <w:rPr>
          <w:rFonts w:hint="eastAsia" w:cs="Times New Roman"/>
          <w:color w:val="auto"/>
          <w:highlight w:val="none"/>
          <w:lang w:val="en-US" w:eastAsia="zh-CN"/>
        </w:rPr>
        <w:t>32台；安装8</w:t>
      </w:r>
      <w:r>
        <w:rPr>
          <w:rFonts w:hint="default" w:ascii="Times New Roman" w:hAnsi="Times New Roman" w:cs="Times New Roman"/>
          <w:color w:val="auto"/>
          <w:highlight w:val="none"/>
          <w:lang w:val="en-US" w:eastAsia="zh-CN"/>
        </w:rPr>
        <w:t>台</w:t>
      </w:r>
      <w:r>
        <w:rPr>
          <w:rFonts w:hint="eastAsia" w:cs="Times New Roman"/>
          <w:color w:val="auto"/>
          <w:highlight w:val="none"/>
          <w:lang w:val="en-US" w:eastAsia="zh-CN"/>
        </w:rPr>
        <w:t>1.48MVA</w:t>
      </w:r>
      <w:r>
        <w:rPr>
          <w:rFonts w:hint="default" w:ascii="Times New Roman" w:hAnsi="Times New Roman" w:cs="Times New Roman"/>
          <w:color w:val="auto"/>
          <w:highlight w:val="none"/>
        </w:rPr>
        <w:t>箱变、35kV开关站等配电辅助系统</w:t>
      </w:r>
      <w:r>
        <w:rPr>
          <w:rFonts w:hint="eastAsia" w:cs="Times New Roman"/>
          <w:color w:val="auto"/>
          <w:highlight w:val="none"/>
          <w:lang w:eastAsia="zh-CN"/>
        </w:rPr>
        <w:t>。项目区新建一个运行管理区，占地面积</w:t>
      </w:r>
      <w:r>
        <w:rPr>
          <w:rFonts w:hint="eastAsia" w:cs="Times New Roman"/>
          <w:color w:val="auto"/>
          <w:highlight w:val="none"/>
          <w:lang w:val="en-US" w:eastAsia="zh-CN"/>
        </w:rPr>
        <w:t>0.83hm</w:t>
      </w:r>
      <w:r>
        <w:rPr>
          <w:rFonts w:hint="eastAsia" w:cs="Times New Roman"/>
          <w:color w:val="auto"/>
          <w:highlight w:val="none"/>
          <w:vertAlign w:val="superscript"/>
          <w:lang w:val="en-US" w:eastAsia="zh-CN"/>
        </w:rPr>
        <w:t>2</w:t>
      </w:r>
      <w:r>
        <w:rPr>
          <w:rFonts w:hint="eastAsia" w:cs="Times New Roman"/>
          <w:color w:val="auto"/>
          <w:highlight w:val="none"/>
          <w:vertAlign w:val="baseline"/>
          <w:lang w:val="en-US" w:eastAsia="zh-CN"/>
        </w:rPr>
        <w:t>，管理区内建有生产楼一座（</w:t>
      </w:r>
      <w:r>
        <w:rPr>
          <w:rFonts w:hint="eastAsia" w:cs="Times New Roman"/>
          <w:color w:val="auto"/>
          <w:highlight w:val="none"/>
          <w:lang w:eastAsia="zh-CN"/>
        </w:rPr>
        <w:t>建筑面积 783.81m</w:t>
      </w:r>
      <w:r>
        <w:rPr>
          <w:rFonts w:hint="eastAsia" w:cs="Times New Roman"/>
          <w:color w:val="auto"/>
          <w:highlight w:val="none"/>
          <w:vertAlign w:val="superscript"/>
          <w:lang w:eastAsia="zh-CN"/>
        </w:rPr>
        <w:t>2</w:t>
      </w:r>
      <w:r>
        <w:rPr>
          <w:rFonts w:hint="eastAsia" w:cs="Times New Roman"/>
          <w:color w:val="auto"/>
          <w:highlight w:val="none"/>
          <w:vertAlign w:val="baseline"/>
          <w:lang w:eastAsia="zh-CN"/>
        </w:rPr>
        <w:t>）、一个</w:t>
      </w:r>
      <w:r>
        <w:rPr>
          <w:rFonts w:ascii="宋体" w:hAnsi="宋体" w:eastAsia="宋体" w:cs="宋体"/>
          <w:spacing w:val="-60"/>
          <w:w w:val="100"/>
          <w:sz w:val="24"/>
          <w:szCs w:val="24"/>
        </w:rPr>
        <w:t xml:space="preserve"> </w:t>
      </w:r>
      <w:r>
        <w:rPr>
          <w:rFonts w:ascii="Times New Roman" w:hAnsi="Times New Roman" w:eastAsia="Times New Roman" w:cs="Times New Roman"/>
          <w:spacing w:val="0"/>
          <w:w w:val="100"/>
          <w:sz w:val="24"/>
          <w:szCs w:val="24"/>
        </w:rPr>
        <w:t>250kV</w:t>
      </w:r>
      <w:r>
        <w:rPr>
          <w:rFonts w:ascii="Times New Roman" w:hAnsi="Times New Roman" w:eastAsia="Times New Roman" w:cs="Times New Roman"/>
          <w:spacing w:val="1"/>
          <w:w w:val="100"/>
          <w:sz w:val="24"/>
          <w:szCs w:val="24"/>
        </w:rPr>
        <w:t>A</w:t>
      </w:r>
      <w:r>
        <w:rPr>
          <w:rFonts w:hint="eastAsia" w:cs="Times New Roman"/>
          <w:color w:val="auto"/>
          <w:highlight w:val="none"/>
          <w:vertAlign w:val="baseline"/>
          <w:lang w:eastAsia="zh-CN"/>
        </w:rPr>
        <w:t>厂用变压器、一个</w:t>
      </w:r>
      <w:r>
        <w:rPr>
          <w:rFonts w:hint="eastAsia" w:cs="Times New Roman"/>
          <w:color w:val="auto"/>
          <w:highlight w:val="none"/>
          <w:vertAlign w:val="baseline"/>
          <w:lang w:val="en-US" w:eastAsia="zh-CN"/>
        </w:rPr>
        <w:t>35kv</w:t>
      </w:r>
      <w:r>
        <w:rPr>
          <w:rFonts w:hint="eastAsia" w:cs="Times New Roman"/>
          <w:color w:val="auto"/>
          <w:highlight w:val="none"/>
          <w:vertAlign w:val="baseline"/>
          <w:lang w:eastAsia="zh-CN"/>
        </w:rPr>
        <w:t>接地变压器、一个</w:t>
      </w:r>
      <w:r>
        <w:rPr>
          <w:rFonts w:hint="eastAsia" w:cs="Times New Roman"/>
          <w:color w:val="auto"/>
          <w:highlight w:val="none"/>
          <w:vertAlign w:val="baseline"/>
          <w:lang w:val="en-US" w:eastAsia="zh-CN"/>
        </w:rPr>
        <w:t>SVC补偿装置；此外运行管理区内还布置有水泵房、蓄水池、避雷针</w:t>
      </w:r>
      <w:r>
        <w:rPr>
          <w:rFonts w:hint="eastAsia" w:cs="Times New Roman"/>
          <w:color w:val="auto"/>
          <w:highlight w:val="none"/>
          <w:vertAlign w:val="baseline"/>
          <w:lang w:eastAsia="zh-CN"/>
        </w:rPr>
        <w:t>等地下构筑物各一个。</w:t>
      </w:r>
      <w:r>
        <w:rPr>
          <w:rFonts w:hint="eastAsia" w:cs="Times New Roman"/>
          <w:color w:val="auto"/>
          <w:highlight w:val="none"/>
          <w:vertAlign w:val="baseline"/>
          <w:lang w:val="en-US" w:eastAsia="zh-CN"/>
        </w:rPr>
        <w:t>项目修建场内砂砾石道路长4.8km，宽4m，另</w:t>
      </w:r>
      <w:r>
        <w:rPr>
          <w:rFonts w:hint="default" w:ascii="Times New Roman" w:hAnsi="Times New Roman" w:cs="Times New Roman"/>
          <w:color w:val="auto"/>
          <w:highlight w:val="none"/>
        </w:rPr>
        <w:t>新建</w:t>
      </w:r>
      <w:r>
        <w:rPr>
          <w:rFonts w:hint="eastAsia" w:cs="Times New Roman"/>
          <w:color w:val="auto"/>
          <w:highlight w:val="none"/>
          <w:lang w:eastAsia="zh-CN"/>
        </w:rPr>
        <w:t>一</w:t>
      </w:r>
      <w:r>
        <w:rPr>
          <w:rFonts w:hint="default" w:ascii="Times New Roman" w:hAnsi="Times New Roman" w:cs="Times New Roman"/>
          <w:color w:val="auto"/>
          <w:highlight w:val="none"/>
          <w:lang w:eastAsia="zh-CN"/>
        </w:rPr>
        <w:t>条</w:t>
      </w:r>
      <w:r>
        <w:rPr>
          <w:rFonts w:hint="eastAsia" w:cs="Times New Roman"/>
          <w:color w:val="auto"/>
          <w:highlight w:val="none"/>
          <w:lang w:eastAsia="zh-CN"/>
        </w:rPr>
        <w:t>长</w:t>
      </w:r>
      <w:r>
        <w:rPr>
          <w:rFonts w:hint="eastAsia" w:cs="Times New Roman"/>
          <w:color w:val="auto"/>
          <w:highlight w:val="none"/>
          <w:lang w:val="en-US" w:eastAsia="zh-CN"/>
        </w:rPr>
        <w:t>50m，宽6m的混凝土路面</w:t>
      </w:r>
      <w:r>
        <w:rPr>
          <w:rFonts w:hint="default" w:ascii="Times New Roman" w:hAnsi="Times New Roman" w:cs="Times New Roman"/>
          <w:color w:val="auto"/>
          <w:highlight w:val="none"/>
          <w:lang w:eastAsia="zh-CN"/>
        </w:rPr>
        <w:t>进场道路</w:t>
      </w:r>
      <w:r>
        <w:rPr>
          <w:rFonts w:hint="eastAsia" w:cs="Times New Roman"/>
          <w:color w:val="auto"/>
          <w:highlight w:val="none"/>
          <w:lang w:eastAsia="zh-CN"/>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本项目主要由光伏发电区、道路工程区、</w:t>
      </w:r>
      <w:r>
        <w:rPr>
          <w:rFonts w:hint="eastAsia" w:cs="Times New Roman"/>
          <w:color w:val="auto"/>
          <w:highlight w:val="none"/>
          <w:lang w:eastAsia="zh-CN"/>
        </w:rPr>
        <w:t>运行管理</w:t>
      </w:r>
      <w:r>
        <w:rPr>
          <w:rFonts w:hint="default" w:ascii="Times New Roman" w:hAnsi="Times New Roman" w:cs="Times New Roman"/>
          <w:color w:val="auto"/>
          <w:highlight w:val="none"/>
        </w:rPr>
        <w:t>区以及</w:t>
      </w:r>
      <w:r>
        <w:rPr>
          <w:rFonts w:hint="eastAsia" w:cs="Times New Roman"/>
          <w:color w:val="auto"/>
          <w:highlight w:val="none"/>
          <w:lang w:eastAsia="zh-CN"/>
        </w:rPr>
        <w:t>施工生产生活区</w:t>
      </w:r>
      <w:r>
        <w:rPr>
          <w:rFonts w:hint="default" w:ascii="Times New Roman" w:hAnsi="Times New Roman" w:cs="Times New Roman"/>
          <w:color w:val="auto"/>
          <w:highlight w:val="none"/>
        </w:rPr>
        <w:t>组成。</w:t>
      </w:r>
      <w:r>
        <w:rPr>
          <w:rFonts w:hint="eastAsia" w:cs="Times New Roman"/>
          <w:color w:val="auto"/>
          <w:highlight w:val="none"/>
          <w:lang w:eastAsia="zh-CN"/>
        </w:rPr>
        <w:t>本</w:t>
      </w:r>
      <w:r>
        <w:rPr>
          <w:rFonts w:hint="default" w:ascii="Times New Roman" w:hAnsi="Times New Roman" w:cs="Times New Roman"/>
          <w:color w:val="auto"/>
          <w:highlight w:val="none"/>
        </w:rPr>
        <w:t>项目</w:t>
      </w:r>
      <w:r>
        <w:rPr>
          <w:rFonts w:hint="eastAsia" w:cs="Times New Roman"/>
          <w:color w:val="auto"/>
          <w:highlight w:val="none"/>
          <w:lang w:eastAsia="zh-CN"/>
        </w:rPr>
        <w:t>建设规划许可用地面积</w:t>
      </w:r>
      <w:r>
        <w:rPr>
          <w:rFonts w:hint="eastAsia" w:cs="Times New Roman"/>
          <w:color w:val="auto"/>
          <w:highlight w:val="none"/>
          <w:lang w:val="en-US" w:eastAsia="zh-CN"/>
        </w:rPr>
        <w:t>69</w:t>
      </w:r>
      <w:r>
        <w:rPr>
          <w:rFonts w:hint="default" w:ascii="Times New Roman" w:hAnsi="Times New Roman" w:cs="Times New Roman"/>
          <w:color w:val="auto"/>
          <w:highlight w:val="none"/>
        </w:rPr>
        <w:t>hm²，</w:t>
      </w:r>
      <w:r>
        <w:rPr>
          <w:rFonts w:hint="eastAsia" w:cs="Times New Roman"/>
          <w:color w:val="auto"/>
          <w:highlight w:val="none"/>
          <w:lang w:eastAsia="zh-CN"/>
        </w:rPr>
        <w:t>占地类型为公共设施用地，项目实际</w:t>
      </w:r>
      <w:r>
        <w:rPr>
          <w:rFonts w:hint="default" w:ascii="Times New Roman" w:hAnsi="Times New Roman" w:cs="Times New Roman"/>
          <w:color w:val="auto"/>
          <w:highlight w:val="none"/>
        </w:rPr>
        <w:t>建设总占地面积</w:t>
      </w:r>
      <w:r>
        <w:rPr>
          <w:rFonts w:hint="eastAsia" w:cs="Times New Roman"/>
          <w:color w:val="auto"/>
          <w:highlight w:val="none"/>
          <w:lang w:val="en-US" w:eastAsia="zh-CN"/>
        </w:rPr>
        <w:t>49.46</w:t>
      </w:r>
      <w:r>
        <w:rPr>
          <w:rFonts w:hint="default" w:ascii="Times New Roman" w:hAnsi="Times New Roman" w:cs="Times New Roman"/>
          <w:color w:val="auto"/>
          <w:highlight w:val="none"/>
        </w:rPr>
        <w:t>hm²，其中永久占地</w:t>
      </w:r>
      <w:r>
        <w:rPr>
          <w:rFonts w:hint="eastAsia" w:cs="Times New Roman"/>
          <w:color w:val="auto"/>
          <w:highlight w:val="none"/>
          <w:lang w:val="en-US" w:eastAsia="zh-CN"/>
        </w:rPr>
        <w:t>49</w:t>
      </w:r>
      <w:r>
        <w:rPr>
          <w:rFonts w:hint="default" w:ascii="Times New Roman" w:hAnsi="Times New Roman" w:cs="Times New Roman"/>
          <w:color w:val="auto"/>
          <w:highlight w:val="none"/>
        </w:rPr>
        <w:t>hm²，临时占地</w:t>
      </w:r>
      <w:r>
        <w:rPr>
          <w:rFonts w:hint="eastAsia" w:cs="Times New Roman"/>
          <w:color w:val="auto"/>
          <w:highlight w:val="none"/>
          <w:lang w:val="en-US" w:eastAsia="zh-CN"/>
        </w:rPr>
        <w:t>0.46</w:t>
      </w:r>
      <w:r>
        <w:rPr>
          <w:rFonts w:hint="default" w:ascii="Times New Roman" w:hAnsi="Times New Roman" w:cs="Times New Roman"/>
          <w:color w:val="auto"/>
          <w:highlight w:val="none"/>
        </w:rPr>
        <w:t>hm²，</w:t>
      </w:r>
      <w:r>
        <w:rPr>
          <w:rFonts w:hint="eastAsia" w:cs="Times New Roman"/>
          <w:color w:val="auto"/>
          <w:highlight w:val="none"/>
          <w:lang w:eastAsia="zh-CN"/>
        </w:rPr>
        <w:t>临时占地位于项目建设未使用的</w:t>
      </w:r>
      <w:r>
        <w:rPr>
          <w:rFonts w:hint="eastAsia" w:cs="Times New Roman"/>
          <w:color w:val="auto"/>
          <w:highlight w:val="none"/>
          <w:lang w:val="en-US" w:eastAsia="zh-CN"/>
        </w:rPr>
        <w:t>20</w:t>
      </w:r>
      <w:r>
        <w:rPr>
          <w:rFonts w:hint="default" w:ascii="Times New Roman" w:hAnsi="Times New Roman" w:cs="Times New Roman"/>
          <w:color w:val="auto"/>
          <w:highlight w:val="none"/>
        </w:rPr>
        <w:t>hm²</w:t>
      </w:r>
      <w:r>
        <w:rPr>
          <w:rFonts w:hint="eastAsia" w:cs="Times New Roman"/>
          <w:color w:val="auto"/>
          <w:highlight w:val="none"/>
          <w:lang w:eastAsia="zh-CN"/>
        </w:rPr>
        <w:t>空地内</w:t>
      </w:r>
      <w:r>
        <w:rPr>
          <w:rFonts w:hint="default" w:ascii="Times New Roman" w:hAnsi="Times New Roman" w:cs="Times New Roman"/>
          <w:color w:val="auto"/>
          <w:highlight w:val="none"/>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本工程总挖方</w:t>
      </w:r>
      <w:r>
        <w:rPr>
          <w:rFonts w:hint="eastAsia" w:cs="Times New Roman"/>
          <w:color w:val="auto"/>
          <w:highlight w:val="none"/>
          <w:lang w:val="en-US" w:eastAsia="zh-CN"/>
        </w:rPr>
        <w:t>4.968</w:t>
      </w:r>
      <w:r>
        <w:rPr>
          <w:rFonts w:hint="default" w:ascii="Times New Roman" w:hAnsi="Times New Roman" w:cs="Times New Roman"/>
          <w:color w:val="auto"/>
          <w:highlight w:val="none"/>
        </w:rPr>
        <w:t>万m³，填方</w:t>
      </w:r>
      <w:r>
        <w:rPr>
          <w:rFonts w:hint="eastAsia" w:cs="Times New Roman"/>
          <w:color w:val="auto"/>
          <w:highlight w:val="none"/>
          <w:lang w:val="en-US" w:eastAsia="zh-CN"/>
        </w:rPr>
        <w:t>4.968</w:t>
      </w:r>
      <w:r>
        <w:rPr>
          <w:rFonts w:hint="default" w:ascii="Times New Roman" w:hAnsi="Times New Roman" w:cs="Times New Roman"/>
          <w:color w:val="auto"/>
          <w:highlight w:val="none"/>
        </w:rPr>
        <w:t>万m³，无借方，无弃方。涉及土方主要为场地平整</w:t>
      </w:r>
      <w:r>
        <w:rPr>
          <w:rFonts w:hint="eastAsia" w:cs="Times New Roman"/>
          <w:color w:val="auto"/>
          <w:highlight w:val="none"/>
          <w:lang w:eastAsia="zh-CN"/>
        </w:rPr>
        <w:t>、</w:t>
      </w:r>
      <w:r>
        <w:rPr>
          <w:rFonts w:hint="default" w:ascii="Times New Roman" w:hAnsi="Times New Roman" w:cs="Times New Roman"/>
          <w:color w:val="auto"/>
          <w:highlight w:val="none"/>
        </w:rPr>
        <w:t>管沟开挖回填</w:t>
      </w:r>
      <w:r>
        <w:rPr>
          <w:rFonts w:hint="eastAsia" w:cs="Times New Roman"/>
          <w:color w:val="auto"/>
          <w:highlight w:val="none"/>
          <w:lang w:eastAsia="zh-CN"/>
        </w:rPr>
        <w:t>、基础开挖回填</w:t>
      </w:r>
      <w:r>
        <w:rPr>
          <w:rFonts w:hint="default" w:ascii="Times New Roman" w:hAnsi="Times New Roman" w:cs="Times New Roman"/>
          <w:color w:val="auto"/>
          <w:highlight w:val="none"/>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项目厂址所在区域原为</w:t>
      </w:r>
      <w:r>
        <w:rPr>
          <w:rFonts w:hint="eastAsia" w:cs="Times New Roman"/>
          <w:color w:val="auto"/>
          <w:highlight w:val="none"/>
          <w:lang w:eastAsia="zh-CN"/>
        </w:rPr>
        <w:t>戈壁荒漠</w:t>
      </w:r>
      <w:r>
        <w:rPr>
          <w:rFonts w:hint="default" w:ascii="Times New Roman" w:hAnsi="Times New Roman" w:cs="Times New Roman"/>
          <w:color w:val="auto"/>
          <w:highlight w:val="none"/>
        </w:rPr>
        <w:t>，覆盖有荒漠植被，无腐殖质表层，原生植被覆盖率</w:t>
      </w:r>
      <w:r>
        <w:rPr>
          <w:rFonts w:hint="eastAsia" w:cs="Times New Roman"/>
          <w:color w:val="auto"/>
          <w:highlight w:val="none"/>
          <w:lang w:val="en-US" w:eastAsia="zh-CN"/>
        </w:rPr>
        <w:t>5</w:t>
      </w:r>
      <w:r>
        <w:rPr>
          <w:rFonts w:hint="default" w:ascii="Times New Roman" w:hAnsi="Times New Roman" w:cs="Times New Roman"/>
          <w:color w:val="auto"/>
          <w:highlight w:val="none"/>
        </w:rPr>
        <w:t>%左右，本项目建设不存在拆迁安置问题。</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本工程建设期共</w:t>
      </w:r>
      <w:r>
        <w:rPr>
          <w:rFonts w:hint="eastAsia" w:cs="Times New Roman"/>
          <w:color w:val="auto"/>
          <w:highlight w:val="none"/>
          <w:lang w:val="en-US" w:eastAsia="zh-CN"/>
        </w:rPr>
        <w:t>13</w:t>
      </w:r>
      <w:r>
        <w:rPr>
          <w:rFonts w:hint="default" w:ascii="Times New Roman" w:hAnsi="Times New Roman" w:cs="Times New Roman"/>
          <w:color w:val="auto"/>
          <w:highlight w:val="none"/>
        </w:rPr>
        <w:t>个月，工程于20</w:t>
      </w:r>
      <w:r>
        <w:rPr>
          <w:rFonts w:hint="eastAsia" w:cs="Times New Roman"/>
          <w:color w:val="auto"/>
          <w:highlight w:val="none"/>
          <w:lang w:val="en-US" w:eastAsia="zh-CN"/>
        </w:rPr>
        <w:t>12</w:t>
      </w:r>
      <w:r>
        <w:rPr>
          <w:rFonts w:hint="default" w:ascii="Times New Roman" w:hAnsi="Times New Roman" w:cs="Times New Roman"/>
          <w:color w:val="auto"/>
          <w:highlight w:val="none"/>
        </w:rPr>
        <w:t>年</w:t>
      </w:r>
      <w:r>
        <w:rPr>
          <w:rFonts w:hint="eastAsia" w:cs="Times New Roman"/>
          <w:color w:val="auto"/>
          <w:highlight w:val="none"/>
          <w:lang w:val="en-US" w:eastAsia="zh-CN"/>
        </w:rPr>
        <w:t>12</w:t>
      </w:r>
      <w:r>
        <w:rPr>
          <w:rFonts w:hint="default" w:ascii="Times New Roman" w:hAnsi="Times New Roman" w:cs="Times New Roman"/>
          <w:color w:val="auto"/>
          <w:highlight w:val="none"/>
        </w:rPr>
        <w:t>月</w:t>
      </w:r>
      <w:r>
        <w:rPr>
          <w:rFonts w:hint="eastAsia" w:cs="Times New Roman"/>
          <w:color w:val="auto"/>
          <w:highlight w:val="none"/>
          <w:lang w:val="en-US" w:eastAsia="zh-CN"/>
        </w:rPr>
        <w:t>1日</w:t>
      </w:r>
      <w:r>
        <w:rPr>
          <w:rFonts w:hint="default" w:ascii="Times New Roman" w:hAnsi="Times New Roman" w:cs="Times New Roman"/>
          <w:color w:val="auto"/>
          <w:highlight w:val="none"/>
        </w:rPr>
        <w:t>开工，于20</w:t>
      </w:r>
      <w:r>
        <w:rPr>
          <w:rFonts w:hint="eastAsia" w:cs="Times New Roman"/>
          <w:color w:val="auto"/>
          <w:highlight w:val="none"/>
          <w:lang w:val="en-US" w:eastAsia="zh-CN"/>
        </w:rPr>
        <w:t>13</w:t>
      </w:r>
      <w:r>
        <w:rPr>
          <w:rFonts w:hint="default" w:ascii="Times New Roman" w:hAnsi="Times New Roman" w:cs="Times New Roman"/>
          <w:color w:val="auto"/>
          <w:highlight w:val="none"/>
        </w:rPr>
        <w:t>年1</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月</w:t>
      </w:r>
      <w:r>
        <w:rPr>
          <w:rFonts w:hint="eastAsia" w:cs="Times New Roman"/>
          <w:color w:val="auto"/>
          <w:highlight w:val="none"/>
          <w:lang w:val="en-US" w:eastAsia="zh-CN"/>
        </w:rPr>
        <w:t>10日</w:t>
      </w:r>
      <w:r>
        <w:rPr>
          <w:rFonts w:hint="default" w:ascii="Times New Roman" w:hAnsi="Times New Roman" w:cs="Times New Roman"/>
          <w:color w:val="auto"/>
          <w:highlight w:val="none"/>
        </w:rPr>
        <w:t>完工</w:t>
      </w:r>
      <w:r>
        <w:rPr>
          <w:rFonts w:hint="eastAsia" w:cs="Times New Roman"/>
          <w:color w:val="auto"/>
          <w:highlight w:val="none"/>
          <w:lang w:eastAsia="zh-CN"/>
        </w:rPr>
        <w:t>，并于</w:t>
      </w:r>
      <w:r>
        <w:rPr>
          <w:rFonts w:hint="eastAsia" w:cs="Times New Roman"/>
          <w:color w:val="auto"/>
          <w:highlight w:val="none"/>
          <w:lang w:val="en-US" w:eastAsia="zh-CN"/>
        </w:rPr>
        <w:t>2013年12月20日并网11MWp</w:t>
      </w:r>
      <w:r>
        <w:rPr>
          <w:rFonts w:hint="default" w:ascii="Times New Roman" w:hAnsi="Times New Roman" w:cs="Times New Roman"/>
          <w:color w:val="auto"/>
          <w:highlight w:val="none"/>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本项目建设工程静态</w:t>
      </w:r>
      <w:r>
        <w:rPr>
          <w:rFonts w:hint="eastAsia" w:cs="Times New Roman"/>
          <w:color w:val="auto"/>
          <w:highlight w:val="none"/>
          <w:lang w:eastAsia="zh-CN"/>
        </w:rPr>
        <w:t>总</w:t>
      </w:r>
      <w:r>
        <w:rPr>
          <w:rFonts w:hint="default" w:ascii="Times New Roman" w:hAnsi="Times New Roman" w:cs="Times New Roman"/>
          <w:color w:val="auto"/>
          <w:highlight w:val="none"/>
        </w:rPr>
        <w:t>投资为32472.2 万元，其中土建投资</w:t>
      </w:r>
      <w:r>
        <w:rPr>
          <w:rFonts w:hint="eastAsia" w:cs="Times New Roman"/>
          <w:color w:val="auto"/>
          <w:highlight w:val="none"/>
          <w:lang w:val="en-US" w:eastAsia="zh-CN"/>
        </w:rPr>
        <w:t>1995.95</w:t>
      </w:r>
      <w:r>
        <w:rPr>
          <w:rFonts w:hint="default" w:ascii="Times New Roman" w:hAnsi="Times New Roman" w:cs="Times New Roman"/>
          <w:color w:val="auto"/>
          <w:highlight w:val="none"/>
        </w:rPr>
        <w:t>万元，项目</w:t>
      </w:r>
      <w:r>
        <w:rPr>
          <w:rFonts w:hint="default" w:ascii="Times New Roman" w:hAnsi="Times New Roman" w:cs="Times New Roman"/>
          <w:color w:val="auto"/>
          <w:spacing w:val="2"/>
          <w:highlight w:val="none"/>
        </w:rPr>
        <w:t>总投资</w:t>
      </w:r>
      <w:r>
        <w:rPr>
          <w:rFonts w:hint="default" w:ascii="Times New Roman" w:hAnsi="Times New Roman" w:cs="Times New Roman"/>
          <w:color w:val="auto"/>
          <w:spacing w:val="2"/>
          <w:highlight w:val="none"/>
          <w:lang w:eastAsia="zh-CN"/>
        </w:rPr>
        <w:t>中</w:t>
      </w:r>
      <w:r>
        <w:rPr>
          <w:rFonts w:hint="eastAsia" w:cs="Times New Roman"/>
          <w:color w:val="auto"/>
          <w:spacing w:val="2"/>
          <w:highlight w:val="none"/>
          <w:lang w:val="en-US" w:eastAsia="zh-CN"/>
        </w:rPr>
        <w:t>20%</w:t>
      </w:r>
      <w:r>
        <w:rPr>
          <w:rFonts w:hint="default" w:ascii="Times New Roman" w:hAnsi="Times New Roman" w:cs="Times New Roman"/>
          <w:color w:val="auto"/>
          <w:spacing w:val="2"/>
          <w:highlight w:val="none"/>
          <w:lang w:val="en-US" w:eastAsia="zh-CN"/>
        </w:rPr>
        <w:t>为</w:t>
      </w:r>
      <w:r>
        <w:rPr>
          <w:rFonts w:hint="eastAsia" w:cs="Times New Roman"/>
          <w:color w:val="auto"/>
          <w:spacing w:val="2"/>
          <w:highlight w:val="none"/>
          <w:lang w:val="en-US" w:eastAsia="zh-CN"/>
        </w:rPr>
        <w:t>资本金</w:t>
      </w:r>
      <w:r>
        <w:rPr>
          <w:rFonts w:hint="default" w:ascii="Times New Roman" w:hAnsi="Times New Roman" w:cs="Times New Roman"/>
          <w:color w:val="auto"/>
          <w:spacing w:val="2"/>
          <w:highlight w:val="none"/>
          <w:lang w:val="en-US" w:eastAsia="zh-CN"/>
        </w:rPr>
        <w:t>，</w:t>
      </w:r>
      <w:r>
        <w:rPr>
          <w:rFonts w:hint="eastAsia" w:cs="Times New Roman"/>
          <w:color w:val="auto"/>
          <w:spacing w:val="2"/>
          <w:highlight w:val="none"/>
          <w:lang w:val="en-US" w:eastAsia="zh-CN"/>
        </w:rPr>
        <w:t>其余</w:t>
      </w:r>
      <w:r>
        <w:rPr>
          <w:rFonts w:hint="default" w:ascii="Times New Roman" w:hAnsi="Times New Roman" w:cs="Times New Roman"/>
          <w:color w:val="auto"/>
          <w:spacing w:val="2"/>
          <w:highlight w:val="none"/>
          <w:lang w:val="en-US" w:eastAsia="zh-CN"/>
        </w:rPr>
        <w:t>为银行贷款</w:t>
      </w:r>
      <w:r>
        <w:rPr>
          <w:rFonts w:hint="default" w:ascii="Times New Roman" w:hAnsi="Times New Roman" w:cs="Times New Roman"/>
          <w:color w:val="auto"/>
          <w:highlight w:val="none"/>
        </w:rPr>
        <w:t>。</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1.1.2 项目前期工作情况进展</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（1）项目前期工作情况</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r>
        <w:rPr>
          <w:rFonts w:hint="eastAsia" w:cs="Times New Roman"/>
          <w:color w:val="auto"/>
          <w:highlight w:val="none"/>
          <w:lang w:val="en-US" w:eastAsia="zh-CN"/>
        </w:rPr>
        <w:t>12</w:t>
      </w:r>
      <w:r>
        <w:rPr>
          <w:rFonts w:hint="default" w:ascii="Times New Roman" w:hAnsi="Times New Roman" w:cs="Times New Roman"/>
          <w:color w:val="auto"/>
          <w:highlight w:val="none"/>
        </w:rPr>
        <w:t>年</w:t>
      </w:r>
      <w:r>
        <w:rPr>
          <w:rFonts w:hint="eastAsia" w:cs="Times New Roman"/>
          <w:color w:val="auto"/>
          <w:highlight w:val="none"/>
          <w:lang w:val="en-US" w:eastAsia="zh-CN"/>
        </w:rPr>
        <w:t>3</w:t>
      </w:r>
      <w:r>
        <w:rPr>
          <w:rFonts w:hint="default" w:ascii="Times New Roman" w:hAnsi="Times New Roman" w:cs="Times New Roman"/>
          <w:color w:val="auto"/>
          <w:highlight w:val="none"/>
        </w:rPr>
        <w:t>月，建设单位</w:t>
      </w:r>
      <w:r>
        <w:rPr>
          <w:rFonts w:hint="eastAsia" w:cs="Times New Roman"/>
          <w:color w:val="auto"/>
          <w:highlight w:val="none"/>
          <w:lang w:eastAsia="zh-CN"/>
        </w:rPr>
        <w:t>哈密弗光太阳能有限公司</w:t>
      </w:r>
      <w:r>
        <w:rPr>
          <w:rFonts w:hint="default" w:ascii="Times New Roman" w:hAnsi="Times New Roman" w:cs="Times New Roman"/>
          <w:color w:val="auto"/>
          <w:highlight w:val="none"/>
        </w:rPr>
        <w:t>委托中国水电顾问集团西北勘测设计研究院完成《哈密弗光 20MWp（CPV）并网光伏电站工程</w:t>
      </w:r>
      <w:r>
        <w:rPr>
          <w:rFonts w:hint="eastAsia" w:cs="Times New Roman"/>
          <w:color w:val="auto"/>
          <w:highlight w:val="none"/>
          <w:lang w:eastAsia="zh-CN"/>
        </w:rPr>
        <w:t>初步设计</w:t>
      </w:r>
      <w:r>
        <w:rPr>
          <w:rFonts w:hint="default" w:ascii="Times New Roman" w:hAnsi="Times New Roman" w:cs="Times New Roman"/>
          <w:color w:val="auto"/>
          <w:highlight w:val="none"/>
        </w:rPr>
        <w:t>报告》。</w:t>
      </w:r>
    </w:p>
    <w:p>
      <w:pPr>
        <w:pStyle w:val="56"/>
        <w:ind w:firstLine="480"/>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2012年4月，</w:t>
      </w:r>
      <w:r>
        <w:rPr>
          <w:rFonts w:hint="default" w:ascii="Times New Roman" w:hAnsi="Times New Roman" w:cs="Times New Roman"/>
          <w:color w:val="auto"/>
          <w:highlight w:val="none"/>
        </w:rPr>
        <w:t>建设单位</w:t>
      </w:r>
      <w:r>
        <w:rPr>
          <w:rFonts w:hint="eastAsia" w:cs="Times New Roman"/>
          <w:color w:val="auto"/>
          <w:highlight w:val="none"/>
          <w:lang w:eastAsia="zh-CN"/>
        </w:rPr>
        <w:t>哈密弗光太阳能有限公司</w:t>
      </w:r>
      <w:r>
        <w:rPr>
          <w:rFonts w:hint="default" w:ascii="Times New Roman" w:hAnsi="Times New Roman" w:cs="Times New Roman"/>
          <w:color w:val="auto"/>
          <w:highlight w:val="none"/>
          <w:lang w:eastAsia="zh-CN"/>
        </w:rPr>
        <w:t>取得由</w:t>
      </w:r>
      <w:r>
        <w:rPr>
          <w:rFonts w:hint="eastAsia" w:cs="Times New Roman"/>
          <w:color w:val="auto"/>
          <w:highlight w:val="none"/>
          <w:lang w:eastAsia="zh-CN"/>
        </w:rPr>
        <w:t>新疆维吾尔自治区环境保护厅</w:t>
      </w:r>
      <w:r>
        <w:rPr>
          <w:rFonts w:hint="default" w:ascii="Times New Roman" w:hAnsi="Times New Roman" w:cs="Times New Roman"/>
          <w:color w:val="auto"/>
          <w:highlight w:val="none"/>
          <w:lang w:eastAsia="zh-CN"/>
        </w:rPr>
        <w:t>下发的环境影响评价报告表的批复，文号：</w:t>
      </w:r>
      <w:r>
        <w:rPr>
          <w:rFonts w:hint="eastAsia" w:cs="Times New Roman"/>
          <w:color w:val="auto"/>
          <w:highlight w:val="none"/>
          <w:lang w:eastAsia="zh-CN"/>
        </w:rPr>
        <w:t>新</w:t>
      </w:r>
      <w:r>
        <w:rPr>
          <w:rFonts w:hint="default" w:ascii="Times New Roman" w:hAnsi="Times New Roman" w:cs="Times New Roman"/>
          <w:color w:val="auto"/>
          <w:highlight w:val="none"/>
          <w:lang w:eastAsia="zh-CN"/>
        </w:rPr>
        <w:t>环评价函【</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012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94</w:t>
      </w:r>
      <w:r>
        <w:rPr>
          <w:rFonts w:hint="default" w:ascii="Times New Roman" w:hAnsi="Times New Roman" w:cs="Times New Roman"/>
          <w:color w:val="auto"/>
          <w:highlight w:val="none"/>
          <w:lang w:val="en-US" w:eastAsia="zh-CN"/>
        </w:rPr>
        <w:t>号</w:t>
      </w:r>
      <w:r>
        <w:rPr>
          <w:rFonts w:hint="default" w:ascii="Times New Roman" w:hAnsi="Times New Roman" w:cs="Times New Roman"/>
          <w:color w:val="auto"/>
          <w:highlight w:val="none"/>
          <w:lang w:eastAsia="zh-CN"/>
        </w:rPr>
        <w:t>。</w:t>
      </w:r>
    </w:p>
    <w:p>
      <w:pPr>
        <w:pStyle w:val="56"/>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20</w:t>
      </w:r>
      <w:r>
        <w:rPr>
          <w:rFonts w:hint="eastAsia" w:cs="Times New Roman"/>
          <w:color w:val="auto"/>
          <w:highlight w:val="none"/>
          <w:lang w:val="en-US" w:eastAsia="zh-CN"/>
        </w:rPr>
        <w:t>12</w:t>
      </w:r>
      <w:r>
        <w:rPr>
          <w:rFonts w:hint="default" w:ascii="Times New Roman" w:hAnsi="Times New Roman" w:cs="Times New Roman"/>
          <w:color w:val="auto"/>
          <w:highlight w:val="none"/>
        </w:rPr>
        <w:t>年</w:t>
      </w:r>
      <w:r>
        <w:rPr>
          <w:rFonts w:hint="eastAsia" w:cs="Times New Roman"/>
          <w:color w:val="auto"/>
          <w:highlight w:val="none"/>
          <w:lang w:val="en-US" w:eastAsia="zh-CN"/>
        </w:rPr>
        <w:t>6</w:t>
      </w:r>
      <w:r>
        <w:rPr>
          <w:rFonts w:hint="default" w:ascii="Times New Roman" w:hAnsi="Times New Roman" w:cs="Times New Roman"/>
          <w:color w:val="auto"/>
          <w:highlight w:val="none"/>
        </w:rPr>
        <w:t>月，建设单位</w:t>
      </w:r>
      <w:r>
        <w:rPr>
          <w:rFonts w:hint="eastAsia" w:cs="Times New Roman"/>
          <w:color w:val="auto"/>
          <w:highlight w:val="none"/>
          <w:lang w:eastAsia="zh-CN"/>
        </w:rPr>
        <w:t>哈密弗光太阳能有限公司</w:t>
      </w:r>
      <w:r>
        <w:rPr>
          <w:rFonts w:hint="default" w:ascii="Times New Roman" w:hAnsi="Times New Roman" w:cs="Times New Roman"/>
          <w:color w:val="auto"/>
          <w:highlight w:val="none"/>
          <w:lang w:eastAsia="zh-CN"/>
        </w:rPr>
        <w:t>取得由新疆维吾尔自治区发展和改革委员会下发的</w:t>
      </w:r>
      <w:r>
        <w:rPr>
          <w:rFonts w:hint="default" w:ascii="Times New Roman" w:hAnsi="Times New Roman" w:cs="Times New Roman"/>
          <w:color w:val="auto"/>
          <w:highlight w:val="none"/>
        </w:rPr>
        <w:t>《</w:t>
      </w:r>
      <w:r>
        <w:rPr>
          <w:rFonts w:hint="eastAsia" w:cs="Times New Roman"/>
          <w:color w:val="auto"/>
          <w:highlight w:val="none"/>
          <w:lang w:eastAsia="zh-CN"/>
        </w:rPr>
        <w:t>关于弗光哈密 一期20兆瓦光伏并网发电项目核准的批复</w:t>
      </w:r>
      <w:r>
        <w:rPr>
          <w:rFonts w:hint="default" w:ascii="Times New Roman" w:hAnsi="Times New Roman" w:cs="Times New Roman"/>
          <w:color w:val="auto"/>
          <w:highlight w:val="none"/>
          <w:lang w:eastAsia="zh-CN"/>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（2）方案编制情况</w:t>
      </w:r>
    </w:p>
    <w:p>
      <w:pPr>
        <w:pStyle w:val="56"/>
        <w:ind w:firstLine="480"/>
        <w:rPr>
          <w:rFonts w:hint="default" w:ascii="Times New Roman" w:hAnsi="Times New Roman" w:cs="Times New Roman"/>
          <w:color w:val="auto"/>
          <w:highlight w:val="none"/>
        </w:rPr>
      </w:pPr>
      <w:r>
        <w:rPr>
          <w:rFonts w:hint="eastAsia" w:cs="Times New Roman"/>
          <w:color w:val="auto"/>
          <w:highlight w:val="none"/>
          <w:lang w:eastAsia="zh-CN"/>
        </w:rPr>
        <w:t>因</w:t>
      </w:r>
      <w:r>
        <w:rPr>
          <w:rFonts w:hint="default" w:ascii="Times New Roman" w:hAnsi="Times New Roman" w:cs="Times New Roman"/>
          <w:color w:val="auto"/>
          <w:highlight w:val="none"/>
        </w:rPr>
        <w:t>本项目</w:t>
      </w:r>
      <w:r>
        <w:rPr>
          <w:rFonts w:hint="eastAsia" w:cs="Times New Roman"/>
          <w:color w:val="auto"/>
          <w:highlight w:val="none"/>
          <w:lang w:eastAsia="zh-CN"/>
        </w:rPr>
        <w:t>之前未编制水土保持方案书，</w:t>
      </w:r>
      <w:r>
        <w:rPr>
          <w:rFonts w:hint="eastAsia" w:cs="Times New Roman"/>
          <w:color w:val="auto"/>
          <w:highlight w:val="none"/>
          <w:lang w:val="en-US" w:eastAsia="zh-CN"/>
        </w:rPr>
        <w:t>2020年10</w:t>
      </w:r>
      <w:r>
        <w:rPr>
          <w:rFonts w:hint="default" w:ascii="Times New Roman" w:hAnsi="Times New Roman" w:cs="Times New Roman"/>
          <w:color w:val="auto"/>
          <w:highlight w:val="none"/>
        </w:rPr>
        <w:t>月，</w:t>
      </w:r>
      <w:r>
        <w:rPr>
          <w:rFonts w:hint="eastAsia" w:cs="Times New Roman"/>
          <w:color w:val="auto"/>
          <w:highlight w:val="none"/>
          <w:lang w:eastAsia="zh-CN"/>
        </w:rPr>
        <w:t>哈密弗光太阳能有限公司</w:t>
      </w:r>
      <w:r>
        <w:rPr>
          <w:rFonts w:hint="default" w:ascii="Times New Roman" w:hAnsi="Times New Roman" w:cs="Times New Roman"/>
          <w:color w:val="auto"/>
          <w:highlight w:val="none"/>
        </w:rPr>
        <w:t>委托新疆万汇工程项目管理有限公司承担《</w:t>
      </w:r>
      <w:r>
        <w:rPr>
          <w:rFonts w:hint="eastAsia" w:cs="Times New Roman"/>
          <w:color w:val="auto"/>
          <w:highlight w:val="none"/>
          <w:lang w:eastAsia="zh-CN"/>
        </w:rPr>
        <w:t>弗光哈密一期20MWp光伏并网发电项目</w:t>
      </w:r>
      <w:r>
        <w:rPr>
          <w:rFonts w:hint="default" w:ascii="Times New Roman" w:hAnsi="Times New Roman" w:cs="Times New Roman"/>
          <w:color w:val="auto"/>
          <w:highlight w:val="none"/>
        </w:rPr>
        <w:t>水土保持方案报告书》的编制工作。接受委托后，我公司立即组织相关技术人员对工程设计资料进行认真分析，在对项目区进行了详细调研和现场踏勘的基础上，按照开发建设项目相关水土保持法律法规、规章和规范性文件及技术规范和标准的要求，于2020年</w:t>
      </w:r>
      <w:r>
        <w:rPr>
          <w:rFonts w:hint="eastAsia" w:cs="Times New Roman"/>
          <w:color w:val="auto"/>
          <w:highlight w:val="none"/>
          <w:lang w:val="en-US" w:eastAsia="zh-CN"/>
        </w:rPr>
        <w:t>11</w:t>
      </w:r>
      <w:r>
        <w:rPr>
          <w:rFonts w:hint="default" w:ascii="Times New Roman" w:hAnsi="Times New Roman" w:cs="Times New Roman"/>
          <w:color w:val="auto"/>
          <w:highlight w:val="none"/>
        </w:rPr>
        <w:t>月编制完成了《</w:t>
      </w:r>
      <w:r>
        <w:rPr>
          <w:rFonts w:hint="eastAsia" w:cs="Times New Roman"/>
          <w:color w:val="auto"/>
          <w:highlight w:val="none"/>
          <w:lang w:eastAsia="zh-CN"/>
        </w:rPr>
        <w:t>弗光哈密一期20MWp光伏并网发电项目</w:t>
      </w:r>
      <w:r>
        <w:rPr>
          <w:rFonts w:hint="default" w:ascii="Times New Roman" w:hAnsi="Times New Roman" w:cs="Times New Roman"/>
          <w:color w:val="auto"/>
          <w:highlight w:val="none"/>
        </w:rPr>
        <w:t>水土保持方案报告书（送审稿）》。</w:t>
      </w:r>
    </w:p>
    <w:p>
      <w:pPr>
        <w:pStyle w:val="56"/>
        <w:numPr>
          <w:ilvl w:val="0"/>
          <w:numId w:val="1"/>
        </w:numPr>
        <w:ind w:firstLine="480"/>
        <w:rPr>
          <w:rFonts w:hint="default" w:cs="Times New Roman"/>
          <w:color w:val="auto"/>
          <w:highlight w:val="none"/>
          <w:lang w:val="en-US" w:eastAsia="zh-CN"/>
        </w:rPr>
      </w:pPr>
      <w:r>
        <w:rPr>
          <w:rFonts w:hint="eastAsia" w:cs="Times New Roman"/>
          <w:color w:val="auto"/>
          <w:highlight w:val="none"/>
          <w:lang w:val="en-US" w:eastAsia="zh-CN"/>
        </w:rPr>
        <w:t>项目进展情况</w:t>
      </w:r>
    </w:p>
    <w:p>
      <w:pPr>
        <w:pStyle w:val="56"/>
        <w:numPr>
          <w:ilvl w:val="-1"/>
          <w:numId w:val="0"/>
        </w:numPr>
        <w:ind w:firstLine="480"/>
        <w:rPr>
          <w:rFonts w:hint="eastAsia" w:cs="Times New Roman"/>
          <w:color w:val="auto"/>
          <w:highlight w:val="none"/>
          <w:lang w:eastAsia="zh-CN"/>
        </w:rPr>
      </w:pPr>
      <w:r>
        <w:rPr>
          <w:rFonts w:hint="default" w:ascii="Times New Roman" w:hAnsi="Times New Roman" w:cs="Times New Roman"/>
          <w:color w:val="auto"/>
          <w:highlight w:val="none"/>
        </w:rPr>
        <w:t>本工程建设期共</w:t>
      </w:r>
      <w:r>
        <w:rPr>
          <w:rFonts w:hint="eastAsia" w:cs="Times New Roman"/>
          <w:color w:val="auto"/>
          <w:highlight w:val="none"/>
          <w:lang w:val="en-US" w:eastAsia="zh-CN"/>
        </w:rPr>
        <w:t>13</w:t>
      </w:r>
      <w:r>
        <w:rPr>
          <w:rFonts w:hint="default" w:ascii="Times New Roman" w:hAnsi="Times New Roman" w:cs="Times New Roman"/>
          <w:color w:val="auto"/>
          <w:highlight w:val="none"/>
        </w:rPr>
        <w:t>个月，工程于20</w:t>
      </w:r>
      <w:r>
        <w:rPr>
          <w:rFonts w:hint="eastAsia" w:cs="Times New Roman"/>
          <w:color w:val="auto"/>
          <w:highlight w:val="none"/>
          <w:lang w:val="en-US" w:eastAsia="zh-CN"/>
        </w:rPr>
        <w:t>12</w:t>
      </w:r>
      <w:r>
        <w:rPr>
          <w:rFonts w:hint="default" w:ascii="Times New Roman" w:hAnsi="Times New Roman" w:cs="Times New Roman"/>
          <w:color w:val="auto"/>
          <w:highlight w:val="none"/>
        </w:rPr>
        <w:t>年</w:t>
      </w:r>
      <w:r>
        <w:rPr>
          <w:rFonts w:hint="eastAsia" w:cs="Times New Roman"/>
          <w:color w:val="auto"/>
          <w:highlight w:val="none"/>
          <w:lang w:val="en-US" w:eastAsia="zh-CN"/>
        </w:rPr>
        <w:t>12</w:t>
      </w:r>
      <w:r>
        <w:rPr>
          <w:rFonts w:hint="default" w:ascii="Times New Roman" w:hAnsi="Times New Roman" w:cs="Times New Roman"/>
          <w:color w:val="auto"/>
          <w:highlight w:val="none"/>
        </w:rPr>
        <w:t>月</w:t>
      </w:r>
      <w:r>
        <w:rPr>
          <w:rFonts w:hint="eastAsia" w:cs="Times New Roman"/>
          <w:color w:val="auto"/>
          <w:highlight w:val="none"/>
          <w:lang w:val="en-US" w:eastAsia="zh-CN"/>
        </w:rPr>
        <w:t>1日</w:t>
      </w:r>
      <w:r>
        <w:rPr>
          <w:rFonts w:hint="default" w:ascii="Times New Roman" w:hAnsi="Times New Roman" w:cs="Times New Roman"/>
          <w:color w:val="auto"/>
          <w:highlight w:val="none"/>
        </w:rPr>
        <w:t>开工建设，于20</w:t>
      </w:r>
      <w:r>
        <w:rPr>
          <w:rFonts w:hint="eastAsia" w:cs="Times New Roman"/>
          <w:color w:val="auto"/>
          <w:highlight w:val="none"/>
          <w:lang w:val="en-US" w:eastAsia="zh-CN"/>
        </w:rPr>
        <w:t>13</w:t>
      </w:r>
      <w:r>
        <w:rPr>
          <w:rFonts w:hint="default" w:ascii="Times New Roman" w:hAnsi="Times New Roman" w:cs="Times New Roman"/>
          <w:color w:val="auto"/>
          <w:highlight w:val="none"/>
        </w:rPr>
        <w:t>年12月</w:t>
      </w:r>
      <w:r>
        <w:rPr>
          <w:rFonts w:hint="eastAsia" w:cs="Times New Roman"/>
          <w:color w:val="auto"/>
          <w:highlight w:val="none"/>
          <w:lang w:val="en-US" w:eastAsia="zh-CN"/>
        </w:rPr>
        <w:t>10日</w:t>
      </w:r>
      <w:r>
        <w:rPr>
          <w:rFonts w:hint="default" w:ascii="Times New Roman" w:hAnsi="Times New Roman" w:cs="Times New Roman"/>
          <w:color w:val="auto"/>
          <w:highlight w:val="none"/>
        </w:rPr>
        <w:t>建设完成</w:t>
      </w:r>
      <w:r>
        <w:rPr>
          <w:rFonts w:hint="eastAsia" w:cs="Times New Roman"/>
          <w:color w:val="auto"/>
          <w:highlight w:val="none"/>
          <w:lang w:eastAsia="zh-CN"/>
        </w:rPr>
        <w:t>，并于</w:t>
      </w:r>
      <w:r>
        <w:rPr>
          <w:rFonts w:hint="eastAsia" w:cs="Times New Roman"/>
          <w:color w:val="auto"/>
          <w:highlight w:val="none"/>
          <w:lang w:val="en-US" w:eastAsia="zh-CN"/>
        </w:rPr>
        <w:t>2013年12月20日并网11MWp</w:t>
      </w:r>
      <w:r>
        <w:rPr>
          <w:rFonts w:hint="default" w:ascii="Times New Roman" w:hAnsi="Times New Roman" w:cs="Times New Roman"/>
          <w:color w:val="auto"/>
          <w:highlight w:val="none"/>
        </w:rPr>
        <w:t>。</w:t>
      </w:r>
      <w:r>
        <w:rPr>
          <w:rFonts w:hint="eastAsia" w:cs="Times New Roman"/>
          <w:color w:val="auto"/>
          <w:highlight w:val="none"/>
          <w:lang w:eastAsia="zh-CN"/>
        </w:rPr>
        <w:t>截止</w:t>
      </w:r>
      <w:r>
        <w:rPr>
          <w:rFonts w:hint="eastAsia" w:cs="Times New Roman"/>
          <w:color w:val="auto"/>
          <w:highlight w:val="none"/>
          <w:lang w:val="en-US" w:eastAsia="zh-CN"/>
        </w:rPr>
        <w:t>2019年底，本项目累计上网电量4108.19万Kwh。</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1.1.3 自然概况</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eastAsia="仿宋_GB2312" w:cs="Times New Roman"/>
          <w:snapToGrid w:val="0"/>
          <w:color w:val="auto"/>
          <w:kern w:val="24"/>
          <w:szCs w:val="24"/>
          <w:highlight w:val="none"/>
          <w:lang w:eastAsia="zh-CN"/>
        </w:rPr>
        <w:t>项目区</w:t>
      </w:r>
      <w:r>
        <w:rPr>
          <w:rFonts w:hint="default" w:ascii="Times New Roman" w:hAnsi="Times New Roman" w:cs="Times New Roman"/>
          <w:color w:val="auto"/>
          <w:highlight w:val="none"/>
        </w:rPr>
        <w:t>场址地貌</w:t>
      </w:r>
      <w:r>
        <w:rPr>
          <w:rFonts w:hint="eastAsia" w:cs="Times New Roman"/>
          <w:color w:val="auto"/>
          <w:highlight w:val="none"/>
          <w:lang w:eastAsia="zh-CN"/>
        </w:rPr>
        <w:t>单元</w:t>
      </w:r>
      <w:r>
        <w:rPr>
          <w:rFonts w:hint="default" w:ascii="Times New Roman" w:hAnsi="Times New Roman" w:cs="Times New Roman"/>
          <w:color w:val="auto"/>
          <w:highlight w:val="none"/>
        </w:rPr>
        <w:t>属</w:t>
      </w:r>
      <w:r>
        <w:rPr>
          <w:rFonts w:hint="eastAsia" w:cs="Times New Roman"/>
          <w:color w:val="auto"/>
          <w:highlight w:val="none"/>
          <w:lang w:eastAsia="zh-CN"/>
        </w:rPr>
        <w:t>博格达山</w:t>
      </w:r>
      <w:r>
        <w:rPr>
          <w:rFonts w:hint="default" w:ascii="Times New Roman" w:hAnsi="Times New Roman" w:cs="Times New Roman"/>
          <w:color w:val="auto"/>
          <w:highlight w:val="none"/>
        </w:rPr>
        <w:t>山前冲洪积平原，</w:t>
      </w:r>
      <w:r>
        <w:rPr>
          <w:rFonts w:hint="eastAsia" w:cs="Times New Roman"/>
          <w:color w:val="auto"/>
          <w:highlight w:val="none"/>
          <w:lang w:eastAsia="zh-CN"/>
        </w:rPr>
        <w:t>地貌上属于低山丘陵和洪积扇，因</w:t>
      </w:r>
      <w:r>
        <w:rPr>
          <w:rFonts w:hint="eastAsia" w:eastAsia="仿宋_GB2312" w:cs="Times New Roman"/>
          <w:snapToGrid w:val="0"/>
          <w:color w:val="auto"/>
          <w:kern w:val="24"/>
          <w:szCs w:val="24"/>
          <w:highlight w:val="none"/>
          <w:lang w:eastAsia="zh-CN"/>
        </w:rPr>
        <w:t>距离</w:t>
      </w:r>
      <w:r>
        <w:rPr>
          <w:rFonts w:hint="default" w:ascii="Times New Roman" w:hAnsi="Times New Roman" w:eastAsia="仿宋_GB2312" w:cs="Times New Roman"/>
          <w:snapToGrid w:val="0"/>
          <w:color w:val="auto"/>
          <w:kern w:val="24"/>
          <w:szCs w:val="24"/>
          <w:highlight w:val="none"/>
        </w:rPr>
        <w:t>博格达山</w:t>
      </w:r>
      <w:r>
        <w:rPr>
          <w:rFonts w:hint="eastAsia" w:eastAsia="仿宋_GB2312" w:cs="Times New Roman"/>
          <w:snapToGrid w:val="0"/>
          <w:color w:val="auto"/>
          <w:kern w:val="24"/>
          <w:szCs w:val="24"/>
          <w:highlight w:val="none"/>
          <w:lang w:eastAsia="zh-CN"/>
        </w:rPr>
        <w:t>较远，</w:t>
      </w:r>
      <w:r>
        <w:rPr>
          <w:rFonts w:hint="default" w:ascii="Times New Roman" w:hAnsi="Times New Roman" w:cs="Times New Roman"/>
          <w:color w:val="auto"/>
          <w:highlight w:val="none"/>
        </w:rPr>
        <w:t>地势平缓、开阔</w:t>
      </w:r>
      <w:r>
        <w:rPr>
          <w:rFonts w:hint="eastAsia" w:cs="Times New Roman"/>
          <w:color w:val="auto"/>
          <w:highlight w:val="none"/>
          <w:lang w:eastAsia="zh-CN"/>
        </w:rPr>
        <w:t>，</w:t>
      </w:r>
      <w:r>
        <w:rPr>
          <w:rFonts w:hint="default" w:ascii="Times New Roman" w:hAnsi="Times New Roman" w:cs="Times New Roman"/>
          <w:color w:val="auto"/>
          <w:highlight w:val="none"/>
        </w:rPr>
        <w:t>地形坡度小于 1°</w:t>
      </w:r>
      <w:r>
        <w:rPr>
          <w:rFonts w:hint="eastAsia" w:cs="Times New Roman"/>
          <w:color w:val="auto"/>
          <w:highlight w:val="none"/>
          <w:lang w:eastAsia="zh-CN"/>
        </w:rPr>
        <w:t>，场地较平整</w:t>
      </w:r>
      <w:r>
        <w:rPr>
          <w:rFonts w:hint="default" w:ascii="Times New Roman" w:hAnsi="Times New Roman" w:cs="Times New Roman"/>
          <w:color w:val="auto"/>
          <w:highlight w:val="none"/>
        </w:rPr>
        <w:t>。地面高程 1100m～1130m，场址东北高，西南低，</w:t>
      </w:r>
      <w:r>
        <w:rPr>
          <w:rFonts w:hint="eastAsia" w:cs="Times New Roman"/>
          <w:color w:val="auto"/>
          <w:highlight w:val="none"/>
          <w:lang w:eastAsia="zh-CN"/>
        </w:rPr>
        <w:t>总的地形由北向南倾斜，</w:t>
      </w:r>
      <w:r>
        <w:rPr>
          <w:rFonts w:hint="default" w:ascii="Times New Roman" w:hAnsi="Times New Roman" w:cs="Times New Roman"/>
          <w:color w:val="auto"/>
          <w:highlight w:val="none"/>
        </w:rPr>
        <w:t>局部发育宽浅冲沟，冲沟方向基本为由</w:t>
      </w:r>
      <w:r>
        <w:rPr>
          <w:rFonts w:hint="eastAsia" w:cs="Times New Roman"/>
          <w:color w:val="auto"/>
          <w:highlight w:val="none"/>
          <w:lang w:eastAsia="zh-CN"/>
        </w:rPr>
        <w:t>北</w:t>
      </w:r>
      <w:r>
        <w:rPr>
          <w:rFonts w:hint="default" w:ascii="Times New Roman" w:hAnsi="Times New Roman" w:cs="Times New Roman"/>
          <w:color w:val="auto"/>
          <w:highlight w:val="none"/>
        </w:rPr>
        <w:t>向</w:t>
      </w:r>
      <w:r>
        <w:rPr>
          <w:rFonts w:hint="eastAsia" w:cs="Times New Roman"/>
          <w:color w:val="auto"/>
          <w:highlight w:val="none"/>
          <w:lang w:eastAsia="zh-CN"/>
        </w:rPr>
        <w:t>南</w:t>
      </w:r>
      <w:r>
        <w:rPr>
          <w:rFonts w:hint="default" w:ascii="Times New Roman" w:hAnsi="Times New Roman" w:cs="Times New Roman"/>
          <w:color w:val="auto"/>
          <w:highlight w:val="none"/>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eastAsia="仿宋_GB2312" w:cs="Times New Roman"/>
          <w:snapToGrid w:val="0"/>
          <w:color w:val="auto"/>
          <w:kern w:val="24"/>
          <w:szCs w:val="24"/>
          <w:highlight w:val="none"/>
        </w:rPr>
        <w:t>项目区属温带干旱荒漠大陆性气候，多年平均气温</w:t>
      </w:r>
      <w:r>
        <w:rPr>
          <w:rFonts w:hint="eastAsia" w:eastAsia="仿宋_GB2312" w:cs="Times New Roman"/>
          <w:snapToGrid w:val="0"/>
          <w:color w:val="auto"/>
          <w:kern w:val="24"/>
          <w:szCs w:val="24"/>
          <w:highlight w:val="none"/>
          <w:lang w:val="en-US" w:eastAsia="zh-CN"/>
        </w:rPr>
        <w:t>10.1</w:t>
      </w:r>
      <w:r>
        <w:rPr>
          <w:rFonts w:hint="default" w:ascii="Times New Roman" w:hAnsi="Times New Roman" w:eastAsia="仿宋_GB2312" w:cs="Times New Roman"/>
          <w:snapToGrid w:val="0"/>
          <w:color w:val="auto"/>
          <w:kern w:val="24"/>
          <w:szCs w:val="24"/>
          <w:highlight w:val="none"/>
        </w:rPr>
        <w:t>℃，极端最低气温-28.9℃，极端最高气温43.2℃，全年无霜期多年平均为206天，全年日照时数为</w:t>
      </w:r>
      <w:r>
        <w:rPr>
          <w:rFonts w:hint="eastAsia" w:eastAsia="仿宋_GB2312" w:cs="Times New Roman"/>
          <w:snapToGrid w:val="0"/>
          <w:color w:val="auto"/>
          <w:kern w:val="24"/>
          <w:szCs w:val="24"/>
          <w:highlight w:val="none"/>
          <w:lang w:val="en-US" w:eastAsia="zh-CN"/>
        </w:rPr>
        <w:t>3285.1</w:t>
      </w:r>
      <w:r>
        <w:rPr>
          <w:rFonts w:hint="default" w:ascii="Times New Roman" w:hAnsi="Times New Roman" w:eastAsia="仿宋_GB2312" w:cs="Times New Roman"/>
          <w:snapToGrid w:val="0"/>
          <w:color w:val="auto"/>
          <w:kern w:val="24"/>
          <w:szCs w:val="24"/>
          <w:highlight w:val="none"/>
        </w:rPr>
        <w:t>小时</w:t>
      </w:r>
      <w:r>
        <w:rPr>
          <w:rFonts w:hint="eastAsia" w:eastAsia="仿宋_GB2312" w:cs="Times New Roman"/>
          <w:snapToGrid w:val="0"/>
          <w:color w:val="auto"/>
          <w:kern w:val="24"/>
          <w:szCs w:val="24"/>
          <w:highlight w:val="none"/>
          <w:lang w:eastAsia="zh-CN"/>
        </w:rPr>
        <w:t>，</w:t>
      </w:r>
      <w:r>
        <w:rPr>
          <w:rFonts w:hint="default" w:ascii="Times New Roman" w:hAnsi="Times New Roman" w:eastAsia="仿宋_GB2312" w:cs="Times New Roman"/>
          <w:snapToGrid w:val="0"/>
          <w:color w:val="auto"/>
          <w:kern w:val="24"/>
          <w:szCs w:val="24"/>
          <w:highlight w:val="none"/>
        </w:rPr>
        <w:t>年太阳总辐射量6273.71MJ/m</w:t>
      </w:r>
      <w:r>
        <w:rPr>
          <w:rFonts w:hint="default" w:ascii="Times New Roman" w:hAnsi="Times New Roman" w:eastAsia="仿宋_GB2312" w:cs="Times New Roman"/>
          <w:snapToGrid w:val="0"/>
          <w:color w:val="auto"/>
          <w:kern w:val="24"/>
          <w:szCs w:val="24"/>
          <w:highlight w:val="none"/>
          <w:vertAlign w:val="superscript"/>
        </w:rPr>
        <w:t>2</w:t>
      </w:r>
      <w:r>
        <w:rPr>
          <w:rFonts w:hint="default" w:ascii="Times New Roman" w:hAnsi="Times New Roman" w:eastAsia="仿宋_GB2312" w:cs="Times New Roman"/>
          <w:snapToGrid w:val="0"/>
          <w:color w:val="auto"/>
          <w:kern w:val="24"/>
          <w:szCs w:val="24"/>
          <w:highlight w:val="none"/>
        </w:rPr>
        <w:t>，是中国太阳辐射量高值区之一。多年平均降水量为</w:t>
      </w:r>
      <w:r>
        <w:rPr>
          <w:rFonts w:hint="eastAsia" w:eastAsia="仿宋_GB2312" w:cs="Times New Roman"/>
          <w:snapToGrid w:val="0"/>
          <w:color w:val="auto"/>
          <w:kern w:val="24"/>
          <w:szCs w:val="24"/>
          <w:highlight w:val="none"/>
          <w:lang w:val="en-US" w:eastAsia="zh-CN"/>
        </w:rPr>
        <w:t>3</w:t>
      </w:r>
      <w:r>
        <w:rPr>
          <w:rFonts w:hint="eastAsia" w:cs="Times New Roman"/>
          <w:snapToGrid w:val="0"/>
          <w:color w:val="auto"/>
          <w:kern w:val="24"/>
          <w:szCs w:val="24"/>
          <w:highlight w:val="none"/>
          <w:lang w:val="en-US" w:eastAsia="zh-CN"/>
        </w:rPr>
        <w:t>4.</w:t>
      </w:r>
      <w:r>
        <w:rPr>
          <w:rFonts w:hint="eastAsia" w:eastAsia="仿宋_GB2312" w:cs="Times New Roman"/>
          <w:snapToGrid w:val="0"/>
          <w:color w:val="auto"/>
          <w:kern w:val="24"/>
          <w:szCs w:val="24"/>
          <w:highlight w:val="none"/>
          <w:lang w:val="en-US" w:eastAsia="zh-CN"/>
        </w:rPr>
        <w:t>9</w:t>
      </w:r>
      <w:r>
        <w:rPr>
          <w:rFonts w:hint="default" w:ascii="Times New Roman" w:hAnsi="Times New Roman" w:eastAsia="仿宋_GB2312" w:cs="Times New Roman"/>
          <w:snapToGrid w:val="0"/>
          <w:color w:val="auto"/>
          <w:kern w:val="24"/>
          <w:szCs w:val="24"/>
          <w:highlight w:val="none"/>
        </w:rPr>
        <w:t>mm，年最大日降雨量18.9mm，年平均风速</w:t>
      </w:r>
      <w:r>
        <w:rPr>
          <w:rFonts w:hint="eastAsia" w:eastAsia="仿宋_GB2312" w:cs="Times New Roman"/>
          <w:snapToGrid w:val="0"/>
          <w:color w:val="auto"/>
          <w:kern w:val="24"/>
          <w:szCs w:val="24"/>
          <w:highlight w:val="none"/>
          <w:lang w:val="en-US" w:eastAsia="zh-CN"/>
        </w:rPr>
        <w:t>1.6</w:t>
      </w:r>
      <w:r>
        <w:rPr>
          <w:rFonts w:hint="default" w:ascii="Times New Roman" w:hAnsi="Times New Roman" w:eastAsia="仿宋_GB2312" w:cs="Times New Roman"/>
          <w:snapToGrid w:val="0"/>
          <w:color w:val="auto"/>
          <w:kern w:val="24"/>
          <w:szCs w:val="24"/>
          <w:highlight w:val="none"/>
        </w:rPr>
        <w:t>m/s，多年平均最大风速20.7m/s，多为东北风和北风。年蒸发量达2442.5mm，每年1</w:t>
      </w:r>
      <w:r>
        <w:rPr>
          <w:rFonts w:hint="eastAsia" w:eastAsia="仿宋_GB2312" w:cs="Times New Roman"/>
          <w:snapToGrid w:val="0"/>
          <w:color w:val="auto"/>
          <w:kern w:val="24"/>
          <w:szCs w:val="24"/>
          <w:highlight w:val="none"/>
          <w:lang w:val="en-US" w:eastAsia="zh-CN"/>
        </w:rPr>
        <w:t>0</w:t>
      </w:r>
      <w:r>
        <w:rPr>
          <w:rFonts w:hint="default" w:ascii="Times New Roman" w:hAnsi="Times New Roman" w:eastAsia="仿宋_GB2312" w:cs="Times New Roman"/>
          <w:snapToGrid w:val="0"/>
          <w:color w:val="auto"/>
          <w:kern w:val="24"/>
          <w:szCs w:val="24"/>
          <w:highlight w:val="none"/>
        </w:rPr>
        <w:t>月下旬至次年3月为结冰期，最大冻土深度为1.</w:t>
      </w:r>
      <w:r>
        <w:rPr>
          <w:rFonts w:hint="eastAsia" w:eastAsia="仿宋_GB2312" w:cs="Times New Roman"/>
          <w:snapToGrid w:val="0"/>
          <w:color w:val="auto"/>
          <w:kern w:val="24"/>
          <w:szCs w:val="24"/>
          <w:highlight w:val="none"/>
          <w:lang w:val="en-US" w:eastAsia="zh-CN"/>
        </w:rPr>
        <w:t>65</w:t>
      </w:r>
      <w:r>
        <w:rPr>
          <w:rFonts w:hint="default" w:ascii="Times New Roman" w:hAnsi="Times New Roman" w:eastAsia="仿宋_GB2312" w:cs="Times New Roman"/>
          <w:snapToGrid w:val="0"/>
          <w:color w:val="auto"/>
          <w:kern w:val="24"/>
          <w:szCs w:val="24"/>
          <w:highlight w:val="none"/>
        </w:rPr>
        <w:t>m。项目区大风主要集中于3～5月，风速春夏季较大，冬季较小；降水主要集中于6～8月，占全年总降水量的52%</w:t>
      </w:r>
      <w:r>
        <w:rPr>
          <w:rFonts w:hint="default" w:ascii="Times New Roman" w:hAnsi="Times New Roman" w:cs="Times New Roman"/>
          <w:color w:val="auto"/>
          <w:highlight w:val="none"/>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（3）项目区为冲洪积平原区，土壤类型以</w:t>
      </w:r>
      <w:r>
        <w:rPr>
          <w:rFonts w:hint="eastAsia" w:cs="Times New Roman"/>
          <w:color w:val="auto"/>
          <w:highlight w:val="none"/>
          <w:lang w:eastAsia="zh-CN"/>
        </w:rPr>
        <w:t>砾质灰棕漠土</w:t>
      </w:r>
      <w:r>
        <w:rPr>
          <w:rFonts w:hint="default" w:ascii="Times New Roman" w:hAnsi="Times New Roman" w:cs="Times New Roman"/>
          <w:color w:val="auto"/>
          <w:highlight w:val="none"/>
        </w:rPr>
        <w:t>为主</w:t>
      </w:r>
      <w:r>
        <w:rPr>
          <w:rFonts w:hint="eastAsia" w:cs="Times New Roman"/>
          <w:color w:val="auto"/>
          <w:highlight w:val="none"/>
          <w:lang w:eastAsia="zh-CN"/>
        </w:rPr>
        <w:t>，</w:t>
      </w:r>
      <w:r>
        <w:rPr>
          <w:rFonts w:hint="default" w:ascii="Times New Roman" w:hAnsi="Times New Roman" w:eastAsia="仿宋_GB2312" w:cs="Times New Roman"/>
          <w:bCs w:val="0"/>
          <w:color w:val="auto"/>
          <w:highlight w:val="none"/>
        </w:rPr>
        <w:t>呈戈壁荒滩景观，</w:t>
      </w:r>
      <w:r>
        <w:rPr>
          <w:rFonts w:hint="default" w:ascii="Times New Roman" w:hAnsi="Times New Roman" w:cs="Times New Roman"/>
          <w:color w:val="auto"/>
          <w:highlight w:val="none"/>
        </w:rPr>
        <w:t>植被类型为荒漠植被，</w:t>
      </w:r>
      <w:r>
        <w:rPr>
          <w:rFonts w:hint="default" w:ascii="Times New Roman" w:hAnsi="Times New Roman" w:eastAsia="仿宋_GB2312" w:cs="Times New Roman"/>
          <w:color w:val="000000"/>
          <w:highlight w:val="none"/>
        </w:rPr>
        <w:t>地面植被稀薄，覆盖度</w:t>
      </w:r>
      <w:r>
        <w:rPr>
          <w:rFonts w:hint="eastAsia" w:cs="Times New Roman"/>
          <w:color w:val="auto"/>
          <w:highlight w:val="none"/>
          <w:lang w:eastAsia="zh-CN"/>
        </w:rPr>
        <w:t>约</w:t>
      </w:r>
      <w:r>
        <w:rPr>
          <w:rFonts w:hint="default" w:cs="Times New Roman"/>
          <w:color w:val="auto"/>
          <w:highlight w:val="none"/>
          <w:lang w:eastAsia="zh-CN"/>
        </w:rPr>
        <w:t>5</w:t>
      </w:r>
      <w:r>
        <w:rPr>
          <w:rFonts w:hint="default" w:ascii="Times New Roman" w:hAnsi="Times New Roman" w:eastAsia="仿宋_GB2312" w:cs="Times New Roman"/>
          <w:color w:val="000000"/>
          <w:highlight w:val="none"/>
        </w:rPr>
        <w:t>%</w:t>
      </w:r>
      <w:r>
        <w:rPr>
          <w:rFonts w:hint="eastAsia" w:cs="Times New Roman"/>
          <w:color w:val="000000"/>
          <w:highlight w:val="none"/>
          <w:lang w:eastAsia="zh-CN"/>
        </w:rPr>
        <w:t>左右</w:t>
      </w:r>
      <w:r>
        <w:rPr>
          <w:rFonts w:hint="default" w:ascii="Times New Roman" w:hAnsi="Times New Roman" w:eastAsia="仿宋_GB2312" w:cs="Times New Roman"/>
          <w:color w:val="000000"/>
          <w:highlight w:val="none"/>
        </w:rPr>
        <w:t>，项目区植被种类单一，地表零星分布的旱生植物有芨芨草和骆驼刺。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（4）本项目位于</w:t>
      </w:r>
      <w:r>
        <w:rPr>
          <w:rFonts w:hint="eastAsia" w:cs="Times New Roman"/>
          <w:color w:val="auto"/>
          <w:highlight w:val="none"/>
          <w:lang w:eastAsia="zh-CN"/>
        </w:rPr>
        <w:t>哈密市伊州区</w:t>
      </w:r>
      <w:r>
        <w:rPr>
          <w:rFonts w:hint="default" w:ascii="Times New Roman" w:hAnsi="Times New Roman" w:cs="Times New Roman"/>
          <w:color w:val="auto"/>
          <w:highlight w:val="none"/>
        </w:rPr>
        <w:t>，同时根据《全国水土保持区划（试行）》，本项目所在区域均位于北方风沙区。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根据工程区踏勘、测量及综合分析，确定本工程区的气象、地表组成、植被覆盖度等自然环境状况，结合全疆第一次水土流失普查结果，确定项目区在原地表稳定层未破坏的条件下，原生地表土壤侵蚀强度属于轻度风蚀、微度水蚀；根据《土壤侵蚀分类分级标准》（SL190-2007），最终确定项目区的原生地貌土壤侵蚀模数为1</w:t>
      </w:r>
      <w:r>
        <w:rPr>
          <w:rFonts w:hint="eastAsia" w:cs="Times New Roman"/>
          <w:color w:val="auto"/>
          <w:highlight w:val="none"/>
          <w:lang w:val="en-US" w:eastAsia="zh-CN"/>
        </w:rPr>
        <w:t>5</w:t>
      </w:r>
      <w:r>
        <w:rPr>
          <w:rFonts w:hint="default" w:ascii="Times New Roman" w:hAnsi="Times New Roman" w:cs="Times New Roman"/>
          <w:color w:val="auto"/>
          <w:highlight w:val="none"/>
        </w:rPr>
        <w:t>00t/km²</w:t>
      </w:r>
      <w:r>
        <w:rPr>
          <w:rFonts w:hint="default" w:ascii="Times New Roman" w:hAnsi="Times New Roman" w:eastAsia="MS Mincho" w:cs="Times New Roman"/>
          <w:color w:val="auto"/>
          <w:highlight w:val="none"/>
        </w:rPr>
        <w:t>・</w:t>
      </w:r>
      <w:r>
        <w:rPr>
          <w:rFonts w:hint="default" w:ascii="Times New Roman" w:hAnsi="Times New Roman" w:cs="Times New Roman"/>
          <w:color w:val="auto"/>
          <w:highlight w:val="none"/>
        </w:rPr>
        <w:t>a。同时根据项目区所属的水土流失类型、项目区的实际情况，确定工程区土壤容许流失量为1</w:t>
      </w:r>
      <w:r>
        <w:rPr>
          <w:rFonts w:hint="eastAsia" w:cs="Times New Roman"/>
          <w:color w:val="auto"/>
          <w:highlight w:val="none"/>
          <w:lang w:val="en-US" w:eastAsia="zh-CN"/>
        </w:rPr>
        <w:t>5</w:t>
      </w:r>
      <w:r>
        <w:rPr>
          <w:rFonts w:hint="default" w:ascii="Times New Roman" w:hAnsi="Times New Roman" w:cs="Times New Roman"/>
          <w:color w:val="auto"/>
          <w:highlight w:val="none"/>
        </w:rPr>
        <w:t>00t/（km²·a）。</w:t>
      </w:r>
    </w:p>
    <w:p>
      <w:pPr>
        <w:pStyle w:val="56"/>
        <w:ind w:firstLine="480"/>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rPr>
        <w:t>（6）项目区不涉及饮用水源保护区、水功能一级区的保护区和保留区、自然保护区、世界文化和自然遗产地、风景名胜区、地质公园、森林公园、重要湿地等。</w:t>
      </w:r>
      <w:r>
        <w:rPr>
          <w:rFonts w:hint="default" w:ascii="Times New Roman" w:hAnsi="Times New Roman" w:cs="Times New Roman"/>
          <w:color w:val="auto"/>
          <w:highlight w:val="none"/>
          <w:lang w:eastAsia="zh-CN"/>
        </w:rPr>
        <w:t>本项目</w:t>
      </w:r>
      <w:r>
        <w:rPr>
          <w:rFonts w:hint="default" w:cs="Times New Roman"/>
          <w:color w:val="auto"/>
          <w:highlight w:val="none"/>
          <w:lang w:eastAsia="zh-CN"/>
        </w:rPr>
        <w:t>区中部现有一条东西走向的地下通信光缆，项目主体工程布置时在两侧各留大于</w:t>
      </w:r>
      <w:r>
        <w:rPr>
          <w:rFonts w:hint="default" w:cs="Times New Roman"/>
          <w:color w:val="auto"/>
          <w:highlight w:val="none"/>
          <w:lang w:val="en-US" w:eastAsia="zh-CN"/>
        </w:rPr>
        <w:t>6米的防护保护区，局部也预留一定的维护检修占用区，在电站施工建设和运行期严格按照《国务院、中央军委关于保护通信线路的规定》和《通信线路工程设计</w:t>
      </w:r>
      <w:r>
        <w:rPr>
          <w:rFonts w:hint="eastAsia" w:cs="Times New Roman"/>
          <w:color w:val="auto"/>
          <w:highlight w:val="none"/>
          <w:lang w:val="en-US" w:eastAsia="zh-CN"/>
        </w:rPr>
        <w:t>规范》等国家法规、规程规范，对场内线路进行保护，建设与运行过程中均不会对此地下通信光缆产生影响。</w:t>
      </w:r>
    </w:p>
    <w:p>
      <w:pPr>
        <w:pStyle w:val="66"/>
        <w:ind w:firstLine="148"/>
        <w:rPr>
          <w:rFonts w:hint="default" w:ascii="Times New Roman" w:hAnsi="Times New Roman" w:cs="Times New Roman"/>
          <w:color w:val="auto"/>
          <w:highlight w:val="none"/>
        </w:rPr>
      </w:pPr>
      <w:bookmarkStart w:id="47" w:name="_Toc417412291"/>
      <w:bookmarkStart w:id="48" w:name="_Toc29661"/>
      <w:r>
        <w:rPr>
          <w:rFonts w:hint="default" w:ascii="Times New Roman" w:hAnsi="Times New Roman" w:cs="Times New Roman"/>
          <w:color w:val="auto"/>
          <w:highlight w:val="none"/>
        </w:rPr>
        <w:t xml:space="preserve">1.2 </w:t>
      </w:r>
      <w:bookmarkEnd w:id="47"/>
      <w:r>
        <w:rPr>
          <w:rFonts w:hint="default" w:ascii="Times New Roman" w:hAnsi="Times New Roman" w:cs="Times New Roman"/>
          <w:color w:val="auto"/>
          <w:highlight w:val="none"/>
        </w:rPr>
        <w:t>编制依据</w:t>
      </w:r>
      <w:bookmarkEnd w:id="48"/>
    </w:p>
    <w:p>
      <w:pPr>
        <w:pStyle w:val="69"/>
        <w:rPr>
          <w:rFonts w:hint="default" w:ascii="Times New Roman" w:hAnsi="Times New Roman" w:cs="Times New Roman"/>
          <w:color w:val="auto"/>
          <w:highlight w:val="none"/>
        </w:rPr>
      </w:pPr>
      <w:bookmarkStart w:id="49" w:name="_Toc417412292"/>
      <w:bookmarkStart w:id="50" w:name="_Toc407014508"/>
      <w:r>
        <w:rPr>
          <w:rFonts w:hint="default" w:ascii="Times New Roman" w:hAnsi="Times New Roman" w:cs="Times New Roman"/>
          <w:color w:val="auto"/>
          <w:highlight w:val="none"/>
        </w:rPr>
        <w:t>1.2.1 法律法规</w:t>
      </w:r>
    </w:p>
    <w:p>
      <w:pPr>
        <w:pStyle w:val="56"/>
        <w:numPr>
          <w:ilvl w:val="0"/>
          <w:numId w:val="2"/>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《中华人民共和国水土保持法》，(中华人民共和国主席令39号，2010年12月25日修订，自2011年3月1日起施行)；</w:t>
      </w:r>
    </w:p>
    <w:p>
      <w:pPr>
        <w:pStyle w:val="56"/>
        <w:numPr>
          <w:ilvl w:val="0"/>
          <w:numId w:val="2"/>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《新疆维吾尔自治区实施&lt;中华人民共和国水土保持法&gt;办法》(2013年7月31日修订通过，2013年10月1日施行)；</w:t>
      </w:r>
    </w:p>
    <w:p>
      <w:pPr>
        <w:pStyle w:val="56"/>
        <w:numPr>
          <w:ilvl w:val="0"/>
          <w:numId w:val="2"/>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《中华人民共和国环境保护法》（于2014年4月24日修订通过，自2015年1月1日起施行）；</w:t>
      </w:r>
    </w:p>
    <w:p>
      <w:pPr>
        <w:pStyle w:val="56"/>
        <w:numPr>
          <w:ilvl w:val="0"/>
          <w:numId w:val="2"/>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《中华人民共和国水法》（全国人大，1989年12月26日颁布实施，2014年4日24日修订，2015年1月1日实施）；</w:t>
      </w:r>
    </w:p>
    <w:p>
      <w:pPr>
        <w:pStyle w:val="56"/>
        <w:numPr>
          <w:ilvl w:val="0"/>
          <w:numId w:val="2"/>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《中华人民共和国环境影响评价法》（2016年7月2日修订，2016年9月1日施行）；</w:t>
      </w:r>
    </w:p>
    <w:p>
      <w:pPr>
        <w:pStyle w:val="56"/>
        <w:numPr>
          <w:ilvl w:val="0"/>
          <w:numId w:val="2"/>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《中华人民共和国防洪法》（2009年8月27日起施行）；</w:t>
      </w:r>
    </w:p>
    <w:p>
      <w:pPr>
        <w:pStyle w:val="56"/>
        <w:numPr>
          <w:ilvl w:val="0"/>
          <w:numId w:val="2"/>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中华人民共和国电力法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2018年12月29日修订实施</w:t>
      </w:r>
      <w:r>
        <w:rPr>
          <w:rFonts w:hint="default" w:ascii="Times New Roman" w:hAnsi="Times New Roman" w:cs="Times New Roman"/>
          <w:color w:val="auto"/>
          <w:highlight w:val="none"/>
          <w:lang w:eastAsia="zh-CN"/>
        </w:rPr>
        <w:t>）；</w:t>
      </w:r>
    </w:p>
    <w:p>
      <w:pPr>
        <w:pStyle w:val="56"/>
        <w:numPr>
          <w:ilvl w:val="0"/>
          <w:numId w:val="2"/>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中华人民共和国土地管理法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2008年8月28日修订，2020年1月1日实施</w:t>
      </w:r>
      <w:r>
        <w:rPr>
          <w:rFonts w:hint="default" w:ascii="Times New Roman" w:hAnsi="Times New Roman" w:cs="Times New Roman"/>
          <w:color w:val="auto"/>
          <w:highlight w:val="none"/>
          <w:lang w:eastAsia="zh-CN"/>
        </w:rPr>
        <w:t>）；</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1.2.2 部委规章</w:t>
      </w:r>
    </w:p>
    <w:p>
      <w:pPr>
        <w:pStyle w:val="56"/>
        <w:numPr>
          <w:ilvl w:val="0"/>
          <w:numId w:val="3"/>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《水土保持生态环境监测网络管理办法》（水利部第12号令发布2000年1月31日实施，根据2014年8月19日修改）；</w:t>
      </w:r>
    </w:p>
    <w:p>
      <w:pPr>
        <w:pStyle w:val="56"/>
        <w:numPr>
          <w:ilvl w:val="0"/>
          <w:numId w:val="3"/>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《水利部关于废止和修改部分规章的决定》（中华人民共和国水利部令第49号，2017.12.22）；</w:t>
      </w:r>
    </w:p>
    <w:p>
      <w:pPr>
        <w:pStyle w:val="56"/>
        <w:numPr>
          <w:ilvl w:val="0"/>
          <w:numId w:val="3"/>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水利部关于加强事中事后监管规范生产建设项目水土保持设施自主验收的通知（水保〔2017〕365号）；</w:t>
      </w:r>
    </w:p>
    <w:p>
      <w:pPr>
        <w:pStyle w:val="56"/>
        <w:numPr>
          <w:ilvl w:val="0"/>
          <w:numId w:val="3"/>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水利部关于进一步深化“放管服”改革，全面加强水土保持监管的意见（水保〔2019〕160号）；</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1.2.3 规范性文件</w:t>
      </w:r>
    </w:p>
    <w:p>
      <w:pPr>
        <w:pStyle w:val="56"/>
        <w:numPr>
          <w:ilvl w:val="0"/>
          <w:numId w:val="4"/>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水利部办公厅关于印发《全国水土保持规划国家级水土流失重点预防区和重点治理区复核划分成果》的通知（办水保[2013]188号）；</w:t>
      </w:r>
    </w:p>
    <w:p>
      <w:pPr>
        <w:pStyle w:val="56"/>
        <w:numPr>
          <w:ilvl w:val="0"/>
          <w:numId w:val="4"/>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水利部办公厅关于贯彻落实国发〔2015〕58号文件进一步做好水土保持行政审批工作的通知(水利部办公厅，办水保〔2015〕247号，2015年11月20日)；</w:t>
      </w:r>
    </w:p>
    <w:p>
      <w:pPr>
        <w:pStyle w:val="56"/>
        <w:numPr>
          <w:ilvl w:val="0"/>
          <w:numId w:val="4"/>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《水利部办公厅关于印发&lt;水利部生产建设项目水土保持方案变更管理规定（试行）&gt;的通知》（办水保[2016]65号）；</w:t>
      </w:r>
    </w:p>
    <w:p>
      <w:pPr>
        <w:pStyle w:val="56"/>
        <w:numPr>
          <w:ilvl w:val="0"/>
          <w:numId w:val="4"/>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水利部办公厅关于强化依法行政进一步规范生产建设项目水土保持监督管理工作的通知（办水保[2016]21号）；</w:t>
      </w:r>
    </w:p>
    <w:p>
      <w:pPr>
        <w:pStyle w:val="56"/>
        <w:numPr>
          <w:ilvl w:val="0"/>
          <w:numId w:val="4"/>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水利部办公厅关于印发生产建设项目水土保持设施自主验收规程（试行）的通知（办水保〔2018〕133号）；</w:t>
      </w:r>
    </w:p>
    <w:p>
      <w:pPr>
        <w:pStyle w:val="56"/>
        <w:numPr>
          <w:ilvl w:val="0"/>
          <w:numId w:val="4"/>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水利部办公厅关于印发生产建设项目水土保持技术文件编写和印制格式规定（试行）的通知（办水保〔2018〕135号）；</w:t>
      </w:r>
    </w:p>
    <w:p>
      <w:pPr>
        <w:pStyle w:val="56"/>
        <w:numPr>
          <w:ilvl w:val="0"/>
          <w:numId w:val="4"/>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水利部办公厅关于印发生产建设项目水土保持监督管理办法的通知（办水保〔2019〕172号）；</w:t>
      </w:r>
    </w:p>
    <w:p>
      <w:pPr>
        <w:pStyle w:val="56"/>
        <w:numPr>
          <w:ilvl w:val="0"/>
          <w:numId w:val="4"/>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水利部办公厅关于印发生产建设项目水土保持问题分类和责任追究标准的通知（办水保函〔2020〕564号）；</w:t>
      </w:r>
    </w:p>
    <w:p>
      <w:pPr>
        <w:pStyle w:val="56"/>
        <w:numPr>
          <w:ilvl w:val="0"/>
          <w:numId w:val="4"/>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水利部办公厅关于实施生产建设项目水土保持信用监管“两单”制度的通知（办水保〔2020〕157号）</w:t>
      </w:r>
      <w:r>
        <w:rPr>
          <w:rFonts w:hint="default" w:ascii="Times New Roman" w:hAnsi="Times New Roman" w:cs="Times New Roman"/>
          <w:color w:val="auto"/>
          <w:highlight w:val="none"/>
          <w:lang w:eastAsia="zh-CN"/>
        </w:rPr>
        <w:t>；</w:t>
      </w:r>
    </w:p>
    <w:p>
      <w:pPr>
        <w:pStyle w:val="56"/>
        <w:numPr>
          <w:ilvl w:val="0"/>
          <w:numId w:val="4"/>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水利部办公厅关于做好生产建设项目水土保持承诺制管理的通知（办水保〔2020〕160号）；</w:t>
      </w:r>
    </w:p>
    <w:p>
      <w:pPr>
        <w:pStyle w:val="56"/>
        <w:numPr>
          <w:ilvl w:val="0"/>
          <w:numId w:val="4"/>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水利部办公厅关于进一步加强生产建设项目水土保持监测工作的通知（办水保〔2020〕161号）；</w:t>
      </w:r>
    </w:p>
    <w:p>
      <w:pPr>
        <w:pStyle w:val="56"/>
        <w:numPr>
          <w:ilvl w:val="0"/>
          <w:numId w:val="4"/>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关于印发《新疆维吾尔自治区水土保持设施补偿费征收使用管理办法》的通知，新财非税[2015]10号；</w:t>
      </w:r>
    </w:p>
    <w:p>
      <w:pPr>
        <w:pStyle w:val="56"/>
        <w:numPr>
          <w:ilvl w:val="0"/>
          <w:numId w:val="4"/>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关于印发《新疆维吾尔自治区生产建设项目水土保持方案管理办法》(修订稿)的通知》(新疆维吾尔自治区水利厅，新水厅〔2016〕112号，2016年11月17日)；</w:t>
      </w:r>
    </w:p>
    <w:p>
      <w:pPr>
        <w:pStyle w:val="56"/>
        <w:numPr>
          <w:ilvl w:val="0"/>
          <w:numId w:val="4"/>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《新疆维吾尔自治区水利厅关于加强事中事后监管规范生产建设项目水土保持设施自主验收实施意见的通知》（新水办水保〔2017〕121号）；</w:t>
      </w:r>
    </w:p>
    <w:p>
      <w:pPr>
        <w:pStyle w:val="56"/>
        <w:numPr>
          <w:ilvl w:val="0"/>
          <w:numId w:val="4"/>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新疆维吾尔自治区水利厅文件转发《水利部办公厅&lt;关于印发生产建设项目水土保持技术文件编写和印刷格式规定（试行）的通知&gt;》的通知（新水办水保〔2018〕49号）；</w:t>
      </w:r>
    </w:p>
    <w:p>
      <w:pPr>
        <w:pStyle w:val="56"/>
        <w:numPr>
          <w:ilvl w:val="0"/>
          <w:numId w:val="4"/>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新疆维吾尔自治区水利厅关于印发《新疆水利厅生产建设项目水土保持方案技术评审细则（试行）》的通知（新水厅〔2018〕75号）；</w:t>
      </w:r>
    </w:p>
    <w:p>
      <w:pPr>
        <w:pStyle w:val="56"/>
        <w:numPr>
          <w:ilvl w:val="0"/>
          <w:numId w:val="4"/>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新疆维吾尔自治区水利厅关于印发《新疆自治区级水土流失重点预防区和重点治理区复核划分成果的通知》（新水水保〔2019〕4号）；</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1.2.4 技术标准</w:t>
      </w:r>
    </w:p>
    <w:p>
      <w:pPr>
        <w:pStyle w:val="56"/>
        <w:numPr>
          <w:ilvl w:val="0"/>
          <w:numId w:val="5"/>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《生产建设项目水土保持技术标准》（GB50433-2018）；</w:t>
      </w:r>
    </w:p>
    <w:p>
      <w:pPr>
        <w:pStyle w:val="56"/>
        <w:numPr>
          <w:ilvl w:val="0"/>
          <w:numId w:val="5"/>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《生产建设项目水土流失防治标准》（GB/T 50434-2018）；</w:t>
      </w:r>
    </w:p>
    <w:p>
      <w:pPr>
        <w:pStyle w:val="56"/>
        <w:numPr>
          <w:ilvl w:val="0"/>
          <w:numId w:val="5"/>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生产建设项目土壤流失量测算导则（SL 773-2018）</w:t>
      </w:r>
    </w:p>
    <w:p>
      <w:pPr>
        <w:pStyle w:val="56"/>
        <w:numPr>
          <w:ilvl w:val="0"/>
          <w:numId w:val="5"/>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《土壤侵蚀分类分级标准》（SL190-2007）；</w:t>
      </w:r>
    </w:p>
    <w:p>
      <w:pPr>
        <w:pStyle w:val="56"/>
        <w:numPr>
          <w:ilvl w:val="0"/>
          <w:numId w:val="5"/>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《水土保持工程设计规范》（GB51018-2014）</w:t>
      </w:r>
    </w:p>
    <w:p>
      <w:pPr>
        <w:pStyle w:val="56"/>
        <w:numPr>
          <w:ilvl w:val="0"/>
          <w:numId w:val="5"/>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《水利水电工程制图标准水土保持图》（SL73.6-2015）；</w:t>
      </w:r>
    </w:p>
    <w:p>
      <w:pPr>
        <w:pStyle w:val="56"/>
        <w:numPr>
          <w:ilvl w:val="0"/>
          <w:numId w:val="5"/>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《防洪标准》（GB50201-2014）；</w:t>
      </w:r>
    </w:p>
    <w:p>
      <w:pPr>
        <w:pStyle w:val="56"/>
        <w:numPr>
          <w:ilvl w:val="0"/>
          <w:numId w:val="5"/>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《土地利用现状分类》（GB/T 21010-2017）；</w:t>
      </w:r>
    </w:p>
    <w:p>
      <w:pPr>
        <w:pStyle w:val="56"/>
        <w:numPr>
          <w:ilvl w:val="0"/>
          <w:numId w:val="5"/>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《水土保持工程质量评定规程》（SL336-2006）；</w:t>
      </w:r>
    </w:p>
    <w:p>
      <w:pPr>
        <w:pStyle w:val="56"/>
        <w:numPr>
          <w:ilvl w:val="0"/>
          <w:numId w:val="5"/>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《中国地震动参数区划图》（GB18306-2015）；</w:t>
      </w:r>
    </w:p>
    <w:p>
      <w:pPr>
        <w:pStyle w:val="56"/>
        <w:numPr>
          <w:ilvl w:val="0"/>
          <w:numId w:val="5"/>
        </w:numPr>
        <w:ind w:firstLineChars="0"/>
        <w:rPr>
          <w:rFonts w:hint="default" w:ascii="Times New Roman" w:hAnsi="Times New Roman" w:cs="Times New Roman"/>
          <w:color w:val="auto"/>
          <w:highlight w:val="none"/>
        </w:rPr>
      </w:pPr>
      <w:r>
        <w:rPr>
          <w:rFonts w:hint="eastAsia" w:cs="Times New Roman"/>
          <w:color w:val="auto"/>
          <w:highlight w:val="none"/>
          <w:lang w:eastAsia="zh-CN"/>
        </w:rPr>
        <w:t>《</w:t>
      </w:r>
      <w:r>
        <w:rPr>
          <w:rFonts w:hint="default" w:ascii="Times New Roman" w:hAnsi="Times New Roman" w:cs="Times New Roman"/>
          <w:color w:val="auto"/>
          <w:highlight w:val="none"/>
        </w:rPr>
        <w:t>水</w:t>
      </w:r>
      <w:r>
        <w:rPr>
          <w:rFonts w:hint="eastAsia" w:cs="Times New Roman"/>
          <w:color w:val="auto"/>
          <w:highlight w:val="none"/>
          <w:lang w:eastAsia="zh-CN"/>
        </w:rPr>
        <w:t>土</w:t>
      </w:r>
      <w:r>
        <w:rPr>
          <w:rFonts w:hint="default" w:ascii="Times New Roman" w:hAnsi="Times New Roman" w:cs="Times New Roman"/>
          <w:color w:val="auto"/>
          <w:highlight w:val="none"/>
        </w:rPr>
        <w:t>保持监测技术规程</w:t>
      </w:r>
      <w:r>
        <w:rPr>
          <w:rFonts w:hint="eastAsia" w:cs="Times New Roman"/>
          <w:color w:val="auto"/>
          <w:highlight w:val="none"/>
          <w:lang w:eastAsia="zh-CN"/>
        </w:rPr>
        <w:t>》（</w:t>
      </w:r>
      <w:r>
        <w:rPr>
          <w:rFonts w:hint="default" w:ascii="Times New Roman" w:hAnsi="Times New Roman" w:cs="Times New Roman"/>
          <w:color w:val="auto"/>
          <w:highlight w:val="none"/>
        </w:rPr>
        <w:t>SL277-202</w:t>
      </w:r>
      <w:r>
        <w:rPr>
          <w:rFonts w:hint="eastAsia" w:cs="Times New Roman"/>
          <w:color w:val="auto"/>
          <w:highlight w:val="none"/>
          <w:lang w:eastAsia="zh-CN"/>
        </w:rPr>
        <w:t>）；</w:t>
      </w:r>
    </w:p>
    <w:p>
      <w:pPr>
        <w:pStyle w:val="56"/>
        <w:numPr>
          <w:ilvl w:val="0"/>
          <w:numId w:val="5"/>
        </w:numPr>
        <w:ind w:firstLineChars="0"/>
        <w:rPr>
          <w:rFonts w:hint="default" w:ascii="Times New Roman" w:hAnsi="Times New Roman" w:cs="Times New Roman"/>
          <w:color w:val="auto"/>
          <w:highlight w:val="none"/>
        </w:rPr>
      </w:pPr>
      <w:r>
        <w:rPr>
          <w:rFonts w:hint="eastAsia" w:cs="Times New Roman"/>
          <w:color w:val="auto"/>
          <w:highlight w:val="none"/>
          <w:lang w:eastAsia="zh-CN"/>
        </w:rPr>
        <w:t>《</w:t>
      </w:r>
      <w:r>
        <w:rPr>
          <w:rFonts w:hint="default" w:ascii="Times New Roman" w:hAnsi="Times New Roman" w:cs="Times New Roman"/>
          <w:color w:val="auto"/>
          <w:highlight w:val="none"/>
        </w:rPr>
        <w:t>生产建设项目水土保持设施验收技术规程</w:t>
      </w:r>
      <w:r>
        <w:rPr>
          <w:rFonts w:hint="eastAsia" w:cs="Times New Roman"/>
          <w:color w:val="auto"/>
          <w:highlight w:val="none"/>
          <w:lang w:eastAsia="zh-CN"/>
        </w:rPr>
        <w:t>》（</w:t>
      </w:r>
      <w:r>
        <w:rPr>
          <w:rFonts w:hint="default" w:ascii="Times New Roman" w:hAnsi="Times New Roman" w:cs="Times New Roman"/>
          <w:color w:val="auto"/>
          <w:highlight w:val="none"/>
        </w:rPr>
        <w:t>GB/ T 22490-2016</w:t>
      </w:r>
      <w:r>
        <w:rPr>
          <w:rFonts w:hint="eastAsia" w:cs="Times New Roman"/>
          <w:color w:val="auto"/>
          <w:highlight w:val="none"/>
          <w:lang w:eastAsia="zh-CN"/>
        </w:rPr>
        <w:t>）；</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1.2.5 技术资料</w:t>
      </w:r>
    </w:p>
    <w:p>
      <w:pPr>
        <w:pStyle w:val="56"/>
        <w:numPr>
          <w:ilvl w:val="0"/>
          <w:numId w:val="6"/>
        </w:numPr>
        <w:ind w:firstLineChars="0"/>
        <w:rPr>
          <w:rFonts w:hint="default" w:ascii="Times New Roman" w:hAnsi="Times New Roman" w:cs="Times New Roman"/>
          <w:color w:val="auto"/>
          <w:highlight w:val="none"/>
        </w:rPr>
      </w:pPr>
      <w:r>
        <w:rPr>
          <w:rFonts w:hint="eastAsia" w:cs="Times New Roman"/>
          <w:color w:val="auto"/>
          <w:highlight w:val="none"/>
          <w:lang w:val="en-US" w:eastAsia="zh-CN"/>
        </w:rPr>
        <w:t>《弗光哈密一期20MWp光伏并网发电项目</w:t>
      </w:r>
      <w:r>
        <w:rPr>
          <w:rFonts w:hint="default" w:ascii="Times New Roman" w:hAnsi="Times New Roman" w:eastAsia="仿宋_GB2312" w:cs="Times New Roman"/>
          <w:color w:val="auto"/>
          <w:highlight w:val="none"/>
          <w:lang w:val="en-US" w:eastAsia="zh-CN"/>
        </w:rPr>
        <w:t>环境影响评价报告表</w:t>
      </w:r>
      <w:r>
        <w:rPr>
          <w:rFonts w:hint="eastAsia" w:cs="Times New Roman"/>
          <w:color w:val="auto"/>
          <w:highlight w:val="none"/>
          <w:lang w:val="en-US" w:eastAsia="zh-CN"/>
        </w:rPr>
        <w:t>，2012年4月》</w:t>
      </w:r>
      <w:r>
        <w:rPr>
          <w:rFonts w:hint="default" w:ascii="Times New Roman" w:hAnsi="Times New Roman" w:cs="Times New Roman"/>
          <w:color w:val="auto"/>
          <w:highlight w:val="none"/>
        </w:rPr>
        <w:t>；</w:t>
      </w:r>
    </w:p>
    <w:p>
      <w:pPr>
        <w:pStyle w:val="56"/>
        <w:numPr>
          <w:ilvl w:val="0"/>
          <w:numId w:val="6"/>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《哈密弗光 20MWp（CPV）并网光伏电站工程</w:t>
      </w:r>
      <w:r>
        <w:rPr>
          <w:rFonts w:hint="eastAsia" w:cs="Times New Roman"/>
          <w:color w:val="auto"/>
          <w:highlight w:val="none"/>
          <w:lang w:eastAsia="zh-CN"/>
        </w:rPr>
        <w:t>初步设计</w:t>
      </w:r>
      <w:r>
        <w:rPr>
          <w:rFonts w:hint="default" w:ascii="Times New Roman" w:hAnsi="Times New Roman" w:cs="Times New Roman"/>
          <w:color w:val="auto"/>
          <w:highlight w:val="none"/>
        </w:rPr>
        <w:t>报告》（中国水电顾问集团西北勘测设计研究院，20</w:t>
      </w:r>
      <w:r>
        <w:rPr>
          <w:rFonts w:hint="eastAsia" w:cs="Times New Roman"/>
          <w:color w:val="auto"/>
          <w:highlight w:val="none"/>
          <w:lang w:val="en-US" w:eastAsia="zh-CN"/>
        </w:rPr>
        <w:t>12</w:t>
      </w:r>
      <w:r>
        <w:rPr>
          <w:rFonts w:hint="default" w:ascii="Times New Roman" w:hAnsi="Times New Roman" w:cs="Times New Roman"/>
          <w:color w:val="auto"/>
          <w:highlight w:val="none"/>
        </w:rPr>
        <w:t>年</w:t>
      </w:r>
      <w:r>
        <w:rPr>
          <w:rFonts w:hint="eastAsia" w:cs="Times New Roman"/>
          <w:color w:val="auto"/>
          <w:highlight w:val="none"/>
          <w:lang w:val="en-US" w:eastAsia="zh-CN"/>
        </w:rPr>
        <w:t>3</w:t>
      </w:r>
      <w:r>
        <w:rPr>
          <w:rFonts w:hint="default" w:ascii="Times New Roman" w:hAnsi="Times New Roman" w:cs="Times New Roman"/>
          <w:color w:val="auto"/>
          <w:highlight w:val="none"/>
        </w:rPr>
        <w:t>月）；</w:t>
      </w:r>
    </w:p>
    <w:p>
      <w:pPr>
        <w:pStyle w:val="56"/>
        <w:numPr>
          <w:ilvl w:val="0"/>
          <w:numId w:val="6"/>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2020年</w:t>
      </w:r>
      <w:r>
        <w:rPr>
          <w:rFonts w:hint="eastAsia" w:cs="Times New Roman"/>
          <w:color w:val="auto"/>
          <w:highlight w:val="none"/>
          <w:lang w:val="en-US" w:eastAsia="zh-CN"/>
        </w:rPr>
        <w:t>10</w:t>
      </w:r>
      <w:r>
        <w:rPr>
          <w:rFonts w:hint="default" w:ascii="Times New Roman" w:hAnsi="Times New Roman" w:cs="Times New Roman"/>
          <w:color w:val="auto"/>
          <w:highlight w:val="none"/>
        </w:rPr>
        <w:t>月，现场查勘资料；</w:t>
      </w:r>
    </w:p>
    <w:p>
      <w:pPr>
        <w:pStyle w:val="56"/>
        <w:numPr>
          <w:ilvl w:val="0"/>
          <w:numId w:val="6"/>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项目区气象、水文资料及社会统计年鉴；</w:t>
      </w:r>
    </w:p>
    <w:p>
      <w:pPr>
        <w:pStyle w:val="66"/>
        <w:ind w:firstLine="148"/>
        <w:rPr>
          <w:rFonts w:hint="default" w:ascii="Times New Roman" w:hAnsi="Times New Roman" w:cs="Times New Roman"/>
          <w:color w:val="auto"/>
          <w:highlight w:val="none"/>
        </w:rPr>
      </w:pPr>
      <w:bookmarkStart w:id="51" w:name="_Toc252"/>
      <w:r>
        <w:rPr>
          <w:rFonts w:hint="default" w:ascii="Times New Roman" w:hAnsi="Times New Roman" w:cs="Times New Roman"/>
          <w:color w:val="auto"/>
          <w:highlight w:val="none"/>
        </w:rPr>
        <w:t>1.3 设计水平年</w:t>
      </w:r>
      <w:bookmarkEnd w:id="51"/>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方案设计水平年是指主体工程完工后，水土保持措施实施完毕并初步发挥效益的时间，届时方案确定的各项防治措施均布设到位，能初步发挥水土保持功能，达到方案确定的防治目标，满足水土保持专项设施验收的要求。</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本项目为建设类，工程于20</w:t>
      </w:r>
      <w:r>
        <w:rPr>
          <w:rFonts w:hint="eastAsia" w:cs="Times New Roman"/>
          <w:color w:val="auto"/>
          <w:highlight w:val="none"/>
          <w:lang w:val="en-US" w:eastAsia="zh-CN"/>
        </w:rPr>
        <w:t>12</w:t>
      </w:r>
      <w:r>
        <w:rPr>
          <w:rFonts w:hint="default" w:ascii="Times New Roman" w:hAnsi="Times New Roman" w:cs="Times New Roman"/>
          <w:color w:val="auto"/>
          <w:highlight w:val="none"/>
        </w:rPr>
        <w:t>年</w:t>
      </w:r>
      <w:r>
        <w:rPr>
          <w:rFonts w:hint="eastAsia" w:cs="Times New Roman"/>
          <w:color w:val="auto"/>
          <w:highlight w:val="none"/>
          <w:lang w:val="en-US" w:eastAsia="zh-CN"/>
        </w:rPr>
        <w:t>12</w:t>
      </w:r>
      <w:r>
        <w:rPr>
          <w:rFonts w:hint="default" w:ascii="Times New Roman" w:hAnsi="Times New Roman" w:cs="Times New Roman"/>
          <w:color w:val="auto"/>
          <w:highlight w:val="none"/>
        </w:rPr>
        <w:t>月</w:t>
      </w:r>
      <w:r>
        <w:rPr>
          <w:rFonts w:hint="eastAsia" w:cs="Times New Roman"/>
          <w:color w:val="auto"/>
          <w:highlight w:val="none"/>
          <w:lang w:val="en-US" w:eastAsia="zh-CN"/>
        </w:rPr>
        <w:t>1日</w:t>
      </w:r>
      <w:r>
        <w:rPr>
          <w:rFonts w:hint="default" w:ascii="Times New Roman" w:hAnsi="Times New Roman" w:cs="Times New Roman"/>
          <w:color w:val="auto"/>
          <w:highlight w:val="none"/>
        </w:rPr>
        <w:t>开工建设，于20</w:t>
      </w:r>
      <w:r>
        <w:rPr>
          <w:rFonts w:hint="eastAsia" w:cs="Times New Roman"/>
          <w:color w:val="auto"/>
          <w:highlight w:val="none"/>
          <w:lang w:val="en-US" w:eastAsia="zh-CN"/>
        </w:rPr>
        <w:t>13</w:t>
      </w:r>
      <w:r>
        <w:rPr>
          <w:rFonts w:hint="default" w:ascii="Times New Roman" w:hAnsi="Times New Roman" w:cs="Times New Roman"/>
          <w:color w:val="auto"/>
          <w:highlight w:val="none"/>
        </w:rPr>
        <w:t>年12月</w:t>
      </w:r>
      <w:r>
        <w:rPr>
          <w:rFonts w:hint="eastAsia" w:cs="Times New Roman"/>
          <w:color w:val="auto"/>
          <w:highlight w:val="none"/>
          <w:lang w:val="en-US" w:eastAsia="zh-CN"/>
        </w:rPr>
        <w:t>10日</w:t>
      </w:r>
      <w:r>
        <w:rPr>
          <w:rFonts w:hint="default" w:ascii="Times New Roman" w:hAnsi="Times New Roman" w:cs="Times New Roman"/>
          <w:color w:val="auto"/>
          <w:highlight w:val="none"/>
        </w:rPr>
        <w:t>建设完成，</w:t>
      </w:r>
      <w:r>
        <w:rPr>
          <w:rFonts w:hint="eastAsia" w:cs="Times New Roman"/>
          <w:color w:val="auto"/>
          <w:highlight w:val="none"/>
          <w:lang w:eastAsia="zh-CN"/>
        </w:rPr>
        <w:t>并于</w:t>
      </w:r>
      <w:r>
        <w:rPr>
          <w:rFonts w:hint="eastAsia" w:cs="Times New Roman"/>
          <w:color w:val="auto"/>
          <w:highlight w:val="none"/>
          <w:lang w:val="en-US" w:eastAsia="zh-CN"/>
        </w:rPr>
        <w:t>2013年12月20日并网11MWp，</w:t>
      </w:r>
      <w:r>
        <w:rPr>
          <w:rFonts w:hint="default" w:ascii="Times New Roman" w:hAnsi="Times New Roman" w:cs="Times New Roman"/>
          <w:color w:val="auto"/>
          <w:highlight w:val="none"/>
        </w:rPr>
        <w:t>总工期</w:t>
      </w:r>
      <w:r>
        <w:rPr>
          <w:rFonts w:hint="eastAsia" w:cs="Times New Roman"/>
          <w:color w:val="auto"/>
          <w:highlight w:val="none"/>
          <w:lang w:val="en-US" w:eastAsia="zh-CN"/>
        </w:rPr>
        <w:t>13</w:t>
      </w:r>
      <w:r>
        <w:rPr>
          <w:rFonts w:hint="default" w:ascii="Times New Roman" w:hAnsi="Times New Roman" w:cs="Times New Roman"/>
          <w:color w:val="auto"/>
          <w:highlight w:val="none"/>
        </w:rPr>
        <w:t>个月。本方案在充分分析项目区情况</w:t>
      </w:r>
      <w:r>
        <w:rPr>
          <w:rFonts w:hint="default" w:ascii="Times New Roman" w:hAnsi="Times New Roman" w:cs="Times New Roman"/>
          <w:color w:val="auto"/>
          <w:highlight w:val="none"/>
          <w:lang w:eastAsia="zh-CN"/>
        </w:rPr>
        <w:t>，项目区主体建设与水保措施同时完工</w:t>
      </w:r>
      <w:r>
        <w:rPr>
          <w:rFonts w:hint="default" w:ascii="Times New Roman" w:hAnsi="Times New Roman" w:cs="Times New Roman"/>
          <w:color w:val="auto"/>
          <w:highlight w:val="none"/>
        </w:rPr>
        <w:t>，</w:t>
      </w:r>
      <w:r>
        <w:rPr>
          <w:rFonts w:hint="eastAsia" w:cs="Times New Roman"/>
          <w:color w:val="auto"/>
          <w:highlight w:val="none"/>
          <w:lang w:eastAsia="zh-CN"/>
        </w:rPr>
        <w:t>又因本方案编制基本按照目前的实际情况来编制，</w:t>
      </w:r>
      <w:r>
        <w:rPr>
          <w:rFonts w:hint="default" w:ascii="Times New Roman" w:hAnsi="Times New Roman" w:cs="Times New Roman"/>
          <w:color w:val="auto"/>
          <w:highlight w:val="none"/>
        </w:rPr>
        <w:t>因此确定本方案设计水平年为20</w:t>
      </w:r>
      <w:r>
        <w:rPr>
          <w:rFonts w:hint="eastAsia" w:cs="Times New Roman"/>
          <w:color w:val="auto"/>
          <w:highlight w:val="none"/>
          <w:lang w:val="en-US" w:eastAsia="zh-CN"/>
        </w:rPr>
        <w:t>20</w:t>
      </w:r>
      <w:r>
        <w:rPr>
          <w:rFonts w:hint="default" w:ascii="Times New Roman" w:hAnsi="Times New Roman" w:cs="Times New Roman"/>
          <w:color w:val="auto"/>
          <w:highlight w:val="none"/>
        </w:rPr>
        <w:t>年。</w:t>
      </w:r>
    </w:p>
    <w:p>
      <w:pPr>
        <w:pStyle w:val="66"/>
        <w:ind w:firstLine="148"/>
        <w:rPr>
          <w:rFonts w:hint="default" w:ascii="Times New Roman" w:hAnsi="Times New Roman" w:cs="Times New Roman"/>
          <w:color w:val="auto"/>
          <w:highlight w:val="none"/>
        </w:rPr>
      </w:pPr>
      <w:bookmarkStart w:id="52" w:name="_Toc13936"/>
      <w:r>
        <w:rPr>
          <w:rFonts w:hint="default" w:ascii="Times New Roman" w:hAnsi="Times New Roman" w:cs="Times New Roman"/>
          <w:color w:val="auto"/>
          <w:highlight w:val="none"/>
        </w:rPr>
        <w:t xml:space="preserve">1.4 </w:t>
      </w:r>
      <w:bookmarkEnd w:id="49"/>
      <w:bookmarkEnd w:id="50"/>
      <w:r>
        <w:rPr>
          <w:rFonts w:hint="default" w:ascii="Times New Roman" w:hAnsi="Times New Roman" w:cs="Times New Roman"/>
          <w:color w:val="auto"/>
          <w:highlight w:val="none"/>
        </w:rPr>
        <w:t>水土流失防治责任范围</w:t>
      </w:r>
      <w:bookmarkEnd w:id="52"/>
    </w:p>
    <w:p>
      <w:pPr>
        <w:pStyle w:val="56"/>
        <w:ind w:firstLine="480"/>
        <w:rPr>
          <w:rFonts w:hint="default" w:ascii="Times New Roman" w:hAnsi="Times New Roman" w:cs="Times New Roman"/>
          <w:color w:val="auto"/>
          <w:highlight w:val="none"/>
        </w:rPr>
      </w:pPr>
      <w:bookmarkStart w:id="53" w:name="_Toc407014509"/>
      <w:bookmarkStart w:id="54" w:name="_Toc417412293"/>
      <w:r>
        <w:rPr>
          <w:rFonts w:hint="default" w:ascii="Times New Roman" w:hAnsi="Times New Roman" w:cs="Times New Roman"/>
          <w:color w:val="auto"/>
          <w:highlight w:val="none"/>
        </w:rPr>
        <w:t>根据《生产建设项目水土保持技术标准》（GB50433-2018）中规定的“谁开发谁保护，谁造成水土流失谁负责治理”的原则，结合本项目的建设情况和施工特点，对各单项工程的水土流失特征进行综合分析，确定本项目水土流失防治责任范围。水土流失防治责任范围应包括项目永久征地、临时占地（含租赁土地）以及其他使用及管辖区域。本项目水土流失防治责任范围为4</w:t>
      </w:r>
      <w:r>
        <w:rPr>
          <w:rFonts w:hint="eastAsia" w:cs="Times New Roman"/>
          <w:color w:val="auto"/>
          <w:highlight w:val="none"/>
          <w:lang w:val="en-US" w:eastAsia="zh-CN"/>
        </w:rPr>
        <w:t>9.46</w:t>
      </w:r>
      <w:r>
        <w:rPr>
          <w:rFonts w:hint="default" w:ascii="Times New Roman" w:hAnsi="Times New Roman" w:cs="Times New Roman"/>
          <w:color w:val="auto"/>
          <w:highlight w:val="none"/>
        </w:rPr>
        <w:t>hm²，均为项目建设区面积，其中永久占地4</w:t>
      </w:r>
      <w:r>
        <w:rPr>
          <w:rFonts w:hint="eastAsia" w:cs="Times New Roman"/>
          <w:color w:val="auto"/>
          <w:highlight w:val="none"/>
          <w:lang w:val="en-US" w:eastAsia="zh-CN"/>
        </w:rPr>
        <w:t>9</w:t>
      </w:r>
      <w:r>
        <w:rPr>
          <w:rFonts w:hint="default" w:ascii="Times New Roman" w:hAnsi="Times New Roman" w:cs="Times New Roman"/>
          <w:color w:val="auto"/>
          <w:highlight w:val="none"/>
        </w:rPr>
        <w:t>hm²，临时占地</w:t>
      </w:r>
      <w:r>
        <w:rPr>
          <w:rFonts w:hint="eastAsia" w:cs="Times New Roman"/>
          <w:color w:val="auto"/>
          <w:highlight w:val="none"/>
          <w:lang w:val="en-US" w:eastAsia="zh-CN"/>
        </w:rPr>
        <w:t>0.46</w:t>
      </w:r>
      <w:r>
        <w:rPr>
          <w:rFonts w:hint="default" w:ascii="Times New Roman" w:hAnsi="Times New Roman" w:cs="Times New Roman"/>
          <w:color w:val="auto"/>
          <w:highlight w:val="none"/>
        </w:rPr>
        <w:t>hm²。责任主体为</w:t>
      </w:r>
      <w:r>
        <w:rPr>
          <w:rFonts w:hint="eastAsia" w:cs="Times New Roman"/>
          <w:color w:val="auto"/>
          <w:highlight w:val="none"/>
          <w:lang w:eastAsia="zh-CN"/>
        </w:rPr>
        <w:t>哈密弗光太阳能有限公司</w:t>
      </w:r>
      <w:r>
        <w:rPr>
          <w:rFonts w:hint="default" w:ascii="Times New Roman" w:hAnsi="Times New Roman" w:cs="Times New Roman"/>
          <w:color w:val="auto"/>
          <w:highlight w:val="none"/>
        </w:rPr>
        <w:t>，行政区划属于</w:t>
      </w:r>
      <w:r>
        <w:rPr>
          <w:rFonts w:hint="eastAsia" w:cs="Times New Roman"/>
          <w:color w:val="auto"/>
          <w:highlight w:val="none"/>
          <w:lang w:eastAsia="zh-CN"/>
        </w:rPr>
        <w:t>哈密市</w:t>
      </w:r>
      <w:r>
        <w:rPr>
          <w:rFonts w:hint="default" w:ascii="Times New Roman" w:hAnsi="Times New Roman" w:cs="Times New Roman"/>
          <w:color w:val="auto"/>
          <w:highlight w:val="none"/>
        </w:rPr>
        <w:t>。</w:t>
      </w:r>
    </w:p>
    <w:p>
      <w:pPr>
        <w:pStyle w:val="66"/>
        <w:ind w:firstLine="148"/>
        <w:rPr>
          <w:rFonts w:hint="default" w:ascii="Times New Roman" w:hAnsi="Times New Roman" w:cs="Times New Roman"/>
          <w:color w:val="auto"/>
          <w:highlight w:val="none"/>
        </w:rPr>
      </w:pPr>
      <w:bookmarkStart w:id="55" w:name="_Toc27022"/>
      <w:r>
        <w:rPr>
          <w:rFonts w:hint="default" w:ascii="Times New Roman" w:hAnsi="Times New Roman" w:cs="Times New Roman"/>
          <w:color w:val="auto"/>
          <w:highlight w:val="none"/>
        </w:rPr>
        <w:t xml:space="preserve">1.5 </w:t>
      </w:r>
      <w:bookmarkEnd w:id="53"/>
      <w:bookmarkEnd w:id="54"/>
      <w:r>
        <w:rPr>
          <w:rFonts w:hint="default" w:ascii="Times New Roman" w:hAnsi="Times New Roman" w:cs="Times New Roman"/>
          <w:color w:val="auto"/>
          <w:highlight w:val="none"/>
        </w:rPr>
        <w:t>水土流失防治目标</w:t>
      </w:r>
      <w:bookmarkEnd w:id="55"/>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1.5.1 执行标准等级</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本项目属建设类，位于</w:t>
      </w:r>
      <w:r>
        <w:rPr>
          <w:rFonts w:hint="eastAsia" w:cs="Times New Roman"/>
          <w:color w:val="auto"/>
          <w:highlight w:val="none"/>
          <w:lang w:eastAsia="zh-CN"/>
        </w:rPr>
        <w:t>哈密市</w:t>
      </w:r>
      <w:r>
        <w:rPr>
          <w:rFonts w:hint="default" w:ascii="Times New Roman" w:hAnsi="Times New Roman" w:cs="Times New Roman"/>
          <w:color w:val="auto"/>
          <w:highlight w:val="none"/>
        </w:rPr>
        <w:t>境内，根据“水利部办公厅印发《全国水土保持规划国家级水士流失重点预防区和重点治理区复核划分成果》的通知）（办水保〔2013〕188号）文件</w:t>
      </w:r>
      <w:r>
        <w:rPr>
          <w:rFonts w:hint="default" w:ascii="Times New Roman" w:hAnsi="Times New Roman" w:cs="Times New Roman"/>
          <w:color w:val="auto"/>
          <w:highlight w:val="none"/>
          <w:lang w:eastAsia="zh-CN"/>
        </w:rPr>
        <w:t>和</w:t>
      </w:r>
      <w:r>
        <w:rPr>
          <w:rFonts w:hint="default" w:ascii="Times New Roman" w:hAnsi="Times New Roman" w:cs="Times New Roman"/>
          <w:color w:val="auto"/>
          <w:highlight w:val="none"/>
        </w:rPr>
        <w:t>新疆维吾尔自治区水利厅《关于印发新疆自治区级水土流失重点预防区和重点治理区复核划分成果的通知》（新水水保〔2019〕4号），项目区</w:t>
      </w:r>
      <w:r>
        <w:rPr>
          <w:rFonts w:hint="eastAsia" w:cs="Times New Roman"/>
          <w:color w:val="auto"/>
          <w:highlight w:val="none"/>
          <w:lang w:eastAsia="zh-CN"/>
        </w:rPr>
        <w:t>为</w:t>
      </w:r>
      <w:r>
        <w:rPr>
          <w:rFonts w:hint="eastAsia"/>
        </w:rPr>
        <w:t>天山北坡国家级水土流失重点预防区</w:t>
      </w:r>
      <w:r>
        <w:rPr>
          <w:rFonts w:hint="default" w:ascii="Times New Roman" w:hAnsi="Times New Roman" w:cs="Times New Roman"/>
          <w:color w:val="auto"/>
          <w:highlight w:val="none"/>
        </w:rPr>
        <w:t>，</w:t>
      </w:r>
      <w:r>
        <w:rPr>
          <w:rFonts w:hint="eastAsia" w:ascii="仿宋_GB2312" w:hAnsi="仿宋_GB2312" w:eastAsia="仿宋_GB2312" w:cs="仿宋_GB2312"/>
          <w:color w:val="000000"/>
        </w:rPr>
        <w:t>根据《关于印发新疆自治区级水土流失重点预防区和重点治理区复核划分成果的通知》新水水保【2019】4号，</w:t>
      </w:r>
      <w:r>
        <w:rPr>
          <w:rFonts w:hint="eastAsia"/>
        </w:rPr>
        <w:t>项目区为省级水土流失重点治理区</w:t>
      </w:r>
      <w:r>
        <w:rPr>
          <w:rFonts w:hint="default" w:ascii="Times New Roman" w:hAnsi="Times New Roman" w:cs="Times New Roman"/>
          <w:color w:val="auto"/>
          <w:highlight w:val="none"/>
        </w:rPr>
        <w:t>，根据《生产建设项目水土流失防治标准》（GB/T 50434-2018）规定，本项目执行建设类项目水土流失防治标准中的一级标准。</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w:t>
      </w:r>
      <w:r>
        <w:rPr>
          <w:rFonts w:hint="eastAsia" w:cs="Times New Roman"/>
          <w:color w:val="auto"/>
          <w:highlight w:val="none"/>
          <w:lang w:eastAsia="zh-CN"/>
        </w:rPr>
        <w:t>哈密市</w:t>
      </w:r>
      <w:r>
        <w:rPr>
          <w:rFonts w:hint="default" w:ascii="Times New Roman" w:hAnsi="Times New Roman" w:cs="Times New Roman"/>
          <w:color w:val="auto"/>
          <w:highlight w:val="none"/>
        </w:rPr>
        <w:t>境内，同时根据《全国水土保持区划（试行）》，本项目所在区域均位于北方风沙区。因此本项目水土流失防治标准采取北方风沙区水土流失一级防治标准。</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1.5.2 防治目标</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以上分析，本项目水土流失防治标准采取北方风沙区水土流失一级防治标准。根据《生产建设项目水土流失防治标准》水土流失防治标准一级标准规定，水土流失治理度（%）、林草植被恢复率（%）和林草覆盖率（%）的数值可根据干旱程度进行调整；土壤流失控制比是以现状土壤侵蚀强度属中度侵蚀为主的区域为基准制定的。结合本工程的特点和工程所在区域的自然环境状况，对本水土保持方案的计划和实施的6项防治标准做出适当修正，作为本项目的防治标准，用以指导方案编制时的防治措施布局，同时作为工程水土保持验收的指针。各区域经过修正后具体目标如下：</w:t>
      </w:r>
    </w:p>
    <w:p>
      <w:pPr>
        <w:pStyle w:val="56"/>
        <w:ind w:firstLine="480"/>
        <w:rPr>
          <w:rFonts w:hint="default" w:ascii="Times New Roman" w:hAnsi="Times New Roman" w:cs="Times New Roman"/>
          <w:color w:val="auto"/>
          <w:highlight w:val="none"/>
        </w:rPr>
      </w:pPr>
      <w:bookmarkStart w:id="56" w:name="_Toc407014510"/>
      <w:bookmarkStart w:id="57" w:name="_Toc417412294"/>
      <w:r>
        <w:rPr>
          <w:rFonts w:hint="default" w:ascii="Times New Roman" w:hAnsi="Times New Roman" w:cs="Times New Roman"/>
          <w:color w:val="auto"/>
          <w:highlight w:val="none"/>
        </w:rPr>
        <w:t>1、水土流失治理度：按照北方风沙区水土流失一级防治标准规定，项目区水土流失治理度应达到85%，</w:t>
      </w:r>
      <w:r>
        <w:rPr>
          <w:rFonts w:hint="default" w:ascii="Times New Roman" w:hAnsi="Times New Roman" w:cs="Times New Roman"/>
          <w:color w:val="auto"/>
          <w:highlight w:val="none"/>
          <w:lang w:eastAsia="zh-CN"/>
        </w:rPr>
        <w:t>本项目位于干旱区，</w:t>
      </w:r>
      <w:r>
        <w:rPr>
          <w:rFonts w:hint="default" w:ascii="Times New Roman" w:hAnsi="Times New Roman" w:cs="Times New Roman"/>
          <w:color w:val="auto"/>
          <w:highlight w:val="none"/>
        </w:rPr>
        <w:t>水土流失治理度不作调整，则本项目水土流失治理度目标值为85%。</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土壤流失控制比：按照北方风沙区水土流失一级防治标准规定，本项目土壤流失控制比应达到0.80，该标准以中度侵蚀区域为基准，本项目区土壤侵蚀强度以轻度风力侵蚀为主兼有微度水力侵蚀，因此按照相关规定调整为1.0，则本项目土壤流失控制比目标值为1.0。</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3、渣土防护率：按照北方风沙区水土流失一级防治标准规定，项目区渣土防护率应达到87%，则本项目渣土防护率目标值为8</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4、表土保护率：根据《生产建设项目水土流失防治标准》，北方风沙区水土流失一级防治标准对表土保护率不做要求，</w:t>
      </w:r>
      <w:r>
        <w:rPr>
          <w:rFonts w:hint="default" w:ascii="Times New Roman" w:hAnsi="Times New Roman" w:cs="Times New Roman"/>
          <w:color w:val="auto"/>
          <w:highlight w:val="none"/>
          <w:lang w:eastAsia="zh-CN"/>
        </w:rPr>
        <w:t>本项目位于</w:t>
      </w:r>
      <w:r>
        <w:rPr>
          <w:rFonts w:hint="eastAsia" w:cs="Times New Roman"/>
          <w:color w:val="auto"/>
          <w:highlight w:val="none"/>
          <w:lang w:eastAsia="zh-CN"/>
        </w:rPr>
        <w:t>哈密市</w:t>
      </w:r>
      <w:r>
        <w:rPr>
          <w:rFonts w:hint="default" w:ascii="Times New Roman" w:hAnsi="Times New Roman" w:cs="Times New Roman"/>
          <w:color w:val="auto"/>
          <w:highlight w:val="none"/>
        </w:rPr>
        <w:t>境内，占地类型为</w:t>
      </w:r>
      <w:r>
        <w:rPr>
          <w:rFonts w:hint="eastAsia" w:cs="Times New Roman"/>
          <w:color w:val="auto"/>
          <w:highlight w:val="none"/>
          <w:lang w:eastAsia="zh-CN"/>
        </w:rPr>
        <w:t>公共设施用地</w:t>
      </w:r>
      <w:r>
        <w:rPr>
          <w:rFonts w:hint="default" w:ascii="Times New Roman" w:hAnsi="Times New Roman" w:cs="Times New Roman"/>
          <w:color w:val="auto"/>
          <w:highlight w:val="none"/>
        </w:rPr>
        <w:t>，表层富含砂砾石，无腐殖质层，不涉及表土剥离，则表土保护率不做要求。</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5、林草植被恢复率和林草覆盖率：项目区属于干旱地区，项目区表层富含砂砾石，无腐殖质层，在不采取整地、养护的方式无法保证成活率，同时考虑到光伏发电区由于平整、碾压等施工活动，</w:t>
      </w:r>
      <w:r>
        <w:rPr>
          <w:rFonts w:hint="default" w:ascii="Times New Roman" w:hAnsi="Times New Roman" w:cs="Times New Roman"/>
          <w:color w:val="auto"/>
          <w:spacing w:val="-1"/>
          <w:highlight w:val="none"/>
        </w:rPr>
        <w:t>道路均为砂砾石路面</w:t>
      </w:r>
      <w:r>
        <w:rPr>
          <w:rFonts w:hint="default" w:ascii="Times New Roman" w:hAnsi="Times New Roman" w:cs="Times New Roman"/>
          <w:color w:val="auto"/>
          <w:highlight w:val="none"/>
        </w:rPr>
        <w:t>，</w:t>
      </w:r>
      <w:r>
        <w:rPr>
          <w:rFonts w:hint="default" w:ascii="Times New Roman" w:hAnsi="Times New Roman" w:cs="Times New Roman"/>
          <w:color w:val="auto"/>
          <w:spacing w:val="-1"/>
          <w:highlight w:val="none"/>
        </w:rPr>
        <w:t>表层土已不具备实施植物措施的条件，</w:t>
      </w:r>
      <w:r>
        <w:rPr>
          <w:rFonts w:hint="default" w:ascii="Times New Roman" w:hAnsi="Times New Roman" w:cs="Times New Roman"/>
          <w:color w:val="auto"/>
          <w:highlight w:val="none"/>
        </w:rPr>
        <w:t>因此本项目林草植被恢复率和林草覆盖率不作要求。</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经调整后的防治目标详见表1.5-1。</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表1.5-1     本项目水土流失调整后防治目标值</w:t>
      </w:r>
    </w:p>
    <w:tbl>
      <w:tblPr>
        <w:tblStyle w:val="27"/>
        <w:tblW w:w="92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83"/>
        <w:gridCol w:w="690"/>
        <w:gridCol w:w="861"/>
        <w:gridCol w:w="688"/>
        <w:gridCol w:w="1004"/>
        <w:gridCol w:w="1186"/>
        <w:gridCol w:w="993"/>
        <w:gridCol w:w="714"/>
        <w:gridCol w:w="9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2183"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六项指标</w:t>
            </w:r>
          </w:p>
        </w:tc>
        <w:tc>
          <w:tcPr>
            <w:tcW w:w="1551" w:type="dxa"/>
            <w:gridSpan w:val="2"/>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一级标准</w:t>
            </w:r>
          </w:p>
        </w:tc>
        <w:tc>
          <w:tcPr>
            <w:tcW w:w="1692" w:type="dxa"/>
            <w:gridSpan w:val="2"/>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按干旱程度修正</w:t>
            </w:r>
          </w:p>
        </w:tc>
        <w:tc>
          <w:tcPr>
            <w:tcW w:w="2179" w:type="dxa"/>
            <w:gridSpan w:val="2"/>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按土壤侵蚀强度修正</w:t>
            </w:r>
          </w:p>
        </w:tc>
        <w:tc>
          <w:tcPr>
            <w:tcW w:w="1690" w:type="dxa"/>
            <w:gridSpan w:val="2"/>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本项目采用标准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5" w:hRule="exact"/>
          <w:jc w:val="center"/>
        </w:trPr>
        <w:tc>
          <w:tcPr>
            <w:tcW w:w="2183" w:type="dxa"/>
            <w:vMerge w:val="continue"/>
            <w:vAlign w:val="center"/>
          </w:tcPr>
          <w:p>
            <w:pPr>
              <w:pStyle w:val="84"/>
              <w:rPr>
                <w:rFonts w:hint="default" w:ascii="Times New Roman" w:hAnsi="Times New Roman" w:cs="Times New Roman"/>
                <w:color w:val="auto"/>
                <w:highlight w:val="none"/>
              </w:rPr>
            </w:pPr>
          </w:p>
        </w:tc>
        <w:tc>
          <w:tcPr>
            <w:tcW w:w="690"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w:t>
            </w:r>
          </w:p>
        </w:tc>
        <w:tc>
          <w:tcPr>
            <w:tcW w:w="861"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设计水平年</w:t>
            </w:r>
          </w:p>
        </w:tc>
        <w:tc>
          <w:tcPr>
            <w:tcW w:w="688"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w:t>
            </w:r>
          </w:p>
        </w:tc>
        <w:tc>
          <w:tcPr>
            <w:tcW w:w="100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设计水平年</w:t>
            </w:r>
          </w:p>
        </w:tc>
        <w:tc>
          <w:tcPr>
            <w:tcW w:w="1186"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w:t>
            </w:r>
          </w:p>
        </w:tc>
        <w:tc>
          <w:tcPr>
            <w:tcW w:w="993"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设计水平年</w:t>
            </w:r>
          </w:p>
        </w:tc>
        <w:tc>
          <w:tcPr>
            <w:tcW w:w="71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w:t>
            </w:r>
          </w:p>
        </w:tc>
        <w:tc>
          <w:tcPr>
            <w:tcW w:w="976"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设计水平年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2183"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水土流失治理（%）</w:t>
            </w:r>
          </w:p>
        </w:tc>
        <w:tc>
          <w:tcPr>
            <w:tcW w:w="690"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w:t>
            </w:r>
          </w:p>
        </w:tc>
        <w:tc>
          <w:tcPr>
            <w:tcW w:w="861"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 xml:space="preserve">85 </w:t>
            </w:r>
          </w:p>
        </w:tc>
        <w:tc>
          <w:tcPr>
            <w:tcW w:w="688"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　</w:t>
            </w:r>
          </w:p>
        </w:tc>
        <w:tc>
          <w:tcPr>
            <w:tcW w:w="1004"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　</w:t>
            </w:r>
          </w:p>
        </w:tc>
        <w:tc>
          <w:tcPr>
            <w:tcW w:w="1186"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　</w:t>
            </w:r>
          </w:p>
        </w:tc>
        <w:tc>
          <w:tcPr>
            <w:tcW w:w="993"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　</w:t>
            </w:r>
          </w:p>
        </w:tc>
        <w:tc>
          <w:tcPr>
            <w:tcW w:w="714"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w:t>
            </w:r>
          </w:p>
        </w:tc>
        <w:tc>
          <w:tcPr>
            <w:tcW w:w="976"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 xml:space="preserve">85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2183"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土壤流失控制比</w:t>
            </w:r>
          </w:p>
        </w:tc>
        <w:tc>
          <w:tcPr>
            <w:tcW w:w="690"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w:t>
            </w:r>
          </w:p>
        </w:tc>
        <w:tc>
          <w:tcPr>
            <w:tcW w:w="861"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 xml:space="preserve">0.80 </w:t>
            </w:r>
          </w:p>
        </w:tc>
        <w:tc>
          <w:tcPr>
            <w:tcW w:w="688"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　</w:t>
            </w:r>
          </w:p>
        </w:tc>
        <w:tc>
          <w:tcPr>
            <w:tcW w:w="1004"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　</w:t>
            </w:r>
          </w:p>
        </w:tc>
        <w:tc>
          <w:tcPr>
            <w:tcW w:w="1186"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　</w:t>
            </w:r>
          </w:p>
        </w:tc>
        <w:tc>
          <w:tcPr>
            <w:tcW w:w="993"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 xml:space="preserve">0.20 </w:t>
            </w:r>
          </w:p>
        </w:tc>
        <w:tc>
          <w:tcPr>
            <w:tcW w:w="714"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w:t>
            </w:r>
          </w:p>
        </w:tc>
        <w:tc>
          <w:tcPr>
            <w:tcW w:w="976"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 xml:space="preserve">1.00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2183" w:type="dxa"/>
            <w:shd w:val="clear" w:color="auto" w:fill="auto"/>
            <w:vAlign w:val="center"/>
          </w:tcPr>
          <w:p>
            <w:pPr>
              <w:pStyle w:val="84"/>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渣土防护率（%）</w:t>
            </w:r>
          </w:p>
        </w:tc>
        <w:tc>
          <w:tcPr>
            <w:tcW w:w="690"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 xml:space="preserve">85 </w:t>
            </w:r>
          </w:p>
        </w:tc>
        <w:tc>
          <w:tcPr>
            <w:tcW w:w="861"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8</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 xml:space="preserve"> </w:t>
            </w:r>
          </w:p>
        </w:tc>
        <w:tc>
          <w:tcPr>
            <w:tcW w:w="688"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　</w:t>
            </w:r>
          </w:p>
        </w:tc>
        <w:tc>
          <w:tcPr>
            <w:tcW w:w="1004"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　</w:t>
            </w:r>
          </w:p>
        </w:tc>
        <w:tc>
          <w:tcPr>
            <w:tcW w:w="1186" w:type="dxa"/>
            <w:shd w:val="clear" w:color="auto" w:fill="auto"/>
            <w:vAlign w:val="center"/>
          </w:tcPr>
          <w:p>
            <w:pPr>
              <w:pStyle w:val="84"/>
              <w:rPr>
                <w:rFonts w:hint="default" w:ascii="Times New Roman" w:hAnsi="Times New Roman" w:cs="Times New Roman"/>
                <w:color w:val="auto"/>
                <w:szCs w:val="20"/>
                <w:highlight w:val="none"/>
              </w:rPr>
            </w:pPr>
          </w:p>
        </w:tc>
        <w:tc>
          <w:tcPr>
            <w:tcW w:w="993" w:type="dxa"/>
            <w:shd w:val="clear" w:color="auto" w:fill="auto"/>
            <w:vAlign w:val="center"/>
          </w:tcPr>
          <w:p>
            <w:pPr>
              <w:pStyle w:val="84"/>
              <w:rPr>
                <w:rFonts w:hint="default" w:ascii="Times New Roman" w:hAnsi="Times New Roman" w:cs="Times New Roman"/>
                <w:color w:val="auto"/>
                <w:szCs w:val="20"/>
                <w:highlight w:val="none"/>
              </w:rPr>
            </w:pPr>
          </w:p>
        </w:tc>
        <w:tc>
          <w:tcPr>
            <w:tcW w:w="714" w:type="dxa"/>
            <w:shd w:val="clear" w:color="auto" w:fill="auto"/>
            <w:vAlign w:val="center"/>
          </w:tcPr>
          <w:p>
            <w:pPr>
              <w:pStyle w:val="84"/>
              <w:rPr>
                <w:rFonts w:hint="default" w:ascii="Times New Roman" w:hAnsi="Times New Roman" w:eastAsia="仿宋_GB2312" w:cs="Times New Roman"/>
                <w:color w:val="auto"/>
                <w:szCs w:val="20"/>
                <w:highlight w:val="none"/>
                <w:lang w:val="en-US" w:eastAsia="zh-CN"/>
              </w:rPr>
            </w:pPr>
            <w:r>
              <w:rPr>
                <w:rFonts w:hint="default" w:ascii="Times New Roman" w:hAnsi="Times New Roman" w:cs="Times New Roman"/>
                <w:color w:val="auto"/>
                <w:highlight w:val="none"/>
              </w:rPr>
              <w:t>8</w:t>
            </w:r>
            <w:r>
              <w:rPr>
                <w:rFonts w:hint="default" w:ascii="Times New Roman" w:hAnsi="Times New Roman" w:cs="Times New Roman"/>
                <w:color w:val="auto"/>
                <w:highlight w:val="none"/>
                <w:lang w:val="en-US" w:eastAsia="zh-CN"/>
              </w:rPr>
              <w:t>5</w:t>
            </w:r>
          </w:p>
        </w:tc>
        <w:tc>
          <w:tcPr>
            <w:tcW w:w="976" w:type="dxa"/>
            <w:shd w:val="clear" w:color="auto" w:fill="auto"/>
            <w:vAlign w:val="center"/>
          </w:tcPr>
          <w:p>
            <w:pPr>
              <w:pStyle w:val="84"/>
              <w:rPr>
                <w:rFonts w:hint="default" w:ascii="Times New Roman" w:hAnsi="Times New Roman" w:eastAsia="仿宋_GB2312"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2183" w:type="dxa"/>
            <w:shd w:val="clear" w:color="auto" w:fill="auto"/>
            <w:vAlign w:val="center"/>
          </w:tcPr>
          <w:p>
            <w:pPr>
              <w:pStyle w:val="84"/>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表土保护率（%）</w:t>
            </w:r>
          </w:p>
        </w:tc>
        <w:tc>
          <w:tcPr>
            <w:tcW w:w="690"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w:t>
            </w:r>
          </w:p>
        </w:tc>
        <w:tc>
          <w:tcPr>
            <w:tcW w:w="861"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w:t>
            </w:r>
          </w:p>
        </w:tc>
        <w:tc>
          <w:tcPr>
            <w:tcW w:w="688"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　</w:t>
            </w:r>
          </w:p>
        </w:tc>
        <w:tc>
          <w:tcPr>
            <w:tcW w:w="1004"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　</w:t>
            </w:r>
          </w:p>
        </w:tc>
        <w:tc>
          <w:tcPr>
            <w:tcW w:w="1186"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　</w:t>
            </w:r>
          </w:p>
        </w:tc>
        <w:tc>
          <w:tcPr>
            <w:tcW w:w="993"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　</w:t>
            </w:r>
          </w:p>
        </w:tc>
        <w:tc>
          <w:tcPr>
            <w:tcW w:w="714"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w:t>
            </w:r>
          </w:p>
        </w:tc>
        <w:tc>
          <w:tcPr>
            <w:tcW w:w="976"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2183" w:type="dxa"/>
            <w:shd w:val="clear" w:color="auto" w:fill="auto"/>
            <w:vAlign w:val="center"/>
          </w:tcPr>
          <w:p>
            <w:pPr>
              <w:pStyle w:val="84"/>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林草植被恢复率（%）</w:t>
            </w:r>
          </w:p>
        </w:tc>
        <w:tc>
          <w:tcPr>
            <w:tcW w:w="690"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w:t>
            </w:r>
          </w:p>
        </w:tc>
        <w:tc>
          <w:tcPr>
            <w:tcW w:w="861" w:type="dxa"/>
            <w:shd w:val="clear" w:color="auto" w:fill="auto"/>
            <w:vAlign w:val="center"/>
          </w:tcPr>
          <w:p>
            <w:pPr>
              <w:spacing w:line="240" w:lineRule="auto"/>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93</w:t>
            </w:r>
          </w:p>
        </w:tc>
        <w:tc>
          <w:tcPr>
            <w:tcW w:w="688" w:type="dxa"/>
            <w:shd w:val="clear" w:color="auto" w:fill="auto"/>
            <w:vAlign w:val="center"/>
          </w:tcPr>
          <w:p>
            <w:pPr>
              <w:spacing w:line="240" w:lineRule="auto"/>
              <w:ind w:left="0" w:leftChars="0" w:firstLine="0" w:firstLineChars="0"/>
              <w:jc w:val="center"/>
              <w:rPr>
                <w:rFonts w:hint="default" w:ascii="Times New Roman" w:hAnsi="Times New Roman" w:eastAsia="宋体" w:cs="Times New Roman"/>
                <w:color w:val="auto"/>
                <w:highlight w:val="none"/>
              </w:rPr>
            </w:pPr>
          </w:p>
        </w:tc>
        <w:tc>
          <w:tcPr>
            <w:tcW w:w="1004" w:type="dxa"/>
            <w:shd w:val="clear" w:color="auto" w:fill="auto"/>
            <w:vAlign w:val="center"/>
          </w:tcPr>
          <w:p>
            <w:pPr>
              <w:spacing w:line="240" w:lineRule="auto"/>
              <w:ind w:left="0" w:leftChars="0" w:firstLine="0" w:firstLineChars="0"/>
              <w:jc w:val="center"/>
              <w:rPr>
                <w:rFonts w:hint="default" w:ascii="Times New Roman" w:hAnsi="Times New Roman" w:eastAsia="宋体" w:cs="Times New Roman"/>
                <w:color w:val="auto"/>
                <w:highlight w:val="none"/>
              </w:rPr>
            </w:pPr>
          </w:p>
        </w:tc>
        <w:tc>
          <w:tcPr>
            <w:tcW w:w="1186" w:type="dxa"/>
            <w:shd w:val="clear" w:color="auto" w:fill="auto"/>
            <w:vAlign w:val="center"/>
          </w:tcPr>
          <w:p>
            <w:pPr>
              <w:spacing w:line="240" w:lineRule="auto"/>
              <w:ind w:left="0" w:leftChars="0" w:firstLine="0" w:firstLineChars="0"/>
              <w:jc w:val="center"/>
              <w:rPr>
                <w:rFonts w:hint="default" w:ascii="Times New Roman" w:hAnsi="Times New Roman" w:eastAsia="宋体" w:cs="Times New Roman"/>
                <w:color w:val="auto"/>
                <w:highlight w:val="none"/>
              </w:rPr>
            </w:pPr>
          </w:p>
        </w:tc>
        <w:tc>
          <w:tcPr>
            <w:tcW w:w="993" w:type="dxa"/>
            <w:shd w:val="clear" w:color="auto" w:fill="auto"/>
            <w:vAlign w:val="center"/>
          </w:tcPr>
          <w:p>
            <w:pPr>
              <w:spacing w:line="240" w:lineRule="auto"/>
              <w:ind w:left="0" w:leftChars="0" w:firstLine="0" w:firstLineChars="0"/>
              <w:jc w:val="center"/>
              <w:rPr>
                <w:rFonts w:hint="default" w:ascii="Times New Roman" w:hAnsi="Times New Roman" w:eastAsia="宋体" w:cs="Times New Roman"/>
                <w:color w:val="auto"/>
                <w:highlight w:val="none"/>
              </w:rPr>
            </w:pPr>
          </w:p>
        </w:tc>
        <w:tc>
          <w:tcPr>
            <w:tcW w:w="714" w:type="dxa"/>
            <w:shd w:val="clear" w:color="auto" w:fill="auto"/>
            <w:vAlign w:val="center"/>
          </w:tcPr>
          <w:p>
            <w:pPr>
              <w:spacing w:line="240" w:lineRule="auto"/>
              <w:ind w:left="0" w:lef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976" w:type="dxa"/>
            <w:shd w:val="clear" w:color="auto" w:fill="auto"/>
            <w:vAlign w:val="center"/>
          </w:tcPr>
          <w:p>
            <w:pPr>
              <w:spacing w:line="240" w:lineRule="auto"/>
              <w:ind w:left="0" w:lef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2183" w:type="dxa"/>
            <w:shd w:val="clear" w:color="auto" w:fill="auto"/>
            <w:vAlign w:val="center"/>
          </w:tcPr>
          <w:p>
            <w:pPr>
              <w:pStyle w:val="84"/>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林草覆盖率（%）</w:t>
            </w:r>
          </w:p>
        </w:tc>
        <w:tc>
          <w:tcPr>
            <w:tcW w:w="690"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w:t>
            </w:r>
          </w:p>
        </w:tc>
        <w:tc>
          <w:tcPr>
            <w:tcW w:w="861" w:type="dxa"/>
            <w:shd w:val="clear" w:color="auto" w:fill="auto"/>
            <w:vAlign w:val="center"/>
          </w:tcPr>
          <w:p>
            <w:pPr>
              <w:spacing w:line="240" w:lineRule="auto"/>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20</w:t>
            </w:r>
          </w:p>
        </w:tc>
        <w:tc>
          <w:tcPr>
            <w:tcW w:w="688" w:type="dxa"/>
            <w:shd w:val="clear" w:color="auto" w:fill="auto"/>
            <w:vAlign w:val="center"/>
          </w:tcPr>
          <w:p>
            <w:pPr>
              <w:spacing w:line="240" w:lineRule="auto"/>
              <w:ind w:left="0" w:leftChars="0" w:firstLine="0" w:firstLineChars="0"/>
              <w:jc w:val="center"/>
              <w:rPr>
                <w:rFonts w:hint="default" w:ascii="Times New Roman" w:hAnsi="Times New Roman" w:eastAsia="宋体" w:cs="Times New Roman"/>
                <w:color w:val="auto"/>
                <w:highlight w:val="none"/>
              </w:rPr>
            </w:pPr>
          </w:p>
        </w:tc>
        <w:tc>
          <w:tcPr>
            <w:tcW w:w="1004" w:type="dxa"/>
            <w:shd w:val="clear" w:color="auto" w:fill="auto"/>
            <w:vAlign w:val="center"/>
          </w:tcPr>
          <w:p>
            <w:pPr>
              <w:spacing w:line="240" w:lineRule="auto"/>
              <w:ind w:left="0" w:leftChars="0" w:firstLine="0" w:firstLineChars="0"/>
              <w:jc w:val="center"/>
              <w:rPr>
                <w:rFonts w:hint="default" w:ascii="Times New Roman" w:hAnsi="Times New Roman" w:eastAsia="宋体" w:cs="Times New Roman"/>
                <w:color w:val="auto"/>
                <w:highlight w:val="none"/>
                <w:lang w:val="en-US" w:eastAsia="zh-CN"/>
              </w:rPr>
            </w:pPr>
          </w:p>
        </w:tc>
        <w:tc>
          <w:tcPr>
            <w:tcW w:w="1186" w:type="dxa"/>
            <w:shd w:val="clear" w:color="auto" w:fill="auto"/>
            <w:vAlign w:val="center"/>
          </w:tcPr>
          <w:p>
            <w:pPr>
              <w:spacing w:line="240" w:lineRule="auto"/>
              <w:ind w:left="0" w:leftChars="0" w:firstLine="0" w:firstLineChars="0"/>
              <w:jc w:val="center"/>
              <w:rPr>
                <w:rFonts w:hint="default" w:ascii="Times New Roman" w:hAnsi="Times New Roman" w:eastAsia="宋体" w:cs="Times New Roman"/>
                <w:color w:val="auto"/>
                <w:highlight w:val="none"/>
              </w:rPr>
            </w:pPr>
          </w:p>
        </w:tc>
        <w:tc>
          <w:tcPr>
            <w:tcW w:w="993" w:type="dxa"/>
            <w:shd w:val="clear" w:color="auto" w:fill="auto"/>
            <w:vAlign w:val="center"/>
          </w:tcPr>
          <w:p>
            <w:pPr>
              <w:spacing w:line="240" w:lineRule="auto"/>
              <w:ind w:left="0" w:leftChars="0" w:firstLine="0" w:firstLineChars="0"/>
              <w:jc w:val="center"/>
              <w:rPr>
                <w:rFonts w:hint="default" w:ascii="Times New Roman" w:hAnsi="Times New Roman" w:eastAsia="宋体" w:cs="Times New Roman"/>
                <w:color w:val="auto"/>
                <w:highlight w:val="none"/>
              </w:rPr>
            </w:pPr>
          </w:p>
        </w:tc>
        <w:tc>
          <w:tcPr>
            <w:tcW w:w="714" w:type="dxa"/>
            <w:shd w:val="clear" w:color="auto" w:fill="auto"/>
            <w:vAlign w:val="center"/>
          </w:tcPr>
          <w:p>
            <w:pPr>
              <w:spacing w:line="240" w:lineRule="auto"/>
              <w:ind w:left="0" w:lef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976" w:type="dxa"/>
            <w:shd w:val="clear" w:color="auto" w:fill="auto"/>
            <w:vAlign w:val="center"/>
          </w:tcPr>
          <w:p>
            <w:pPr>
              <w:spacing w:line="240" w:lineRule="auto"/>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w:t>
            </w:r>
          </w:p>
        </w:tc>
      </w:tr>
    </w:tbl>
    <w:p>
      <w:pPr>
        <w:pStyle w:val="66"/>
        <w:ind w:firstLine="148"/>
        <w:rPr>
          <w:rFonts w:hint="default" w:ascii="Times New Roman" w:hAnsi="Times New Roman" w:cs="Times New Roman"/>
          <w:color w:val="auto"/>
          <w:highlight w:val="none"/>
        </w:rPr>
      </w:pPr>
      <w:bookmarkStart w:id="58" w:name="_Toc22515"/>
      <w:r>
        <w:rPr>
          <w:rFonts w:hint="default" w:ascii="Times New Roman" w:hAnsi="Times New Roman" w:cs="Times New Roman"/>
          <w:color w:val="auto"/>
          <w:highlight w:val="none"/>
        </w:rPr>
        <w:t xml:space="preserve">1.6 </w:t>
      </w:r>
      <w:bookmarkEnd w:id="56"/>
      <w:bookmarkEnd w:id="57"/>
      <w:r>
        <w:rPr>
          <w:rFonts w:hint="default" w:ascii="Times New Roman" w:hAnsi="Times New Roman" w:cs="Times New Roman"/>
          <w:color w:val="auto"/>
          <w:highlight w:val="none"/>
        </w:rPr>
        <w:t>项目水土保持评价结论</w:t>
      </w:r>
      <w:bookmarkEnd w:id="58"/>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1.6.1 主体工程选址（线）评价</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属于新建项目，按《中华人民共和国水土保持法》相关规定，《生产建设项目水土保持技术标准》（GB50433-2018）3.2.1及4.3.12节规定及水利部《关于严格开发建设项目水土保持方案审查审批工作的通知》（水保[2007]184号）中有关限制性条件进行逐条分析，本项目建设没有水土保持限制性因素。</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1.6.2 建设方案与布局评价</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（1）项目区整体布局紧凑，各建构筑物布置合理，项目区内部空地均得到有效利用。同时项目区位于</w:t>
      </w:r>
      <w:r>
        <w:rPr>
          <w:rFonts w:hint="default" w:ascii="Times New Roman" w:hAnsi="Times New Roman" w:cs="Times New Roman"/>
          <w:color w:val="auto"/>
          <w:highlight w:val="none"/>
          <w:lang w:eastAsia="zh-CN"/>
        </w:rPr>
        <w:t>冲洪积平原</w:t>
      </w:r>
      <w:r>
        <w:rPr>
          <w:rFonts w:hint="default" w:ascii="Times New Roman" w:hAnsi="Times New Roman" w:cs="Times New Roman"/>
          <w:color w:val="auto"/>
          <w:highlight w:val="none"/>
        </w:rPr>
        <w:t>内，</w:t>
      </w:r>
      <w:r>
        <w:rPr>
          <w:rFonts w:hint="default" w:ascii="Times New Roman" w:hAnsi="Times New Roman" w:cs="Times New Roman"/>
          <w:color w:val="auto"/>
          <w:highlight w:val="none"/>
          <w:lang w:eastAsia="zh-CN"/>
        </w:rPr>
        <w:t>地面高程为</w:t>
      </w:r>
      <w:r>
        <w:rPr>
          <w:rFonts w:hint="default" w:ascii="Times New Roman" w:hAnsi="Times New Roman" w:cs="Times New Roman"/>
          <w:color w:val="auto"/>
          <w:highlight w:val="none"/>
        </w:rPr>
        <w:t xml:space="preserve"> 1100m～1130m</w:t>
      </w:r>
      <w:r>
        <w:rPr>
          <w:rFonts w:hint="default" w:ascii="Times New Roman" w:hAnsi="Times New Roman" w:cs="Times New Roman"/>
          <w:color w:val="auto"/>
          <w:highlight w:val="none"/>
          <w:lang w:val="en-US" w:eastAsia="zh-CN"/>
        </w:rPr>
        <w:t>，项目区最大高差为</w:t>
      </w:r>
      <w:r>
        <w:rPr>
          <w:rFonts w:hint="eastAsia" w:cs="Times New Roman"/>
          <w:color w:val="auto"/>
          <w:highlight w:val="none"/>
          <w:lang w:val="en-US" w:eastAsia="zh-CN"/>
        </w:rPr>
        <w:t>30</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rPr>
        <w:t>整体较为平坦，无明显高差，</w:t>
      </w:r>
      <w:r>
        <w:rPr>
          <w:rFonts w:hint="default" w:ascii="Times New Roman" w:hAnsi="Times New Roman" w:cs="Times New Roman"/>
          <w:color w:val="auto"/>
          <w:highlight w:val="none"/>
          <w:lang w:eastAsia="zh-CN"/>
        </w:rPr>
        <w:t>项目区内仅有几处冲沟，主体设计采取光伏阵列板布置时对冲沟进行避让，不会对项目区建设造成影响。</w:t>
      </w:r>
      <w:r>
        <w:rPr>
          <w:rFonts w:hint="default" w:ascii="Times New Roman" w:hAnsi="Times New Roman" w:cs="Times New Roman"/>
          <w:color w:val="auto"/>
          <w:highlight w:val="none"/>
        </w:rPr>
        <w:t>主体工程符合《生产建设项目水土保持技术标准》(GB-50433-2018)中规定的工程选址、建设方案及布局要求。</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从占地类型、面积和占地性质分析认为：主体工程设计布局较为合理，工程占地面积基本合理，没有乱占乱挖土地和随意破坏地表植被等不合理占地情况，符合水土保持要求。工程建设占用的其他草地植被覆盖率较低，周边土地贫瘠，土壤条件较差，生产力水平低，不会对当地居民的生产生活造成明显影响，不会对当地的生态环境和自然植被造成明显破坏。符合水土保持要求。</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（3）根据主体资料</w:t>
      </w:r>
      <w:r>
        <w:rPr>
          <w:rFonts w:hint="eastAsia" w:cs="Times New Roman"/>
          <w:color w:val="auto"/>
          <w:highlight w:val="none"/>
          <w:lang w:eastAsia="zh-CN"/>
        </w:rPr>
        <w:t>及工程实际情况</w:t>
      </w:r>
      <w:r>
        <w:rPr>
          <w:rFonts w:hint="default" w:ascii="Times New Roman" w:hAnsi="Times New Roman" w:cs="Times New Roman"/>
          <w:color w:val="auto"/>
          <w:highlight w:val="none"/>
        </w:rPr>
        <w:t>，本工程总挖方</w:t>
      </w:r>
      <w:r>
        <w:rPr>
          <w:rFonts w:hint="eastAsia" w:cs="Times New Roman"/>
          <w:color w:val="auto"/>
          <w:highlight w:val="none"/>
          <w:lang w:val="en-US" w:eastAsia="zh-CN"/>
        </w:rPr>
        <w:t>4.968</w:t>
      </w:r>
      <w:r>
        <w:rPr>
          <w:rFonts w:hint="default" w:ascii="Times New Roman" w:hAnsi="Times New Roman" w:cs="Times New Roman"/>
          <w:color w:val="auto"/>
          <w:highlight w:val="none"/>
        </w:rPr>
        <w:t>万m³，填方</w:t>
      </w:r>
      <w:r>
        <w:rPr>
          <w:rFonts w:hint="eastAsia" w:cs="Times New Roman"/>
          <w:color w:val="auto"/>
          <w:highlight w:val="none"/>
          <w:lang w:val="en-US" w:eastAsia="zh-CN"/>
        </w:rPr>
        <w:t>4.968</w:t>
      </w:r>
      <w:r>
        <w:rPr>
          <w:rFonts w:hint="default" w:ascii="Times New Roman" w:hAnsi="Times New Roman" w:cs="Times New Roman"/>
          <w:color w:val="auto"/>
          <w:highlight w:val="none"/>
        </w:rPr>
        <w:t>万m³，无借方，无弃方。建构筑物基础开挖土方临时堆置在开挖基础周边，后期回填利用。管沟开挖土方临时堆置在管沟开挖一侧，后期管线铺设完成后回填利用。同时为减少工程建设产生的土石方，主体最优布设相应的各类管线，最大程度减少工程重复扰动以及减少土石方开挖量。</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本项目建设所需的混凝土砂砾石拌合料从当地商品料场购买，其水土保持责任由砂砾石料厂承担，不设置专用料场。本工程建设期间挖方均用于后期回填，无永久弃渣，未设置永久弃渣场地。同时后期运行期间生活垃圾统一收集后送至就近垃圾中转站，后由环卫部门统一处置，因此本项目未设置弃渣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（5）根据施工程序和施工进度安排，结合本工程地形条件、以及施工需要，主体考虑</w:t>
      </w:r>
      <w:r>
        <w:rPr>
          <w:rFonts w:hint="eastAsia" w:cs="Times New Roman"/>
          <w:color w:val="auto"/>
          <w:highlight w:val="none"/>
          <w:lang w:eastAsia="zh-CN"/>
        </w:rPr>
        <w:t>施工生产生活区</w:t>
      </w:r>
      <w:r>
        <w:rPr>
          <w:rFonts w:hint="default" w:ascii="Times New Roman" w:hAnsi="Times New Roman" w:cs="Times New Roman"/>
          <w:color w:val="auto"/>
          <w:highlight w:val="none"/>
        </w:rPr>
        <w:t>布设于永久占地范围内，回填土方均利用开挖土方，避免了较多的外借土方，间接的减少了地表扰动面积，并且工程建设回填利用的土方有序临时堆置，采取防护措施，避免的弃土乱堆乱弃，符合水土保持的要求。</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本项目各区域均为常规施工，以机械施工为主，并以人工辅助。施工中，运输车辆运土，推土机摊铺，振动碾分层碾压，工艺合理，施工便捷，步骤紧凑，速度较快，堆填、平整、碾压步骤合理、连贯，减少土壤流失。施工期间道路硬化前在风季容易造成水土流失，故应注意防尘。管沟施工现场按照设计图纸放线并开挖基坑、基槽，以机械开挖为主，同时辅以人工开挖，载重汽车运送施工材料。综上所述，建构筑物区均为常规施工，施工机械化程度高，施工速度快，施工布置合理，施工时序有利于项目水土流失的防治，有利于水土保持，满足水土保持要求。</w:t>
      </w:r>
    </w:p>
    <w:p>
      <w:pPr>
        <w:pStyle w:val="56"/>
        <w:numPr>
          <w:ilvl w:val="0"/>
          <w:numId w:val="0"/>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（7）根据</w:t>
      </w:r>
      <w:r>
        <w:rPr>
          <w:rFonts w:hint="eastAsia" w:cs="Times New Roman"/>
          <w:color w:val="auto"/>
          <w:highlight w:val="none"/>
          <w:lang w:eastAsia="zh-CN"/>
        </w:rPr>
        <w:t>工程实际施工情况</w:t>
      </w:r>
      <w:r>
        <w:rPr>
          <w:rFonts w:hint="default" w:ascii="Times New Roman" w:hAnsi="Times New Roman" w:cs="Times New Roman"/>
          <w:color w:val="auto"/>
          <w:highlight w:val="none"/>
        </w:rPr>
        <w:t>，主体工程设计了各种具有水土保持功能的措施包括：光伏</w:t>
      </w:r>
      <w:r>
        <w:rPr>
          <w:rFonts w:hint="eastAsia" w:cs="Times New Roman"/>
          <w:color w:val="auto"/>
          <w:highlight w:val="none"/>
          <w:lang w:eastAsia="zh-CN"/>
        </w:rPr>
        <w:t>区</w:t>
      </w:r>
      <w:r>
        <w:rPr>
          <w:rFonts w:hint="default" w:ascii="Times New Roman" w:hAnsi="Times New Roman" w:cs="Times New Roman"/>
          <w:color w:val="auto"/>
          <w:highlight w:val="none"/>
        </w:rPr>
        <w:t>的</w:t>
      </w:r>
      <w:r>
        <w:rPr>
          <w:rFonts w:hint="eastAsia" w:cs="Times New Roman"/>
          <w:color w:val="auto"/>
          <w:highlight w:val="none"/>
          <w:lang w:eastAsia="zh-CN"/>
        </w:rPr>
        <w:t>洒水、</w:t>
      </w:r>
      <w:r>
        <w:rPr>
          <w:rFonts w:hint="default" w:ascii="Times New Roman" w:hAnsi="Times New Roman" w:cs="Times New Roman"/>
          <w:color w:val="auto"/>
          <w:highlight w:val="none"/>
        </w:rPr>
        <w:t>土地平整</w:t>
      </w:r>
      <w:r>
        <w:rPr>
          <w:rFonts w:hint="eastAsia" w:cs="Times New Roman"/>
          <w:color w:val="auto"/>
          <w:highlight w:val="none"/>
          <w:lang w:eastAsia="zh-CN"/>
        </w:rPr>
        <w:t>、防尘网苫盖；道路工程区的洒水；运行管理区的防尘网苫盖、土地平整；施工生产生活区的彩钢板围栏、土地平整。</w:t>
      </w:r>
      <w:r>
        <w:rPr>
          <w:rFonts w:hint="default" w:ascii="Times New Roman" w:hAnsi="Times New Roman" w:cs="Times New Roman"/>
          <w:color w:val="auto"/>
          <w:highlight w:val="none"/>
        </w:rPr>
        <w:t>通过从水土保持角度分析，主体工程设计并</w:t>
      </w:r>
      <w:r>
        <w:rPr>
          <w:rFonts w:hint="eastAsia" w:cs="Times New Roman"/>
          <w:color w:val="auto"/>
          <w:highlight w:val="none"/>
          <w:lang w:eastAsia="zh-CN"/>
        </w:rPr>
        <w:t>实施</w:t>
      </w:r>
      <w:r>
        <w:rPr>
          <w:rFonts w:hint="default" w:ascii="Times New Roman" w:hAnsi="Times New Roman" w:cs="Times New Roman"/>
          <w:color w:val="auto"/>
          <w:highlight w:val="none"/>
        </w:rPr>
        <w:t>的具有水土保持功能的措施有效的减轻了工程施工过程中的水土流失，能够有效防护项目区建设期及后期恢复期间产生的水土流失</w:t>
      </w:r>
      <w:r>
        <w:rPr>
          <w:rFonts w:hint="eastAsia" w:cs="Times New Roman"/>
          <w:color w:val="auto"/>
          <w:highlight w:val="none"/>
          <w:lang w:eastAsia="zh-CN"/>
        </w:rPr>
        <w:t>。因项目现已进入运行期，</w:t>
      </w:r>
      <w:r>
        <w:rPr>
          <w:rFonts w:hint="eastAsia"/>
          <w:lang w:eastAsia="zh-CN"/>
        </w:rPr>
        <w:t>且项目区内有</w:t>
      </w:r>
      <w:r>
        <w:rPr>
          <w:rFonts w:hint="eastAsia"/>
          <w:lang w:val="en-US" w:eastAsia="zh-CN"/>
        </w:rPr>
        <w:t>20</w:t>
      </w:r>
      <w:r>
        <w:rPr>
          <w:rFonts w:hint="eastAsia" w:ascii="Times New Roman" w:hAnsi="Times New Roman" w:cs="Times New Roman"/>
          <w:color w:val="auto"/>
          <w:highlight w:val="none"/>
        </w:rPr>
        <w:t>hm²</w:t>
      </w:r>
      <w:r>
        <w:rPr>
          <w:rFonts w:hint="eastAsia" w:cs="Times New Roman"/>
          <w:color w:val="auto"/>
          <w:highlight w:val="none"/>
          <w:lang w:eastAsia="zh-CN"/>
        </w:rPr>
        <w:t>空地未利用，本次水土保持方案编制新增钢丝网围栏，将项目实际占地区域与</w:t>
      </w:r>
      <w:r>
        <w:rPr>
          <w:rFonts w:hint="eastAsia" w:cs="Times New Roman"/>
          <w:color w:val="auto"/>
          <w:highlight w:val="none"/>
          <w:lang w:val="en-US" w:eastAsia="zh-CN"/>
        </w:rPr>
        <w:t>20</w:t>
      </w:r>
      <w:r>
        <w:rPr>
          <w:rFonts w:hint="eastAsia" w:ascii="Times New Roman" w:hAnsi="Times New Roman" w:cs="Times New Roman"/>
          <w:color w:val="auto"/>
          <w:highlight w:val="none"/>
        </w:rPr>
        <w:t>hm²</w:t>
      </w:r>
      <w:r>
        <w:rPr>
          <w:rFonts w:hint="eastAsia" w:cs="Times New Roman"/>
          <w:color w:val="auto"/>
          <w:highlight w:val="none"/>
          <w:lang w:eastAsia="zh-CN"/>
        </w:rPr>
        <w:t>空地分隔开，减少人为对空地原生地貌的扰动，减少水土流失。新增措施</w:t>
      </w:r>
      <w:r>
        <w:rPr>
          <w:rFonts w:hint="default" w:ascii="Times New Roman" w:hAnsi="Times New Roman" w:cs="Times New Roman"/>
          <w:color w:val="auto"/>
          <w:highlight w:val="none"/>
        </w:rPr>
        <w:t>与主体设计的各项措施形成一定的防护体系，有效治理</w:t>
      </w:r>
      <w:r>
        <w:rPr>
          <w:rFonts w:hint="eastAsia" w:cs="Times New Roman"/>
          <w:color w:val="auto"/>
          <w:highlight w:val="none"/>
          <w:lang w:eastAsia="zh-CN"/>
        </w:rPr>
        <w:t>项目施工及工程运行期间</w:t>
      </w:r>
      <w:r>
        <w:rPr>
          <w:rFonts w:hint="default" w:ascii="Times New Roman" w:hAnsi="Times New Roman" w:cs="Times New Roman"/>
          <w:color w:val="auto"/>
          <w:highlight w:val="none"/>
        </w:rPr>
        <w:t>产生的水土流失。</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从水土保持的角度分析，</w:t>
      </w:r>
      <w:r>
        <w:rPr>
          <w:rFonts w:hint="eastAsia" w:cs="Times New Roman"/>
          <w:color w:val="auto"/>
          <w:highlight w:val="none"/>
          <w:lang w:eastAsia="zh-CN"/>
        </w:rPr>
        <w:t>弗光哈密一期20MWp光伏并网发电项目</w:t>
      </w:r>
      <w:r>
        <w:rPr>
          <w:rFonts w:hint="default" w:ascii="Times New Roman" w:hAnsi="Times New Roman" w:cs="Times New Roman"/>
          <w:color w:val="auto"/>
          <w:highlight w:val="none"/>
        </w:rPr>
        <w:t>不存在限制性因素，主体选址、设计、占地、土石方、施工组织、施工方法与工艺合理，项目建设可行。</w:t>
      </w:r>
    </w:p>
    <w:p>
      <w:pPr>
        <w:pStyle w:val="66"/>
        <w:ind w:firstLine="148"/>
        <w:rPr>
          <w:rFonts w:hint="default" w:ascii="Times New Roman" w:hAnsi="Times New Roman" w:cs="Times New Roman"/>
          <w:color w:val="auto"/>
          <w:highlight w:val="none"/>
        </w:rPr>
      </w:pPr>
      <w:bookmarkStart w:id="59" w:name="_Toc417412295"/>
      <w:bookmarkStart w:id="60" w:name="_Toc12022"/>
      <w:r>
        <w:rPr>
          <w:rFonts w:hint="default" w:ascii="Times New Roman" w:hAnsi="Times New Roman" w:cs="Times New Roman"/>
          <w:color w:val="auto"/>
          <w:highlight w:val="none"/>
        </w:rPr>
        <w:t xml:space="preserve">1.7 </w:t>
      </w:r>
      <w:bookmarkEnd w:id="59"/>
      <w:r>
        <w:rPr>
          <w:rFonts w:hint="default" w:ascii="Times New Roman" w:hAnsi="Times New Roman" w:cs="Times New Roman"/>
          <w:color w:val="auto"/>
          <w:highlight w:val="none"/>
        </w:rPr>
        <w:t>水土流失预测结果</w:t>
      </w:r>
      <w:bookmarkEnd w:id="60"/>
    </w:p>
    <w:p>
      <w:pPr>
        <w:pStyle w:val="56"/>
        <w:ind w:firstLine="480"/>
        <w:rPr>
          <w:rFonts w:hint="default" w:ascii="Times New Roman" w:hAnsi="Times New Roman" w:cs="Times New Roman"/>
          <w:color w:val="auto"/>
          <w:highlight w:val="yellow"/>
        </w:rPr>
      </w:pPr>
      <w:r>
        <w:rPr>
          <w:rFonts w:hint="default" w:ascii="Times New Roman" w:hAnsi="Times New Roman" w:cs="Times New Roman"/>
          <w:color w:val="auto"/>
          <w:highlight w:val="none"/>
        </w:rPr>
        <w:t>根据《生产建设项目水土保持技术标准》（GB50433-2018）确定的土壤流失预测方法，经计算，本项目扰动后产生的水土流失总量</w:t>
      </w:r>
      <w:r>
        <w:rPr>
          <w:rFonts w:hint="eastAsia" w:cs="Times New Roman"/>
          <w:color w:val="auto"/>
          <w:highlight w:val="none"/>
          <w:lang w:val="en-US" w:eastAsia="zh-CN"/>
        </w:rPr>
        <w:t>7760.17</w:t>
      </w:r>
      <w:r>
        <w:rPr>
          <w:rFonts w:hint="default" w:ascii="Times New Roman" w:hAnsi="Times New Roman" w:cs="Times New Roman"/>
          <w:color w:val="auto"/>
          <w:highlight w:val="none"/>
        </w:rPr>
        <w:t>t，其中背景水土流失量44</w:t>
      </w:r>
      <w:r>
        <w:rPr>
          <w:rFonts w:hint="eastAsia" w:cs="Times New Roman"/>
          <w:color w:val="auto"/>
          <w:highlight w:val="none"/>
          <w:lang w:val="en-US" w:eastAsia="zh-CN"/>
        </w:rPr>
        <w:t>68.75</w:t>
      </w:r>
      <w:r>
        <w:rPr>
          <w:rFonts w:hint="default" w:ascii="Times New Roman" w:hAnsi="Times New Roman" w:cs="Times New Roman"/>
          <w:color w:val="auto"/>
          <w:highlight w:val="none"/>
        </w:rPr>
        <w:t>t，新增水土流失量32</w:t>
      </w:r>
      <w:r>
        <w:rPr>
          <w:rFonts w:hint="eastAsia" w:cs="Times New Roman"/>
          <w:color w:val="auto"/>
          <w:highlight w:val="none"/>
          <w:lang w:val="en-US" w:eastAsia="zh-CN"/>
        </w:rPr>
        <w:t>91.42</w:t>
      </w:r>
      <w:r>
        <w:rPr>
          <w:rFonts w:hint="default" w:ascii="Times New Roman" w:hAnsi="Times New Roman" w:cs="Times New Roman"/>
          <w:color w:val="auto"/>
          <w:highlight w:val="none"/>
        </w:rPr>
        <w:t>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本项目水土流失防治重点区域为光伏发电区的光伏阵列区。上述区域水土流失影响范围大，土壤侵蚀量较大，因此光伏发电区的光伏阵列区应为项目水土流失防治和监测的重点区域。水土流失重点时段为</w:t>
      </w:r>
      <w:r>
        <w:rPr>
          <w:rFonts w:hint="default" w:ascii="Times New Roman" w:hAnsi="Times New Roman" w:cs="Times New Roman"/>
          <w:color w:val="auto"/>
          <w:highlight w:val="none"/>
          <w:lang w:eastAsia="zh-CN"/>
        </w:rPr>
        <w:t>施工</w:t>
      </w:r>
      <w:r>
        <w:rPr>
          <w:rFonts w:hint="default" w:ascii="Times New Roman" w:hAnsi="Times New Roman" w:cs="Times New Roman"/>
          <w:color w:val="auto"/>
          <w:highlight w:val="none"/>
        </w:rPr>
        <w:t>期。</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水土流失危害：本项目建设过程产生的水土流失危害主要为：（1）工程建设造成区域地表被长期</w:t>
      </w:r>
      <w:r>
        <w:rPr>
          <w:rFonts w:hint="default" w:ascii="Times New Roman" w:hAnsi="Times New Roman" w:cs="Times New Roman"/>
          <w:color w:val="auto"/>
          <w:highlight w:val="none"/>
          <w:lang w:eastAsia="zh-CN"/>
        </w:rPr>
        <w:t>风</w:t>
      </w:r>
      <w:r>
        <w:rPr>
          <w:rFonts w:hint="default" w:ascii="Times New Roman" w:hAnsi="Times New Roman" w:cs="Times New Roman"/>
          <w:color w:val="auto"/>
          <w:highlight w:val="none"/>
        </w:rPr>
        <w:t>蚀及水蚀，改变项目区地表状况，使其丧失抗侵蚀能力，水力侵蚀及风力侵蚀强度将增大；（2）造成土地生产力的下降，扰动地表土壤侵蚀强度的增加会导致水土流失强度增加，地表有机质流失，项目区及周边土地生产力降低；（3）水蚀及风蚀强度的增加，使区域水土流失加剧，周边地表裸露疏松，出现更多扬沙天气，使区域大气环境、水环境和生态环境受到一定影响。</w:t>
      </w:r>
    </w:p>
    <w:p>
      <w:pPr>
        <w:pStyle w:val="66"/>
        <w:ind w:firstLine="148"/>
        <w:rPr>
          <w:rFonts w:hint="default" w:ascii="Times New Roman" w:hAnsi="Times New Roman" w:cs="Times New Roman"/>
          <w:color w:val="auto"/>
          <w:highlight w:val="none"/>
        </w:rPr>
      </w:pPr>
      <w:bookmarkStart w:id="61" w:name="_Toc417412296"/>
      <w:bookmarkStart w:id="62" w:name="_Toc407014512"/>
      <w:bookmarkStart w:id="63" w:name="_Toc22281"/>
      <w:r>
        <w:rPr>
          <w:rFonts w:hint="default" w:ascii="Times New Roman" w:hAnsi="Times New Roman" w:cs="Times New Roman"/>
          <w:color w:val="auto"/>
          <w:highlight w:val="none"/>
        </w:rPr>
        <w:t xml:space="preserve">1.8 </w:t>
      </w:r>
      <w:bookmarkEnd w:id="61"/>
      <w:bookmarkEnd w:id="62"/>
      <w:r>
        <w:rPr>
          <w:rFonts w:hint="default" w:ascii="Times New Roman" w:hAnsi="Times New Roman" w:cs="Times New Roman"/>
          <w:color w:val="auto"/>
          <w:highlight w:val="none"/>
        </w:rPr>
        <w:t>水土保持措施布设成果</w:t>
      </w:r>
      <w:bookmarkEnd w:id="63"/>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1.8.1 光伏发电区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（1）光伏阵列区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光伏阵列区施工期对扰动区洒水降尘，施工后期对扰动区域采取土地平整，工程运行期在光伏阵列区</w:t>
      </w:r>
      <w:r>
        <w:rPr>
          <w:rFonts w:hint="eastAsia" w:cs="Times New Roman"/>
          <w:color w:val="auto"/>
          <w:highlight w:val="none"/>
          <w:lang w:eastAsia="zh-CN"/>
        </w:rPr>
        <w:t>外围边界区域</w:t>
      </w:r>
      <w:r>
        <w:rPr>
          <w:rFonts w:hint="default" w:ascii="Times New Roman" w:hAnsi="Times New Roman" w:cs="Times New Roman"/>
          <w:color w:val="auto"/>
          <w:highlight w:val="none"/>
        </w:rPr>
        <w:t>设置钢丝网围栏</w:t>
      </w:r>
      <w:r>
        <w:rPr>
          <w:rFonts w:hint="eastAsia" w:cs="Times New Roman"/>
          <w:color w:val="auto"/>
          <w:highlight w:val="none"/>
          <w:lang w:eastAsia="zh-CN"/>
        </w:rPr>
        <w:t>，起到一定拦挡的</w:t>
      </w:r>
      <w:r>
        <w:rPr>
          <w:rFonts w:hint="eastAsia" w:cs="Times New Roman"/>
          <w:color w:val="auto"/>
          <w:highlight w:val="none"/>
          <w:lang w:val="en-US" w:eastAsia="zh-CN"/>
        </w:rPr>
        <w:t>bian</w:t>
      </w:r>
      <w:r>
        <w:rPr>
          <w:rFonts w:hint="eastAsia" w:cs="Times New Roman"/>
          <w:color w:val="auto"/>
          <w:highlight w:val="none"/>
          <w:lang w:eastAsia="zh-CN"/>
        </w:rPr>
        <w:t>作用</w:t>
      </w:r>
      <w:r>
        <w:rPr>
          <w:rFonts w:hint="default" w:ascii="Times New Roman" w:hAnsi="Times New Roman" w:cs="Times New Roman"/>
          <w:color w:val="auto"/>
          <w:highlight w:val="none"/>
        </w:rPr>
        <w:t>。</w:t>
      </w:r>
    </w:p>
    <w:p>
      <w:pPr>
        <w:pStyle w:val="56"/>
        <w:numPr>
          <w:ilvl w:val="0"/>
          <w:numId w:val="7"/>
        </w:num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工程措施：土地平整</w:t>
      </w:r>
      <w:r>
        <w:rPr>
          <w:rFonts w:hint="eastAsia" w:cs="Times New Roman"/>
          <w:color w:val="auto"/>
          <w:highlight w:val="none"/>
          <w:lang w:val="en-US" w:eastAsia="zh-CN"/>
        </w:rPr>
        <w:t>6.87</w:t>
      </w:r>
      <w:r>
        <w:rPr>
          <w:rFonts w:hint="default" w:ascii="Times New Roman" w:hAnsi="Times New Roman" w:cs="Times New Roman"/>
          <w:color w:val="auto"/>
          <w:highlight w:val="none"/>
        </w:rPr>
        <w:t>hm²（主体已列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p>
    <w:p>
      <w:pPr>
        <w:pStyle w:val="56"/>
        <w:numPr>
          <w:ilvl w:val="0"/>
          <w:numId w:val="7"/>
        </w:numPr>
        <w:ind w:firstLine="480" w:firstLineChars="200"/>
        <w:rPr>
          <w:rFonts w:hint="default" w:ascii="Times New Roman" w:hAnsi="Times New Roman" w:cs="Times New Roman"/>
          <w:color w:val="auto"/>
          <w:highlight w:val="none"/>
        </w:rPr>
      </w:pPr>
      <w:r>
        <w:rPr>
          <w:rFonts w:hint="eastAsia" w:cs="Times New Roman"/>
          <w:color w:val="auto"/>
          <w:highlight w:val="none"/>
          <w:lang w:eastAsia="zh-CN"/>
        </w:rPr>
        <w:t>工程措施：钢丝网围栏</w:t>
      </w:r>
      <w:r>
        <w:rPr>
          <w:rFonts w:hint="eastAsia" w:cs="Times New Roman"/>
          <w:color w:val="auto"/>
          <w:highlight w:val="none"/>
          <w:lang w:val="en-US" w:eastAsia="zh-CN"/>
        </w:rPr>
        <w:t>1274m</w:t>
      </w:r>
      <w:r>
        <w:rPr>
          <w:rFonts w:hint="eastAsia" w:cs="Times New Roman"/>
          <w:color w:val="auto"/>
          <w:highlight w:val="none"/>
          <w:lang w:eastAsia="zh-CN"/>
        </w:rPr>
        <w:t>（方案新增，未实施）；</w:t>
      </w:r>
    </w:p>
    <w:p>
      <w:pPr>
        <w:pStyle w:val="56"/>
        <w:numPr>
          <w:ilvl w:val="0"/>
          <w:numId w:val="7"/>
        </w:num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临时措施：洒水</w:t>
      </w:r>
      <w:r>
        <w:rPr>
          <w:rFonts w:hint="eastAsia" w:cs="Times New Roman"/>
          <w:color w:val="auto"/>
          <w:highlight w:val="none"/>
          <w:lang w:val="en-US" w:eastAsia="zh-CN"/>
        </w:rPr>
        <w:t>2120</w:t>
      </w:r>
      <w:r>
        <w:rPr>
          <w:rFonts w:hint="default" w:ascii="Times New Roman" w:hAnsi="Times New Roman" w:cs="Times New Roman"/>
          <w:color w:val="auto"/>
          <w:highlight w:val="none"/>
          <w:lang w:val="en-US" w:eastAsia="zh-CN"/>
        </w:rPr>
        <w:t>m³（</w:t>
      </w:r>
      <w:r>
        <w:rPr>
          <w:rFonts w:hint="default" w:ascii="Times New Roman" w:hAnsi="Times New Roman" w:cs="Times New Roman"/>
          <w:color w:val="auto"/>
          <w:highlight w:val="none"/>
        </w:rPr>
        <w:t>主体已列</w:t>
      </w:r>
      <w:r>
        <w:rPr>
          <w:rFonts w:hint="eastAsia" w:cs="Times New Roman"/>
          <w:color w:val="auto"/>
          <w:highlight w:val="none"/>
          <w:lang w:eastAsia="zh-CN"/>
        </w:rPr>
        <w:t>，已实施</w:t>
      </w:r>
      <w:r>
        <w:rPr>
          <w:rFonts w:hint="default" w:ascii="Times New Roman" w:hAnsi="Times New Roman" w:cs="Times New Roman"/>
          <w:color w:val="auto"/>
          <w:highlight w:val="none"/>
          <w:lang w:val="en-US" w:eastAsia="zh-CN"/>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（2）集电线路区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集电线路区施工期间对管沟开挖堆土采取苫盖，后期对施工扰动区域采取平整。</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1）工程措施：土地平整</w:t>
      </w:r>
      <w:r>
        <w:rPr>
          <w:rFonts w:hint="eastAsia" w:cs="Times New Roman"/>
          <w:color w:val="auto"/>
          <w:highlight w:val="none"/>
          <w:lang w:val="en-US" w:eastAsia="zh-CN"/>
        </w:rPr>
        <w:t>2.76</w:t>
      </w:r>
      <w:r>
        <w:rPr>
          <w:rFonts w:hint="default" w:ascii="Times New Roman" w:hAnsi="Times New Roman" w:cs="Times New Roman"/>
          <w:color w:val="auto"/>
          <w:highlight w:val="none"/>
        </w:rPr>
        <w:t>hm²（主体已列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p>
    <w:p>
      <w:pPr>
        <w:pStyle w:val="56"/>
        <w:ind w:firstLine="480"/>
        <w:rPr>
          <w:rFonts w:hint="eastAsia"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）临时措施：防尘网苫盖</w:t>
      </w:r>
      <w:r>
        <w:rPr>
          <w:rFonts w:hint="eastAsia" w:cs="Times New Roman"/>
          <w:color w:val="auto"/>
          <w:highlight w:val="none"/>
          <w:lang w:val="en-US" w:eastAsia="zh-CN"/>
        </w:rPr>
        <w:t>3600</w:t>
      </w:r>
      <w:r>
        <w:rPr>
          <w:rFonts w:hint="default" w:ascii="Times New Roman" w:hAnsi="Times New Roman" w:cs="Times New Roman"/>
          <w:color w:val="auto"/>
          <w:highlight w:val="none"/>
        </w:rPr>
        <w:t>m²（主体已列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r>
        <w:rPr>
          <w:rFonts w:hint="eastAsia" w:cs="Times New Roman"/>
          <w:color w:val="auto"/>
          <w:highlight w:val="none"/>
          <w:lang w:eastAsia="zh-CN"/>
        </w:rPr>
        <w:t>。</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1.8.2 道路工程区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（1）进场道路</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进场道路施工期间对扰动碾压区域采取洒水</w:t>
      </w:r>
      <w:r>
        <w:rPr>
          <w:rFonts w:hint="eastAsia" w:cs="Times New Roman"/>
          <w:color w:val="auto"/>
          <w:highlight w:val="none"/>
          <w:lang w:eastAsia="zh-CN"/>
        </w:rPr>
        <w:t>降尘</w:t>
      </w:r>
      <w:r>
        <w:rPr>
          <w:rFonts w:hint="default" w:ascii="Times New Roman" w:hAnsi="Times New Roman" w:cs="Times New Roman"/>
          <w:color w:val="auto"/>
          <w:highlight w:val="none"/>
        </w:rPr>
        <w:t>。</w:t>
      </w:r>
    </w:p>
    <w:p>
      <w:pPr>
        <w:pStyle w:val="56"/>
        <w:numPr>
          <w:ilvl w:val="0"/>
          <w:numId w:val="8"/>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临时措施：洒水</w:t>
      </w:r>
      <w:r>
        <w:rPr>
          <w:rFonts w:hint="eastAsia" w:cs="Times New Roman"/>
          <w:color w:val="auto"/>
          <w:highlight w:val="none"/>
          <w:lang w:val="en-US" w:eastAsia="zh-CN"/>
        </w:rPr>
        <w:t>18</w:t>
      </w:r>
      <w:r>
        <w:rPr>
          <w:rFonts w:hint="default" w:ascii="Times New Roman" w:hAnsi="Times New Roman" w:cs="Times New Roman"/>
          <w:color w:val="auto"/>
          <w:highlight w:val="none"/>
        </w:rPr>
        <w:t>m³（主体已列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r>
        <w:rPr>
          <w:rFonts w:hint="eastAsia" w:cs="Times New Roman"/>
          <w:color w:val="auto"/>
          <w:highlight w:val="none"/>
          <w:lang w:eastAsia="zh-CN"/>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（2）场内道路</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场内道路施工期间对扰动碾压区域采取洒水</w:t>
      </w:r>
      <w:r>
        <w:rPr>
          <w:rFonts w:hint="eastAsia" w:cs="Times New Roman"/>
          <w:color w:val="auto"/>
          <w:highlight w:val="none"/>
          <w:lang w:eastAsia="zh-CN"/>
        </w:rPr>
        <w:t>降尘</w:t>
      </w:r>
      <w:r>
        <w:rPr>
          <w:rFonts w:hint="default" w:ascii="Times New Roman" w:hAnsi="Times New Roman" w:cs="Times New Roman"/>
          <w:color w:val="auto"/>
          <w:highlight w:val="none"/>
        </w:rPr>
        <w:t>。</w:t>
      </w:r>
    </w:p>
    <w:p>
      <w:pPr>
        <w:pStyle w:val="56"/>
        <w:ind w:firstLine="480"/>
        <w:rPr>
          <w:rFonts w:hint="eastAsia" w:ascii="Times New Roman" w:hAnsi="Times New Roman" w:eastAsia="仿宋_GB2312" w:cs="Times New Roman"/>
          <w:color w:val="auto"/>
          <w:highlight w:val="none"/>
          <w:lang w:eastAsia="zh-CN"/>
        </w:rPr>
      </w:pPr>
      <w:r>
        <w:rPr>
          <w:rFonts w:hint="eastAsia" w:cs="Times New Roman"/>
          <w:color w:val="auto"/>
          <w:highlight w:val="none"/>
          <w:lang w:val="en-US" w:eastAsia="zh-CN"/>
        </w:rPr>
        <w:t>1</w:t>
      </w:r>
      <w:r>
        <w:rPr>
          <w:rFonts w:hint="default" w:ascii="Times New Roman" w:hAnsi="Times New Roman" w:cs="Times New Roman"/>
          <w:color w:val="auto"/>
          <w:highlight w:val="none"/>
        </w:rPr>
        <w:t>）临时措施：洒水</w:t>
      </w:r>
      <w:r>
        <w:rPr>
          <w:rFonts w:hint="eastAsia" w:cs="Times New Roman"/>
          <w:color w:val="auto"/>
          <w:highlight w:val="none"/>
          <w:lang w:val="en-US" w:eastAsia="zh-CN"/>
        </w:rPr>
        <w:t>6912</w:t>
      </w:r>
      <w:r>
        <w:rPr>
          <w:rFonts w:hint="default" w:ascii="Times New Roman" w:hAnsi="Times New Roman" w:cs="Times New Roman"/>
          <w:color w:val="auto"/>
          <w:highlight w:val="none"/>
        </w:rPr>
        <w:t>m³（主体已列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r>
        <w:rPr>
          <w:rFonts w:hint="eastAsia" w:cs="Times New Roman"/>
          <w:color w:val="auto"/>
          <w:highlight w:val="none"/>
          <w:lang w:eastAsia="zh-CN"/>
        </w:rPr>
        <w:t>。</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1.8.3 </w:t>
      </w:r>
      <w:r>
        <w:rPr>
          <w:rFonts w:hint="eastAsia" w:cs="Times New Roman"/>
          <w:color w:val="auto"/>
          <w:highlight w:val="none"/>
          <w:lang w:eastAsia="zh-CN"/>
        </w:rPr>
        <w:t>运行管理</w:t>
      </w:r>
      <w:r>
        <w:rPr>
          <w:rFonts w:hint="default" w:ascii="Times New Roman" w:hAnsi="Times New Roman" w:cs="Times New Roman"/>
          <w:color w:val="auto"/>
          <w:highlight w:val="none"/>
        </w:rPr>
        <w:t>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运行管理区施工期间对建构筑物基坑开挖临时堆土采取防尘网苫盖，施工后期对扰动区域采取土地平整。</w:t>
      </w:r>
    </w:p>
    <w:p>
      <w:pPr>
        <w:pStyle w:val="56"/>
        <w:ind w:firstLine="480"/>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1）工程措施：土地平整0.41hm</w:t>
      </w:r>
      <w:r>
        <w:rPr>
          <w:rFonts w:hint="eastAsia" w:cs="Times New Roman"/>
          <w:color w:val="auto"/>
          <w:highlight w:val="none"/>
          <w:vertAlign w:val="superscript"/>
          <w:lang w:val="en-US" w:eastAsia="zh-CN"/>
        </w:rPr>
        <w:t>2</w:t>
      </w:r>
      <w:r>
        <w:rPr>
          <w:rFonts w:hint="default" w:ascii="Times New Roman" w:hAnsi="Times New Roman" w:cs="Times New Roman"/>
          <w:color w:val="auto"/>
          <w:highlight w:val="none"/>
        </w:rPr>
        <w:t>（主体已列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r>
        <w:rPr>
          <w:rFonts w:hint="eastAsia" w:cs="Times New Roman"/>
          <w:color w:val="auto"/>
          <w:highlight w:val="none"/>
          <w:lang w:eastAsia="zh-CN"/>
        </w:rPr>
        <w:t>；</w:t>
      </w:r>
    </w:p>
    <w:p>
      <w:pPr>
        <w:pStyle w:val="56"/>
        <w:keepNext w:val="0"/>
        <w:keepLines w:val="0"/>
        <w:pageBreakBefore w:val="0"/>
        <w:widowControl/>
        <w:numPr>
          <w:ilvl w:val="0"/>
          <w:numId w:val="0"/>
        </w:numPr>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2）</w:t>
      </w:r>
      <w:r>
        <w:rPr>
          <w:rFonts w:hint="default" w:ascii="Times New Roman" w:hAnsi="Times New Roman" w:cs="Times New Roman"/>
          <w:color w:val="auto"/>
          <w:highlight w:val="none"/>
        </w:rPr>
        <w:t>临时措施：</w:t>
      </w:r>
      <w:r>
        <w:rPr>
          <w:rFonts w:hint="eastAsia" w:cs="Times New Roman"/>
          <w:color w:val="auto"/>
          <w:highlight w:val="none"/>
          <w:lang w:eastAsia="zh-CN"/>
        </w:rPr>
        <w:t>防尘网苫盖</w:t>
      </w:r>
      <w:r>
        <w:rPr>
          <w:rFonts w:hint="eastAsia" w:cs="Times New Roman"/>
          <w:color w:val="auto"/>
          <w:highlight w:val="none"/>
          <w:lang w:val="en-US" w:eastAsia="zh-CN"/>
        </w:rPr>
        <w:t>1000m</w:t>
      </w:r>
      <w:r>
        <w:rPr>
          <w:rFonts w:hint="eastAsia" w:cs="Times New Roman"/>
          <w:color w:val="auto"/>
          <w:highlight w:val="none"/>
          <w:vertAlign w:val="superscript"/>
          <w:lang w:val="en-US" w:eastAsia="zh-CN"/>
        </w:rPr>
        <w:t>2</w:t>
      </w:r>
      <w:r>
        <w:rPr>
          <w:rFonts w:hint="default" w:ascii="Times New Roman" w:hAnsi="Times New Roman" w:cs="Times New Roman"/>
          <w:color w:val="auto"/>
          <w:highlight w:val="none"/>
        </w:rPr>
        <w:t>（主体已列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p>
    <w:p>
      <w:pPr>
        <w:pStyle w:val="69"/>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 xml:space="preserve">1.8.4 </w:t>
      </w:r>
      <w:r>
        <w:rPr>
          <w:rFonts w:hint="eastAsia" w:cs="Times New Roman"/>
          <w:color w:val="auto"/>
          <w:highlight w:val="none"/>
          <w:lang w:eastAsia="zh-CN"/>
        </w:rPr>
        <w:t>施工生产生活区</w:t>
      </w:r>
    </w:p>
    <w:p>
      <w:pPr>
        <w:pStyle w:val="56"/>
        <w:ind w:firstLine="480"/>
        <w:rPr>
          <w:rFonts w:hint="default" w:ascii="Times New Roman" w:hAnsi="Times New Roman" w:cs="Times New Roman"/>
          <w:color w:val="auto"/>
          <w:highlight w:val="none"/>
        </w:rPr>
      </w:pPr>
      <w:r>
        <w:rPr>
          <w:rFonts w:hint="eastAsia" w:cs="Times New Roman"/>
          <w:color w:val="auto"/>
          <w:highlight w:val="none"/>
          <w:lang w:eastAsia="zh-CN"/>
        </w:rPr>
        <w:t>施工生产生活区</w:t>
      </w:r>
      <w:r>
        <w:rPr>
          <w:rFonts w:hint="default" w:ascii="Times New Roman" w:hAnsi="Times New Roman" w:cs="Times New Roman"/>
          <w:color w:val="auto"/>
          <w:highlight w:val="none"/>
        </w:rPr>
        <w:t>在施工期间对周边采取彩钢板围栏，施工后期对施工迹地采取土地平整。</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（1）工程措施：土地平整0.</w:t>
      </w:r>
      <w:r>
        <w:rPr>
          <w:rFonts w:hint="eastAsia" w:cs="Times New Roman"/>
          <w:color w:val="auto"/>
          <w:highlight w:val="none"/>
          <w:lang w:val="en-US" w:eastAsia="zh-CN"/>
        </w:rPr>
        <w:t>46</w:t>
      </w:r>
      <w:r>
        <w:rPr>
          <w:rFonts w:hint="default" w:ascii="Times New Roman" w:hAnsi="Times New Roman" w:cs="Times New Roman"/>
          <w:color w:val="auto"/>
          <w:highlight w:val="none"/>
        </w:rPr>
        <w:t>hm²（主体已列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（2）临时措施：</w:t>
      </w:r>
      <w:r>
        <w:rPr>
          <w:rFonts w:hint="eastAsia" w:cs="Times New Roman"/>
          <w:color w:val="auto"/>
          <w:highlight w:val="none"/>
          <w:lang w:eastAsia="zh-CN"/>
        </w:rPr>
        <w:t>彩钢板围栏</w:t>
      </w:r>
      <w:r>
        <w:rPr>
          <w:rFonts w:hint="default" w:ascii="Times New Roman" w:hAnsi="Times New Roman" w:cs="Times New Roman"/>
          <w:color w:val="auto"/>
          <w:highlight w:val="none"/>
        </w:rPr>
        <w:t>200m（主体已列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p>
    <w:p>
      <w:pPr>
        <w:pStyle w:val="66"/>
        <w:ind w:firstLine="148"/>
        <w:rPr>
          <w:rFonts w:hint="default" w:ascii="Times New Roman" w:hAnsi="Times New Roman" w:cs="Times New Roman"/>
          <w:color w:val="auto"/>
          <w:highlight w:val="none"/>
        </w:rPr>
      </w:pPr>
      <w:bookmarkStart w:id="64" w:name="_Toc407014513"/>
      <w:bookmarkStart w:id="65" w:name="_Toc417412297"/>
      <w:bookmarkStart w:id="66" w:name="_Toc23659"/>
      <w:r>
        <w:rPr>
          <w:rFonts w:hint="default" w:ascii="Times New Roman" w:hAnsi="Times New Roman" w:cs="Times New Roman"/>
          <w:color w:val="auto"/>
          <w:highlight w:val="none"/>
        </w:rPr>
        <w:t xml:space="preserve">1.9 </w:t>
      </w:r>
      <w:bookmarkEnd w:id="64"/>
      <w:bookmarkEnd w:id="65"/>
      <w:r>
        <w:rPr>
          <w:rFonts w:hint="default" w:ascii="Times New Roman" w:hAnsi="Times New Roman" w:cs="Times New Roman"/>
          <w:color w:val="auto"/>
          <w:highlight w:val="none"/>
        </w:rPr>
        <w:t>水土保持监测方案</w:t>
      </w:r>
      <w:bookmarkEnd w:id="66"/>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监测的主要内容包括：工程建设扰动土地面积、水土流失量及造成的危害、水土保持工程建设情况、水土流失防治效果以及水土保持管理等方面的情况。监测的重点包括：水土保持方案落实情况，扰动土地及植被破坏情况，水土保持措施（含临时防护措施）的实施状况，水土保持责任制度落实情况等。</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根据《生产建设项目水土保持技术标准》（GB50433-2018）、《生产建设项目水土保持监测与评价标准》（GB∕T 51240-2018）和水利部办公厅关于进一步加强生产建设项目水土保持监测工作的通知（办水保〔2020〕161号）的要求，应对项目建设区各监测点控制区进行一次全面调查，摸清项目建设区域内影响水土流失因子的基本情况和水土流失背景状况，以建立本项目水土保持监测的底数据库。</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降雨和风力等气象资料通过监测范围内或附近类似的气象站、水文站收集，或同级每月降水量、平均风速和风向；日降水量超过25mm或1小时降水量超过8mm的降水应统计降水量和历时，风力大于5m/s应统计风速、风向以及出现的次数或频率。地形地貌整个监测期应监测1次。地表组成物质在施工准备期及试运行期各监测1次。扰动地表情况每月监测1次。施工期间正在使用的临时堆渣场的堆渣量，正在实施的水土保持措施建设情况至少每10天监测1次。</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水土流失类型及形式应在采取综合分析向相关资料的基础上，实地调查确定，每年不少于1次；水土流失面积采用普查法，每季度不少于1次。土壤侵蚀强度在施工准备期前和监测期末各1次，同时施工期每年不应少于1次。风力侵蚀强度监测应每月统计1次。水土流失危害事件发生后1周内应完成监测工作。</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植物措施类型及面积至少每季度监测1次；成活率、保存率以及生长状况宜采用抽样调查的方式在栽植6各月后调查成活率，且每年调查1次保存率以及生长状况；郁闭度与盖度应在每年植被生长最茂盛的季节监测1次。</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措施的数量、分布和运行状况应在查阅工程设计、监理、施工等资料的基础上，结合湿地踏勘监测与全面巡查确定。重点区域应每月监测1次，措施实施情况应每季度统计1次。水土保持措施对主体工程安全建设和运行发挥的作用应以巡查为主，每年汛期前后及大风、暴雨后进行调查。</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本项目水土保持监测时段为20</w:t>
      </w:r>
      <w:r>
        <w:rPr>
          <w:rFonts w:hint="eastAsia" w:cs="Times New Roman"/>
          <w:color w:val="auto"/>
          <w:highlight w:val="none"/>
          <w:lang w:val="en-US" w:eastAsia="zh-CN"/>
        </w:rPr>
        <w:t>12</w:t>
      </w:r>
      <w:r>
        <w:rPr>
          <w:rFonts w:hint="default" w:ascii="Times New Roman" w:hAnsi="Times New Roman" w:cs="Times New Roman"/>
          <w:color w:val="auto"/>
          <w:highlight w:val="none"/>
        </w:rPr>
        <w:t>年</w:t>
      </w:r>
      <w:r>
        <w:rPr>
          <w:rFonts w:hint="eastAsia" w:cs="Times New Roman"/>
          <w:color w:val="auto"/>
          <w:highlight w:val="none"/>
          <w:lang w:val="en-US" w:eastAsia="zh-CN"/>
        </w:rPr>
        <w:t>12</w:t>
      </w:r>
      <w:r>
        <w:rPr>
          <w:rFonts w:hint="default" w:ascii="Times New Roman" w:hAnsi="Times New Roman" w:cs="Times New Roman"/>
          <w:color w:val="auto"/>
          <w:highlight w:val="none"/>
        </w:rPr>
        <w:t>月至20</w:t>
      </w:r>
      <w:r>
        <w:rPr>
          <w:rFonts w:hint="eastAsia" w:cs="Times New Roman"/>
          <w:color w:val="auto"/>
          <w:highlight w:val="none"/>
          <w:lang w:val="en-US" w:eastAsia="zh-CN"/>
        </w:rPr>
        <w:t>13</w:t>
      </w:r>
      <w:r>
        <w:rPr>
          <w:rFonts w:hint="default" w:ascii="Times New Roman" w:hAnsi="Times New Roman" w:cs="Times New Roman"/>
          <w:color w:val="auto"/>
          <w:highlight w:val="none"/>
        </w:rPr>
        <w:t>年12月（设计水平年末），后期运行期间的监测由监测单位自行开展。在监测过程中采用调查监测</w:t>
      </w:r>
      <w:r>
        <w:rPr>
          <w:rFonts w:hint="eastAsia" w:cs="Times New Roman"/>
          <w:color w:val="auto"/>
          <w:highlight w:val="none"/>
          <w:lang w:eastAsia="zh-CN"/>
        </w:rPr>
        <w:t>和</w:t>
      </w:r>
      <w:r>
        <w:rPr>
          <w:rFonts w:hint="default" w:ascii="Times New Roman" w:hAnsi="Times New Roman" w:cs="Times New Roman"/>
          <w:color w:val="auto"/>
          <w:highlight w:val="none"/>
        </w:rPr>
        <w:t>遥感监测相结合的方法进行监测。</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本项目水土保持监测分为</w:t>
      </w:r>
      <w:r>
        <w:rPr>
          <w:rFonts w:hint="default" w:ascii="Times New Roman" w:hAnsi="Times New Roman" w:cs="Times New Roman"/>
          <w:color w:val="auto"/>
          <w:highlight w:val="none"/>
          <w:lang w:eastAsia="zh-CN"/>
        </w:rPr>
        <w:t>光伏发电区、道路工程区、</w:t>
      </w:r>
      <w:r>
        <w:rPr>
          <w:rFonts w:hint="eastAsia" w:cs="Times New Roman"/>
          <w:color w:val="auto"/>
          <w:highlight w:val="none"/>
          <w:lang w:eastAsia="zh-CN"/>
        </w:rPr>
        <w:t>运行管理区</w:t>
      </w:r>
      <w:r>
        <w:rPr>
          <w:rFonts w:hint="default" w:ascii="Times New Roman" w:hAnsi="Times New Roman" w:cs="Times New Roman"/>
          <w:color w:val="auto"/>
          <w:highlight w:val="none"/>
        </w:rPr>
        <w:t>和</w:t>
      </w:r>
      <w:r>
        <w:rPr>
          <w:rFonts w:hint="eastAsia" w:cs="Times New Roman"/>
          <w:color w:val="auto"/>
          <w:highlight w:val="none"/>
          <w:lang w:eastAsia="zh-CN"/>
        </w:rPr>
        <w:t>施工生产生活区</w:t>
      </w:r>
      <w:r>
        <w:rPr>
          <w:rFonts w:hint="default" w:ascii="Times New Roman" w:hAnsi="Times New Roman" w:cs="Times New Roman"/>
          <w:color w:val="auto"/>
          <w:highlight w:val="none"/>
        </w:rPr>
        <w:t>共四个部分。监测点按照一个一级分区以及水土流失预测中重点流失区域分区域分段布设原则，共布设</w:t>
      </w:r>
      <w:r>
        <w:rPr>
          <w:rFonts w:hint="eastAsia" w:cs="Times New Roman"/>
          <w:color w:val="auto"/>
          <w:highlight w:val="none"/>
          <w:lang w:val="en-US" w:eastAsia="zh-CN"/>
        </w:rPr>
        <w:t>4</w:t>
      </w:r>
      <w:r>
        <w:rPr>
          <w:rFonts w:hint="default" w:ascii="Times New Roman" w:hAnsi="Times New Roman" w:cs="Times New Roman"/>
          <w:color w:val="auto"/>
          <w:highlight w:val="none"/>
        </w:rPr>
        <w:t>个调查监测点位。</w:t>
      </w:r>
    </w:p>
    <w:p>
      <w:pPr>
        <w:pStyle w:val="66"/>
        <w:ind w:firstLine="148"/>
        <w:rPr>
          <w:rFonts w:hint="default" w:ascii="Times New Roman" w:hAnsi="Times New Roman" w:cs="Times New Roman"/>
          <w:color w:val="auto"/>
          <w:highlight w:val="none"/>
        </w:rPr>
      </w:pPr>
      <w:bookmarkStart w:id="67" w:name="_Toc417412298"/>
      <w:bookmarkStart w:id="68" w:name="_Toc407014514"/>
      <w:bookmarkStart w:id="69" w:name="_Toc1188"/>
      <w:r>
        <w:rPr>
          <w:rFonts w:hint="default" w:ascii="Times New Roman" w:hAnsi="Times New Roman" w:cs="Times New Roman"/>
          <w:color w:val="auto"/>
          <w:highlight w:val="none"/>
        </w:rPr>
        <w:t xml:space="preserve">1.10 </w:t>
      </w:r>
      <w:bookmarkEnd w:id="67"/>
      <w:bookmarkEnd w:id="68"/>
      <w:r>
        <w:rPr>
          <w:rFonts w:hint="default" w:ascii="Times New Roman" w:hAnsi="Times New Roman" w:cs="Times New Roman"/>
          <w:color w:val="auto"/>
          <w:highlight w:val="none"/>
        </w:rPr>
        <w:t>水土保持投资及效益分析成果</w:t>
      </w:r>
      <w:bookmarkEnd w:id="69"/>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本项目水土保持总投资为</w:t>
      </w:r>
      <w:r>
        <w:rPr>
          <w:rFonts w:hint="eastAsia" w:cs="Times New Roman"/>
          <w:color w:val="auto"/>
          <w:highlight w:val="none"/>
          <w:lang w:val="en-US" w:eastAsia="zh-CN"/>
        </w:rPr>
        <w:t>105.51</w:t>
      </w:r>
      <w:r>
        <w:rPr>
          <w:rFonts w:hint="default" w:ascii="Times New Roman" w:hAnsi="Times New Roman" w:cs="Times New Roman"/>
          <w:color w:val="auto"/>
          <w:highlight w:val="none"/>
        </w:rPr>
        <w:t>万元，主体已列水土保持总投资为</w:t>
      </w:r>
      <w:r>
        <w:rPr>
          <w:rFonts w:hint="eastAsia" w:cs="Times New Roman"/>
          <w:color w:val="auto"/>
          <w:highlight w:val="none"/>
          <w:lang w:val="en-US" w:eastAsia="zh-CN"/>
        </w:rPr>
        <w:t>30.90</w:t>
      </w:r>
      <w:r>
        <w:rPr>
          <w:rFonts w:hint="default" w:ascii="Times New Roman" w:hAnsi="Times New Roman" w:cs="Times New Roman"/>
          <w:color w:val="auto"/>
          <w:highlight w:val="none"/>
        </w:rPr>
        <w:t>万元，新增水土保持总投资为</w:t>
      </w:r>
      <w:r>
        <w:rPr>
          <w:rFonts w:hint="eastAsia" w:cs="Times New Roman"/>
          <w:color w:val="auto"/>
          <w:highlight w:val="none"/>
          <w:lang w:val="en-US" w:eastAsia="zh-CN"/>
        </w:rPr>
        <w:t>74.61</w:t>
      </w:r>
      <w:r>
        <w:rPr>
          <w:rFonts w:hint="default" w:ascii="Times New Roman" w:hAnsi="Times New Roman" w:cs="Times New Roman"/>
          <w:color w:val="auto"/>
          <w:highlight w:val="none"/>
        </w:rPr>
        <w:t>万元。水土保持总投资中工程措施投资</w:t>
      </w:r>
      <w:r>
        <w:rPr>
          <w:rFonts w:hint="eastAsia" w:cs="Times New Roman"/>
          <w:color w:val="auto"/>
          <w:highlight w:val="none"/>
          <w:lang w:val="en-US" w:eastAsia="zh-CN"/>
        </w:rPr>
        <w:t>17.19</w:t>
      </w:r>
      <w:r>
        <w:rPr>
          <w:rFonts w:hint="default" w:ascii="Times New Roman" w:hAnsi="Times New Roman" w:cs="Times New Roman"/>
          <w:color w:val="auto"/>
          <w:highlight w:val="none"/>
        </w:rPr>
        <w:t>万元，临时措施投资</w:t>
      </w:r>
      <w:r>
        <w:rPr>
          <w:rFonts w:hint="eastAsia" w:cs="Times New Roman"/>
          <w:color w:val="auto"/>
          <w:highlight w:val="none"/>
          <w:lang w:val="en-US" w:eastAsia="zh-CN"/>
        </w:rPr>
        <w:t>19.40</w:t>
      </w:r>
      <w:r>
        <w:rPr>
          <w:rFonts w:hint="default" w:ascii="Times New Roman" w:hAnsi="Times New Roman" w:cs="Times New Roman"/>
          <w:color w:val="auto"/>
          <w:highlight w:val="none"/>
        </w:rPr>
        <w:t>万元，独立费用</w:t>
      </w:r>
      <w:r>
        <w:rPr>
          <w:rFonts w:hint="eastAsia" w:cs="Times New Roman"/>
          <w:color w:val="auto"/>
          <w:highlight w:val="none"/>
          <w:lang w:val="en-US" w:eastAsia="zh-CN"/>
        </w:rPr>
        <w:t>50.70</w:t>
      </w:r>
      <w:r>
        <w:rPr>
          <w:rFonts w:hint="default" w:ascii="Times New Roman" w:hAnsi="Times New Roman" w:cs="Times New Roman"/>
          <w:color w:val="auto"/>
          <w:highlight w:val="none"/>
        </w:rPr>
        <w:t>万元（其中监理费5.50万元，监测费</w:t>
      </w:r>
      <w:r>
        <w:rPr>
          <w:rFonts w:hint="eastAsia" w:cs="Times New Roman"/>
          <w:color w:val="auto"/>
          <w:highlight w:val="none"/>
          <w:lang w:val="en-US" w:eastAsia="zh-CN"/>
        </w:rPr>
        <w:t>23.09</w:t>
      </w:r>
      <w:r>
        <w:rPr>
          <w:rFonts w:hint="default" w:ascii="Times New Roman" w:hAnsi="Times New Roman" w:cs="Times New Roman"/>
          <w:color w:val="auto"/>
          <w:highlight w:val="none"/>
        </w:rPr>
        <w:t>万元），基本预备费</w:t>
      </w:r>
      <w:r>
        <w:rPr>
          <w:rFonts w:hint="eastAsia" w:cs="Times New Roman"/>
          <w:color w:val="auto"/>
          <w:highlight w:val="none"/>
          <w:lang w:val="en-US" w:eastAsia="zh-CN"/>
        </w:rPr>
        <w:t>3.38</w:t>
      </w:r>
      <w:r>
        <w:rPr>
          <w:rFonts w:hint="default" w:ascii="Times New Roman" w:hAnsi="Times New Roman" w:cs="Times New Roman"/>
          <w:color w:val="auto"/>
          <w:highlight w:val="none"/>
        </w:rPr>
        <w:t>万元，水土保持补偿费14.</w:t>
      </w:r>
      <w:r>
        <w:rPr>
          <w:rFonts w:hint="eastAsia" w:cs="Times New Roman"/>
          <w:color w:val="auto"/>
          <w:highlight w:val="none"/>
          <w:lang w:val="en-US" w:eastAsia="zh-CN"/>
        </w:rPr>
        <w:t>838</w:t>
      </w:r>
      <w:r>
        <w:rPr>
          <w:rFonts w:hint="default" w:ascii="Times New Roman" w:hAnsi="Times New Roman" w:cs="Times New Roman"/>
          <w:color w:val="auto"/>
          <w:highlight w:val="none"/>
        </w:rPr>
        <w:t>万元。</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通过主体设计的水土保持措施及方案新增水土保持措得到落实后，工程建设区内水土流失可以得到基本治理，其中水土流失治理度达到99.</w:t>
      </w:r>
      <w:r>
        <w:rPr>
          <w:rFonts w:hint="eastAsia" w:cs="Times New Roman"/>
          <w:color w:val="auto"/>
          <w:highlight w:val="none"/>
          <w:lang w:val="en-US" w:eastAsia="zh-CN"/>
        </w:rPr>
        <w:t>0</w:t>
      </w:r>
      <w:r>
        <w:rPr>
          <w:rFonts w:hint="default" w:ascii="Times New Roman" w:hAnsi="Times New Roman" w:cs="Times New Roman"/>
          <w:color w:val="auto"/>
          <w:highlight w:val="none"/>
        </w:rPr>
        <w:t>%，土壤流失控制比达到1.0，渣土防护率达到99.</w:t>
      </w:r>
      <w:r>
        <w:rPr>
          <w:rFonts w:hint="eastAsia" w:cs="Times New Roman"/>
          <w:color w:val="auto"/>
          <w:highlight w:val="none"/>
          <w:lang w:val="en-US" w:eastAsia="zh-CN"/>
        </w:rPr>
        <w:t>0</w:t>
      </w:r>
      <w:r>
        <w:rPr>
          <w:rFonts w:hint="default" w:ascii="Times New Roman" w:hAnsi="Times New Roman" w:cs="Times New Roman"/>
          <w:color w:val="auto"/>
          <w:highlight w:val="none"/>
        </w:rPr>
        <w:t>%。除表土保护率、林草植被恢复率和林草覆盖率不做要求外，其余各项指标均达到目标值。项目建设造成的新增水土流失得到有效控制，水土流失得到治理。</w:t>
      </w:r>
    </w:p>
    <w:p>
      <w:pPr>
        <w:pStyle w:val="66"/>
        <w:ind w:firstLine="148"/>
        <w:rPr>
          <w:rFonts w:hint="default" w:ascii="Times New Roman" w:hAnsi="Times New Roman" w:cs="Times New Roman"/>
          <w:color w:val="auto"/>
          <w:highlight w:val="none"/>
        </w:rPr>
      </w:pPr>
      <w:bookmarkStart w:id="70" w:name="_Toc3913"/>
      <w:r>
        <w:rPr>
          <w:rFonts w:hint="default" w:ascii="Times New Roman" w:hAnsi="Times New Roman" w:cs="Times New Roman"/>
          <w:color w:val="auto"/>
          <w:highlight w:val="none"/>
        </w:rPr>
        <w:t>1.11 结论</w:t>
      </w:r>
      <w:bookmarkEnd w:id="70"/>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从水土保持角度分析，本工程建设符合地区规划，工程选址、布局、占地、取料场、弃渣场、施工组织及施工工艺等方面不存在制约工程建设的不利因素，工程建设将扰动地表造成一定程度的水土流失，但通过水土保持方案各种治理措施的实施，对水土流失的防治及控制能力可以满足防治要求，不存在影响本工程建设的水土保持制约性因素。因此主体工程在做好水土流失防治工作后是可行的。</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议建设单位在后期施工期间加强管理，严格限制施工范围，避免无序施工造成沿线周边地表扰动；建议建设单位在施工期间积极落实主体设计以及方案新增的水土保持措施，加强施工期间土石方堆放的监督管理，减少土石方运输期间的沿途撒漏以尽最大可能减少水土流失；方案批复后，建设单位需尽快</w:t>
      </w:r>
      <w:r>
        <w:rPr>
          <w:rFonts w:hint="eastAsia" w:cs="Times New Roman"/>
          <w:color w:val="auto"/>
          <w:highlight w:val="none"/>
          <w:lang w:eastAsia="zh-CN"/>
        </w:rPr>
        <w:t>补</w:t>
      </w:r>
      <w:r>
        <w:rPr>
          <w:rFonts w:hint="default" w:ascii="Times New Roman" w:hAnsi="Times New Roman" w:cs="Times New Roman"/>
          <w:color w:val="auto"/>
          <w:highlight w:val="none"/>
        </w:rPr>
        <w:t>缴本方案确定的水土保持补偿费。</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议后期监测单位开展监测后，及时对项目进行踏勘，布置监测点，按时提交监测成果资料；建议监理单位注重项目水土保持措施实施质量，以及实施进度，定期完成分部工程验收；建议施工单位施工期间严格控制施工扰动范围，严禁超出扰动范围，在施工期间临时堆土及时防护，同时运输车辆做好苫盖，严禁运输期间沿途撒漏。</w:t>
      </w:r>
    </w:p>
    <w:p>
      <w:pPr>
        <w:pStyle w:val="56"/>
        <w:ind w:firstLine="480"/>
        <w:rPr>
          <w:rFonts w:hint="default" w:ascii="Times New Roman" w:hAnsi="Times New Roman" w:cs="Times New Roman"/>
          <w:color w:val="auto"/>
          <w:highlight w:val="none"/>
        </w:rPr>
      </w:pPr>
    </w:p>
    <w:p>
      <w:pPr>
        <w:ind w:firstLine="36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br w:type="page"/>
      </w:r>
    </w:p>
    <w:p>
      <w:pPr>
        <w:spacing w:line="240" w:lineRule="auto"/>
        <w:ind w:firstLine="0" w:firstLineChars="0"/>
        <w:rPr>
          <w:rFonts w:hint="default" w:ascii="Times New Roman" w:hAnsi="Times New Roman" w:cs="Times New Roman"/>
          <w:color w:val="auto"/>
          <w:sz w:val="18"/>
          <w:szCs w:val="18"/>
          <w:highlight w:val="none"/>
        </w:rPr>
      </w:pP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表1      水土保持方案特性表</w:t>
      </w:r>
    </w:p>
    <w:tbl>
      <w:tblPr>
        <w:tblStyle w:val="27"/>
        <w:tblW w:w="92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78"/>
        <w:gridCol w:w="1141"/>
        <w:gridCol w:w="564"/>
        <w:gridCol w:w="1300"/>
        <w:gridCol w:w="221"/>
        <w:gridCol w:w="819"/>
        <w:gridCol w:w="260"/>
        <w:gridCol w:w="211"/>
        <w:gridCol w:w="165"/>
        <w:gridCol w:w="425"/>
        <w:gridCol w:w="499"/>
        <w:gridCol w:w="58"/>
        <w:gridCol w:w="156"/>
        <w:gridCol w:w="137"/>
        <w:gridCol w:w="284"/>
        <w:gridCol w:w="665"/>
        <w:gridCol w:w="29"/>
        <w:gridCol w:w="444"/>
        <w:gridCol w:w="8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50" w:type="dxa"/>
            <w:gridSpan w:val="2"/>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项目名称</w:t>
            </w:r>
          </w:p>
        </w:tc>
        <w:tc>
          <w:tcPr>
            <w:tcW w:w="4681" w:type="dxa"/>
            <w:gridSpan w:val="8"/>
            <w:vAlign w:val="center"/>
          </w:tcPr>
          <w:p>
            <w:pPr>
              <w:pStyle w:val="84"/>
              <w:rPr>
                <w:rFonts w:hint="eastAsia" w:ascii="Times New Roman" w:hAnsi="Times New Roman" w:eastAsia="仿宋_GB2312" w:cs="Times New Roman"/>
                <w:color w:val="auto"/>
                <w:sz w:val="18"/>
                <w:szCs w:val="18"/>
                <w:highlight w:val="none"/>
                <w:lang w:eastAsia="zh-CN"/>
              </w:rPr>
            </w:pPr>
            <w:r>
              <w:rPr>
                <w:rFonts w:hint="eastAsia" w:cs="Times New Roman"/>
                <w:color w:val="auto"/>
                <w:sz w:val="18"/>
                <w:szCs w:val="18"/>
                <w:highlight w:val="none"/>
                <w:lang w:eastAsia="zh-CN"/>
              </w:rPr>
              <w:t>弗光哈密一期20MWp光伏并网发电项目</w:t>
            </w:r>
          </w:p>
        </w:tc>
        <w:tc>
          <w:tcPr>
            <w:tcW w:w="1559" w:type="dxa"/>
            <w:gridSpan w:val="6"/>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水行政主管部门</w:t>
            </w:r>
          </w:p>
        </w:tc>
        <w:tc>
          <w:tcPr>
            <w:tcW w:w="1965" w:type="dxa"/>
            <w:gridSpan w:val="4"/>
            <w:vAlign w:val="center"/>
          </w:tcPr>
          <w:p>
            <w:pPr>
              <w:pStyle w:val="84"/>
              <w:rPr>
                <w:rFonts w:hint="eastAsia" w:ascii="Times New Roman" w:hAnsi="Times New Roman" w:eastAsia="仿宋_GB2312" w:cs="Times New Roman"/>
                <w:color w:val="auto"/>
                <w:sz w:val="18"/>
                <w:szCs w:val="18"/>
                <w:highlight w:val="none"/>
                <w:lang w:eastAsia="zh-CN"/>
              </w:rPr>
            </w:pPr>
            <w:r>
              <w:rPr>
                <w:rFonts w:hint="eastAsia" w:cs="Times New Roman"/>
                <w:color w:val="auto"/>
                <w:sz w:val="18"/>
                <w:szCs w:val="18"/>
                <w:highlight w:val="none"/>
                <w:lang w:eastAsia="zh-CN"/>
              </w:rPr>
              <w:t>哈密市水利局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50" w:type="dxa"/>
            <w:gridSpan w:val="2"/>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涉及省区</w:t>
            </w:r>
          </w:p>
        </w:tc>
        <w:tc>
          <w:tcPr>
            <w:tcW w:w="1705" w:type="dxa"/>
            <w:gridSpan w:val="2"/>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新疆维吾尔自治区</w:t>
            </w:r>
          </w:p>
        </w:tc>
        <w:tc>
          <w:tcPr>
            <w:tcW w:w="1521" w:type="dxa"/>
            <w:gridSpan w:val="2"/>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涉及地市或个数</w:t>
            </w:r>
          </w:p>
        </w:tc>
        <w:tc>
          <w:tcPr>
            <w:tcW w:w="1455" w:type="dxa"/>
            <w:gridSpan w:val="4"/>
            <w:vAlign w:val="center"/>
          </w:tcPr>
          <w:p>
            <w:pPr>
              <w:pStyle w:val="84"/>
              <w:rPr>
                <w:rFonts w:hint="eastAsia" w:ascii="Times New Roman" w:hAnsi="Times New Roman" w:eastAsia="仿宋_GB2312" w:cs="Times New Roman"/>
                <w:color w:val="auto"/>
                <w:sz w:val="18"/>
                <w:szCs w:val="18"/>
                <w:highlight w:val="none"/>
                <w:lang w:eastAsia="zh-CN"/>
              </w:rPr>
            </w:pPr>
            <w:r>
              <w:rPr>
                <w:rFonts w:hint="eastAsia" w:cs="Times New Roman"/>
                <w:color w:val="auto"/>
                <w:sz w:val="18"/>
                <w:szCs w:val="18"/>
                <w:highlight w:val="none"/>
                <w:lang w:eastAsia="zh-CN"/>
              </w:rPr>
              <w:t>哈密市</w:t>
            </w:r>
          </w:p>
        </w:tc>
        <w:tc>
          <w:tcPr>
            <w:tcW w:w="1275" w:type="dxa"/>
            <w:gridSpan w:val="5"/>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涉及县或个数</w:t>
            </w:r>
          </w:p>
        </w:tc>
        <w:tc>
          <w:tcPr>
            <w:tcW w:w="2249" w:type="dxa"/>
            <w:gridSpan w:val="5"/>
            <w:vAlign w:val="center"/>
          </w:tcPr>
          <w:p>
            <w:pPr>
              <w:pStyle w:val="84"/>
              <w:rPr>
                <w:rFonts w:hint="eastAsia" w:ascii="Times New Roman" w:hAnsi="Times New Roman" w:eastAsia="仿宋_GB2312" w:cs="Times New Roman"/>
                <w:color w:val="auto"/>
                <w:sz w:val="18"/>
                <w:szCs w:val="18"/>
                <w:highlight w:val="none"/>
                <w:lang w:eastAsia="zh-CN"/>
              </w:rPr>
            </w:pPr>
            <w:r>
              <w:rPr>
                <w:rFonts w:hint="eastAsia" w:cs="Times New Roman"/>
                <w:color w:val="auto"/>
                <w:sz w:val="18"/>
                <w:szCs w:val="18"/>
                <w:highlight w:val="none"/>
                <w:lang w:eastAsia="zh-CN"/>
              </w:rPr>
              <w:t>伊州区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50" w:type="dxa"/>
            <w:gridSpan w:val="2"/>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项目规模</w:t>
            </w:r>
          </w:p>
        </w:tc>
        <w:tc>
          <w:tcPr>
            <w:tcW w:w="3226" w:type="dxa"/>
            <w:gridSpan w:val="4"/>
            <w:vAlign w:val="center"/>
          </w:tcPr>
          <w:p>
            <w:pPr>
              <w:pStyle w:val="84"/>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rPr>
              <w:t>本工程装机规模11.76444</w:t>
            </w:r>
            <w:r>
              <w:rPr>
                <w:rFonts w:hint="default" w:ascii="Times New Roman" w:hAnsi="Times New Roman" w:cs="Times New Roman"/>
                <w:color w:val="auto"/>
                <w:sz w:val="18"/>
                <w:szCs w:val="18"/>
                <w:highlight w:val="none"/>
                <w:lang w:eastAsia="zh-CN"/>
              </w:rPr>
              <w:t>MW</w:t>
            </w:r>
            <w:r>
              <w:rPr>
                <w:rFonts w:hint="eastAsia" w:cs="Times New Roman"/>
                <w:color w:val="auto"/>
                <w:sz w:val="18"/>
                <w:szCs w:val="18"/>
                <w:highlight w:val="none"/>
                <w:lang w:val="en-US" w:eastAsia="zh-CN"/>
              </w:rPr>
              <w:t>p</w:t>
            </w:r>
          </w:p>
        </w:tc>
        <w:tc>
          <w:tcPr>
            <w:tcW w:w="1455" w:type="dxa"/>
            <w:gridSpan w:val="4"/>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总投资（万元)</w:t>
            </w:r>
          </w:p>
        </w:tc>
        <w:tc>
          <w:tcPr>
            <w:tcW w:w="1275" w:type="dxa"/>
            <w:gridSpan w:val="5"/>
            <w:vAlign w:val="center"/>
          </w:tcPr>
          <w:p>
            <w:pPr>
              <w:pStyle w:val="84"/>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32472.2</w:t>
            </w:r>
          </w:p>
        </w:tc>
        <w:tc>
          <w:tcPr>
            <w:tcW w:w="1422" w:type="dxa"/>
            <w:gridSpan w:val="4"/>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土建投资(万元)</w:t>
            </w:r>
          </w:p>
        </w:tc>
        <w:tc>
          <w:tcPr>
            <w:tcW w:w="827" w:type="dxa"/>
            <w:vAlign w:val="center"/>
          </w:tcPr>
          <w:p>
            <w:pPr>
              <w:pStyle w:val="84"/>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1995.95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50" w:type="dxa"/>
            <w:gridSpan w:val="2"/>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开工时间</w:t>
            </w:r>
          </w:p>
        </w:tc>
        <w:tc>
          <w:tcPr>
            <w:tcW w:w="1705" w:type="dxa"/>
            <w:gridSpan w:val="2"/>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w:t>
            </w:r>
            <w:r>
              <w:rPr>
                <w:rFonts w:hint="eastAsia" w:cs="Times New Roman"/>
                <w:color w:val="auto"/>
                <w:sz w:val="18"/>
                <w:szCs w:val="18"/>
                <w:highlight w:val="none"/>
                <w:lang w:val="en-US" w:eastAsia="zh-CN"/>
              </w:rPr>
              <w:t>12</w:t>
            </w:r>
            <w:r>
              <w:rPr>
                <w:rFonts w:hint="default" w:ascii="Times New Roman" w:hAnsi="Times New Roman" w:cs="Times New Roman"/>
                <w:color w:val="auto"/>
                <w:sz w:val="18"/>
                <w:szCs w:val="18"/>
                <w:highlight w:val="none"/>
              </w:rPr>
              <w:t>年</w:t>
            </w:r>
            <w:r>
              <w:rPr>
                <w:rFonts w:hint="eastAsia" w:cs="Times New Roman"/>
                <w:color w:val="auto"/>
                <w:sz w:val="18"/>
                <w:szCs w:val="18"/>
                <w:highlight w:val="none"/>
                <w:lang w:val="en-US" w:eastAsia="zh-CN"/>
              </w:rPr>
              <w:t>12</w:t>
            </w:r>
            <w:r>
              <w:rPr>
                <w:rFonts w:hint="default" w:ascii="Times New Roman" w:hAnsi="Times New Roman" w:cs="Times New Roman"/>
                <w:color w:val="auto"/>
                <w:sz w:val="18"/>
                <w:szCs w:val="18"/>
                <w:highlight w:val="none"/>
              </w:rPr>
              <w:t>月</w:t>
            </w:r>
          </w:p>
        </w:tc>
        <w:tc>
          <w:tcPr>
            <w:tcW w:w="1521" w:type="dxa"/>
            <w:gridSpan w:val="2"/>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完工时间</w:t>
            </w:r>
          </w:p>
        </w:tc>
        <w:tc>
          <w:tcPr>
            <w:tcW w:w="1455" w:type="dxa"/>
            <w:gridSpan w:val="4"/>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w:t>
            </w:r>
            <w:r>
              <w:rPr>
                <w:rFonts w:hint="eastAsia" w:cs="Times New Roman"/>
                <w:color w:val="auto"/>
                <w:sz w:val="18"/>
                <w:szCs w:val="18"/>
                <w:highlight w:val="none"/>
                <w:lang w:val="en-US" w:eastAsia="zh-CN"/>
              </w:rPr>
              <w:t>13</w:t>
            </w:r>
            <w:r>
              <w:rPr>
                <w:rFonts w:hint="default" w:ascii="Times New Roman" w:hAnsi="Times New Roman" w:cs="Times New Roman"/>
                <w:color w:val="auto"/>
                <w:sz w:val="18"/>
                <w:szCs w:val="18"/>
                <w:highlight w:val="none"/>
              </w:rPr>
              <w:t>年12月</w:t>
            </w:r>
          </w:p>
        </w:tc>
        <w:tc>
          <w:tcPr>
            <w:tcW w:w="1275" w:type="dxa"/>
            <w:gridSpan w:val="5"/>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设计水平年</w:t>
            </w:r>
          </w:p>
        </w:tc>
        <w:tc>
          <w:tcPr>
            <w:tcW w:w="2249" w:type="dxa"/>
            <w:gridSpan w:val="5"/>
            <w:vAlign w:val="center"/>
          </w:tcPr>
          <w:p>
            <w:pPr>
              <w:pStyle w:val="84"/>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cs="Times New Roman"/>
                <w:color w:val="auto"/>
                <w:sz w:val="18"/>
                <w:szCs w:val="18"/>
                <w:highlight w:val="none"/>
              </w:rPr>
              <w:t>20</w:t>
            </w:r>
            <w:r>
              <w:rPr>
                <w:rFonts w:hint="eastAsia" w:cs="Times New Roman"/>
                <w:color w:val="auto"/>
                <w:sz w:val="18"/>
                <w:szCs w:val="18"/>
                <w:highlight w:val="none"/>
                <w:lang w:val="en-US" w:eastAsia="zh-CN"/>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755" w:type="dxa"/>
            <w:gridSpan w:val="4"/>
            <w:vMerge w:val="restart"/>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土石方量(万m³)</w:t>
            </w:r>
          </w:p>
        </w:tc>
        <w:tc>
          <w:tcPr>
            <w:tcW w:w="1300" w:type="dxa"/>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挖方</w:t>
            </w:r>
          </w:p>
        </w:tc>
        <w:tc>
          <w:tcPr>
            <w:tcW w:w="1300"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填方</w:t>
            </w:r>
          </w:p>
        </w:tc>
        <w:tc>
          <w:tcPr>
            <w:tcW w:w="1300" w:type="dxa"/>
            <w:gridSpan w:val="4"/>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调出</w:t>
            </w:r>
          </w:p>
        </w:tc>
        <w:tc>
          <w:tcPr>
            <w:tcW w:w="1300" w:type="dxa"/>
            <w:gridSpan w:val="5"/>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借方</w:t>
            </w:r>
          </w:p>
        </w:tc>
        <w:tc>
          <w:tcPr>
            <w:tcW w:w="1300"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弃方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755" w:type="dxa"/>
            <w:gridSpan w:val="4"/>
            <w:vMerge w:val="continue"/>
            <w:vAlign w:val="center"/>
          </w:tcPr>
          <w:p>
            <w:pPr>
              <w:pStyle w:val="84"/>
              <w:rPr>
                <w:rFonts w:hint="default" w:ascii="Times New Roman" w:hAnsi="Times New Roman" w:cs="Times New Roman"/>
                <w:color w:val="auto"/>
                <w:sz w:val="18"/>
                <w:szCs w:val="18"/>
                <w:highlight w:val="none"/>
              </w:rPr>
            </w:pPr>
          </w:p>
        </w:tc>
        <w:tc>
          <w:tcPr>
            <w:tcW w:w="1300" w:type="dxa"/>
            <w:vAlign w:val="center"/>
          </w:tcPr>
          <w:p>
            <w:pPr>
              <w:pStyle w:val="84"/>
              <w:rPr>
                <w:rFonts w:hint="default" w:ascii="Times New Roman" w:hAnsi="Times New Roman" w:eastAsia="仿宋_GB2312" w:cs="Times New Roman"/>
                <w:color w:val="auto"/>
                <w:sz w:val="18"/>
                <w:szCs w:val="18"/>
                <w:highlight w:val="none"/>
                <w:lang w:val="en-US" w:eastAsia="zh-CN"/>
              </w:rPr>
            </w:pPr>
            <w:r>
              <w:rPr>
                <w:rFonts w:hint="eastAsia" w:cs="Times New Roman"/>
                <w:color w:val="auto"/>
                <w:sz w:val="18"/>
                <w:szCs w:val="18"/>
                <w:highlight w:val="none"/>
                <w:lang w:val="en-US" w:eastAsia="zh-CN"/>
              </w:rPr>
              <w:t>4.968</w:t>
            </w:r>
          </w:p>
        </w:tc>
        <w:tc>
          <w:tcPr>
            <w:tcW w:w="1300" w:type="dxa"/>
            <w:gridSpan w:val="3"/>
            <w:vAlign w:val="center"/>
          </w:tcPr>
          <w:p>
            <w:pPr>
              <w:pStyle w:val="84"/>
              <w:rPr>
                <w:rFonts w:hint="default" w:ascii="Times New Roman" w:hAnsi="Times New Roman" w:eastAsia="仿宋_GB2312" w:cs="Times New Roman"/>
                <w:color w:val="auto"/>
                <w:sz w:val="18"/>
                <w:szCs w:val="18"/>
                <w:highlight w:val="none"/>
                <w:lang w:val="en-US" w:eastAsia="zh-CN"/>
              </w:rPr>
            </w:pPr>
            <w:r>
              <w:rPr>
                <w:rFonts w:hint="eastAsia" w:cs="Times New Roman"/>
                <w:color w:val="auto"/>
                <w:sz w:val="18"/>
                <w:szCs w:val="18"/>
                <w:highlight w:val="none"/>
                <w:lang w:val="en-US" w:eastAsia="zh-CN"/>
              </w:rPr>
              <w:t>4.968</w:t>
            </w:r>
          </w:p>
        </w:tc>
        <w:tc>
          <w:tcPr>
            <w:tcW w:w="1300" w:type="dxa"/>
            <w:gridSpan w:val="4"/>
            <w:vAlign w:val="center"/>
          </w:tcPr>
          <w:p>
            <w:pPr>
              <w:spacing w:line="240" w:lineRule="auto"/>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300" w:type="dxa"/>
            <w:gridSpan w:val="5"/>
            <w:vAlign w:val="center"/>
          </w:tcPr>
          <w:p>
            <w:pPr>
              <w:spacing w:line="240" w:lineRule="auto"/>
              <w:ind w:firstLine="36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300"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755" w:type="dxa"/>
            <w:gridSpan w:val="4"/>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重点防治区名称</w:t>
            </w:r>
          </w:p>
        </w:tc>
        <w:tc>
          <w:tcPr>
            <w:tcW w:w="6500" w:type="dxa"/>
            <w:gridSpan w:val="16"/>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755" w:type="dxa"/>
            <w:gridSpan w:val="4"/>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地貌类型</w:t>
            </w:r>
          </w:p>
        </w:tc>
        <w:tc>
          <w:tcPr>
            <w:tcW w:w="2340"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冲洪积平原区</w:t>
            </w:r>
          </w:p>
        </w:tc>
        <w:tc>
          <w:tcPr>
            <w:tcW w:w="1911" w:type="dxa"/>
            <w:gridSpan w:val="8"/>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水土保持区划</w:t>
            </w:r>
          </w:p>
        </w:tc>
        <w:tc>
          <w:tcPr>
            <w:tcW w:w="2249" w:type="dxa"/>
            <w:gridSpan w:val="5"/>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北方风沙区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755" w:type="dxa"/>
            <w:gridSpan w:val="4"/>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土壤侵蚀类型</w:t>
            </w:r>
          </w:p>
        </w:tc>
        <w:tc>
          <w:tcPr>
            <w:tcW w:w="2340"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风力侵蚀为主</w:t>
            </w:r>
          </w:p>
        </w:tc>
        <w:tc>
          <w:tcPr>
            <w:tcW w:w="1911" w:type="dxa"/>
            <w:gridSpan w:val="8"/>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土壤侵蚀强度</w:t>
            </w:r>
          </w:p>
        </w:tc>
        <w:tc>
          <w:tcPr>
            <w:tcW w:w="2249" w:type="dxa"/>
            <w:gridSpan w:val="5"/>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轻度风力微度水力侵蚀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755" w:type="dxa"/>
            <w:gridSpan w:val="4"/>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防治责任范围面积(hm²)</w:t>
            </w:r>
          </w:p>
        </w:tc>
        <w:tc>
          <w:tcPr>
            <w:tcW w:w="2340" w:type="dxa"/>
            <w:gridSpan w:val="3"/>
            <w:vAlign w:val="center"/>
          </w:tcPr>
          <w:p>
            <w:pPr>
              <w:pStyle w:val="84"/>
              <w:rPr>
                <w:rFonts w:hint="default" w:ascii="Times New Roman" w:hAnsi="Times New Roman" w:eastAsia="仿宋_GB2312" w:cs="Times New Roman"/>
                <w:color w:val="auto"/>
                <w:sz w:val="18"/>
                <w:szCs w:val="18"/>
                <w:highlight w:val="none"/>
                <w:lang w:val="en-US" w:eastAsia="zh-CN"/>
              </w:rPr>
            </w:pPr>
            <w:r>
              <w:rPr>
                <w:rFonts w:hint="eastAsia" w:cs="Times New Roman"/>
                <w:color w:val="auto"/>
                <w:sz w:val="18"/>
                <w:szCs w:val="18"/>
                <w:highlight w:val="none"/>
                <w:lang w:val="en-US" w:eastAsia="zh-CN"/>
              </w:rPr>
              <w:t>49.46</w:t>
            </w:r>
          </w:p>
        </w:tc>
        <w:tc>
          <w:tcPr>
            <w:tcW w:w="1911" w:type="dxa"/>
            <w:gridSpan w:val="8"/>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容许流失量[t/(km².a)]</w:t>
            </w:r>
          </w:p>
        </w:tc>
        <w:tc>
          <w:tcPr>
            <w:tcW w:w="2249" w:type="dxa"/>
            <w:gridSpan w:val="5"/>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r>
              <w:rPr>
                <w:rFonts w:hint="eastAsia" w:cs="Times New Roman"/>
                <w:color w:val="auto"/>
                <w:sz w:val="18"/>
                <w:szCs w:val="18"/>
                <w:highlight w:val="none"/>
                <w:lang w:val="en-US" w:eastAsia="zh-CN"/>
              </w:rPr>
              <w:t>5</w:t>
            </w:r>
            <w:r>
              <w:rPr>
                <w:rFonts w:hint="default" w:ascii="Times New Roman" w:hAnsi="Times New Roman" w:cs="Times New Roman"/>
                <w:color w:val="auto"/>
                <w:sz w:val="18"/>
                <w:szCs w:val="18"/>
                <w:highlight w:val="none"/>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755" w:type="dxa"/>
            <w:gridSpan w:val="4"/>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土壤流失预测总量(t)</w:t>
            </w:r>
          </w:p>
        </w:tc>
        <w:tc>
          <w:tcPr>
            <w:tcW w:w="2340" w:type="dxa"/>
            <w:gridSpan w:val="3"/>
            <w:vAlign w:val="center"/>
          </w:tcPr>
          <w:p>
            <w:pPr>
              <w:pStyle w:val="84"/>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7760.17</w:t>
            </w:r>
          </w:p>
        </w:tc>
        <w:tc>
          <w:tcPr>
            <w:tcW w:w="1911" w:type="dxa"/>
            <w:gridSpan w:val="8"/>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新增水土流失量(t)</w:t>
            </w:r>
          </w:p>
        </w:tc>
        <w:tc>
          <w:tcPr>
            <w:tcW w:w="2249" w:type="dxa"/>
            <w:gridSpan w:val="5"/>
            <w:vAlign w:val="center"/>
          </w:tcPr>
          <w:p>
            <w:pPr>
              <w:pStyle w:val="84"/>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3291.42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755" w:type="dxa"/>
            <w:gridSpan w:val="4"/>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水土流失防治标准执行等级</w:t>
            </w:r>
          </w:p>
        </w:tc>
        <w:tc>
          <w:tcPr>
            <w:tcW w:w="6500" w:type="dxa"/>
            <w:gridSpan w:val="16"/>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北方风沙区水土流失一级防治标准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72" w:type="dxa"/>
            <w:vMerge w:val="restart"/>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防治</w:t>
            </w:r>
          </w:p>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目标</w:t>
            </w:r>
          </w:p>
        </w:tc>
        <w:tc>
          <w:tcPr>
            <w:tcW w:w="1983"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水土流失总治理度(%)</w:t>
            </w:r>
          </w:p>
        </w:tc>
        <w:tc>
          <w:tcPr>
            <w:tcW w:w="2340"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85</w:t>
            </w:r>
          </w:p>
        </w:tc>
        <w:tc>
          <w:tcPr>
            <w:tcW w:w="1911" w:type="dxa"/>
            <w:gridSpan w:val="8"/>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土壤流失控制比</w:t>
            </w:r>
          </w:p>
        </w:tc>
        <w:tc>
          <w:tcPr>
            <w:tcW w:w="2249" w:type="dxa"/>
            <w:gridSpan w:val="5"/>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72" w:type="dxa"/>
            <w:vMerge w:val="continue"/>
            <w:vAlign w:val="center"/>
          </w:tcPr>
          <w:p>
            <w:pPr>
              <w:pStyle w:val="84"/>
              <w:rPr>
                <w:rFonts w:hint="default" w:ascii="Times New Roman" w:hAnsi="Times New Roman" w:cs="Times New Roman"/>
                <w:color w:val="auto"/>
                <w:sz w:val="18"/>
                <w:szCs w:val="18"/>
                <w:highlight w:val="none"/>
              </w:rPr>
            </w:pPr>
          </w:p>
        </w:tc>
        <w:tc>
          <w:tcPr>
            <w:tcW w:w="1983"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渣土挡护率(%)</w:t>
            </w:r>
          </w:p>
        </w:tc>
        <w:tc>
          <w:tcPr>
            <w:tcW w:w="2340"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87</w:t>
            </w:r>
          </w:p>
        </w:tc>
        <w:tc>
          <w:tcPr>
            <w:tcW w:w="1911" w:type="dxa"/>
            <w:gridSpan w:val="8"/>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表土保护率(%)</w:t>
            </w:r>
          </w:p>
        </w:tc>
        <w:tc>
          <w:tcPr>
            <w:tcW w:w="2249" w:type="dxa"/>
            <w:gridSpan w:val="5"/>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72" w:type="dxa"/>
            <w:vMerge w:val="continue"/>
            <w:vAlign w:val="center"/>
          </w:tcPr>
          <w:p>
            <w:pPr>
              <w:pStyle w:val="84"/>
              <w:rPr>
                <w:rFonts w:hint="default" w:ascii="Times New Roman" w:hAnsi="Times New Roman" w:cs="Times New Roman"/>
                <w:color w:val="auto"/>
                <w:sz w:val="18"/>
                <w:szCs w:val="18"/>
                <w:highlight w:val="none"/>
              </w:rPr>
            </w:pPr>
          </w:p>
        </w:tc>
        <w:tc>
          <w:tcPr>
            <w:tcW w:w="1983"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林草植被恢复率(%)</w:t>
            </w:r>
          </w:p>
        </w:tc>
        <w:tc>
          <w:tcPr>
            <w:tcW w:w="2340"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911" w:type="dxa"/>
            <w:gridSpan w:val="8"/>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林草覆盖率(%)</w:t>
            </w:r>
          </w:p>
        </w:tc>
        <w:tc>
          <w:tcPr>
            <w:tcW w:w="2249" w:type="dxa"/>
            <w:gridSpan w:val="5"/>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72" w:type="dxa"/>
            <w:vMerge w:val="restart"/>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防治措施及工程量</w:t>
            </w:r>
          </w:p>
        </w:tc>
        <w:tc>
          <w:tcPr>
            <w:tcW w:w="3504" w:type="dxa"/>
            <w:gridSpan w:val="5"/>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工程措施</w:t>
            </w:r>
          </w:p>
        </w:tc>
        <w:tc>
          <w:tcPr>
            <w:tcW w:w="1880" w:type="dxa"/>
            <w:gridSpan w:val="5"/>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植物措施</w:t>
            </w:r>
          </w:p>
        </w:tc>
        <w:tc>
          <w:tcPr>
            <w:tcW w:w="3099" w:type="dxa"/>
            <w:gridSpan w:val="9"/>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临时措施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72" w:type="dxa"/>
            <w:vMerge w:val="continue"/>
            <w:vAlign w:val="center"/>
          </w:tcPr>
          <w:p>
            <w:pPr>
              <w:pStyle w:val="84"/>
              <w:rPr>
                <w:rFonts w:hint="default" w:ascii="Times New Roman" w:hAnsi="Times New Roman" w:cs="Times New Roman"/>
                <w:color w:val="auto"/>
                <w:sz w:val="18"/>
                <w:szCs w:val="18"/>
                <w:highlight w:val="none"/>
              </w:rPr>
            </w:pPr>
          </w:p>
        </w:tc>
        <w:tc>
          <w:tcPr>
            <w:tcW w:w="3504" w:type="dxa"/>
            <w:gridSpan w:val="5"/>
            <w:vAlign w:val="center"/>
          </w:tcPr>
          <w:p>
            <w:pPr>
              <w:pStyle w:val="84"/>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cs="Times New Roman"/>
                <w:color w:val="auto"/>
                <w:sz w:val="18"/>
                <w:szCs w:val="18"/>
                <w:highlight w:val="none"/>
              </w:rPr>
              <w:t>土地平整</w:t>
            </w:r>
            <w:r>
              <w:rPr>
                <w:rFonts w:hint="eastAsia" w:cs="Times New Roman"/>
                <w:color w:val="auto"/>
                <w:sz w:val="18"/>
                <w:szCs w:val="18"/>
                <w:highlight w:val="none"/>
                <w:lang w:val="en-US" w:eastAsia="zh-CN"/>
              </w:rPr>
              <w:t>10.04</w:t>
            </w:r>
            <w:r>
              <w:rPr>
                <w:rFonts w:hint="default" w:ascii="Times New Roman" w:hAnsi="Times New Roman" w:cs="Times New Roman"/>
                <w:color w:val="auto"/>
                <w:sz w:val="18"/>
                <w:szCs w:val="18"/>
                <w:highlight w:val="none"/>
              </w:rPr>
              <w:t>hm²、</w:t>
            </w:r>
            <w:r>
              <w:rPr>
                <w:rFonts w:hint="eastAsia" w:cs="Times New Roman"/>
                <w:color w:val="auto"/>
                <w:sz w:val="18"/>
                <w:szCs w:val="18"/>
                <w:highlight w:val="none"/>
                <w:lang w:eastAsia="zh-CN"/>
              </w:rPr>
              <w:t>钢丝网围栏</w:t>
            </w:r>
            <w:r>
              <w:rPr>
                <w:rFonts w:hint="eastAsia" w:cs="Times New Roman"/>
                <w:color w:val="auto"/>
                <w:sz w:val="18"/>
                <w:szCs w:val="18"/>
                <w:highlight w:val="none"/>
                <w:lang w:val="en-US" w:eastAsia="zh-CN"/>
              </w:rPr>
              <w:t>1274m</w:t>
            </w:r>
          </w:p>
        </w:tc>
        <w:tc>
          <w:tcPr>
            <w:tcW w:w="1880" w:type="dxa"/>
            <w:gridSpan w:val="5"/>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3099" w:type="dxa"/>
            <w:gridSpan w:val="9"/>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洒水</w:t>
            </w:r>
            <w:r>
              <w:rPr>
                <w:rFonts w:hint="eastAsia" w:cs="Times New Roman"/>
                <w:color w:val="auto"/>
                <w:sz w:val="18"/>
                <w:szCs w:val="18"/>
                <w:highlight w:val="none"/>
                <w:lang w:val="en-US" w:eastAsia="zh-CN"/>
              </w:rPr>
              <w:t>9050</w:t>
            </w:r>
            <w:r>
              <w:rPr>
                <w:rFonts w:hint="default" w:ascii="Times New Roman" w:hAnsi="Times New Roman" w:cs="Times New Roman"/>
                <w:color w:val="auto"/>
                <w:sz w:val="18"/>
                <w:szCs w:val="18"/>
                <w:highlight w:val="none"/>
              </w:rPr>
              <w:t>m³、防尘网苫盖</w:t>
            </w:r>
            <w:r>
              <w:rPr>
                <w:rFonts w:hint="eastAsia" w:cs="Times New Roman"/>
                <w:color w:val="auto"/>
                <w:sz w:val="18"/>
                <w:szCs w:val="18"/>
                <w:highlight w:val="none"/>
                <w:lang w:val="en-US" w:eastAsia="zh-CN"/>
              </w:rPr>
              <w:t>46</w:t>
            </w:r>
            <w:r>
              <w:rPr>
                <w:rFonts w:hint="default" w:ascii="Times New Roman" w:hAnsi="Times New Roman" w:cs="Times New Roman"/>
                <w:color w:val="auto"/>
                <w:sz w:val="18"/>
                <w:szCs w:val="18"/>
                <w:highlight w:val="none"/>
              </w:rPr>
              <w:t>00m²、彩钢板围栏200m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72" w:type="dxa"/>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投资</w:t>
            </w:r>
          </w:p>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(万元)</w:t>
            </w:r>
          </w:p>
        </w:tc>
        <w:tc>
          <w:tcPr>
            <w:tcW w:w="3504" w:type="dxa"/>
            <w:gridSpan w:val="5"/>
            <w:vAlign w:val="center"/>
          </w:tcPr>
          <w:p>
            <w:pPr>
              <w:pStyle w:val="84"/>
              <w:rPr>
                <w:rFonts w:hint="default" w:ascii="Times New Roman" w:hAnsi="Times New Roman" w:eastAsia="仿宋_GB2312" w:cs="Times New Roman"/>
                <w:color w:val="auto"/>
                <w:sz w:val="18"/>
                <w:szCs w:val="18"/>
                <w:highlight w:val="none"/>
                <w:lang w:val="en-US" w:eastAsia="zh-CN"/>
              </w:rPr>
            </w:pPr>
            <w:r>
              <w:rPr>
                <w:rFonts w:hint="eastAsia" w:cs="Times New Roman"/>
                <w:color w:val="auto"/>
                <w:sz w:val="18"/>
                <w:szCs w:val="18"/>
                <w:highlight w:val="none"/>
                <w:lang w:val="en-US" w:eastAsia="zh-CN"/>
              </w:rPr>
              <w:t>17.19</w:t>
            </w:r>
          </w:p>
        </w:tc>
        <w:tc>
          <w:tcPr>
            <w:tcW w:w="1880" w:type="dxa"/>
            <w:gridSpan w:val="5"/>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0.00</w:t>
            </w:r>
          </w:p>
        </w:tc>
        <w:tc>
          <w:tcPr>
            <w:tcW w:w="3099" w:type="dxa"/>
            <w:gridSpan w:val="9"/>
            <w:vAlign w:val="center"/>
          </w:tcPr>
          <w:p>
            <w:pPr>
              <w:pStyle w:val="84"/>
              <w:rPr>
                <w:rFonts w:hint="default" w:ascii="Times New Roman" w:hAnsi="Times New Roman" w:eastAsia="仿宋_GB2312" w:cs="Times New Roman"/>
                <w:color w:val="auto"/>
                <w:sz w:val="18"/>
                <w:szCs w:val="18"/>
                <w:highlight w:val="none"/>
                <w:lang w:val="en-US" w:eastAsia="zh-CN"/>
              </w:rPr>
            </w:pPr>
            <w:r>
              <w:rPr>
                <w:rFonts w:hint="eastAsia" w:cs="Times New Roman"/>
                <w:color w:val="auto"/>
                <w:sz w:val="18"/>
                <w:szCs w:val="18"/>
                <w:highlight w:val="none"/>
                <w:lang w:val="en-US" w:eastAsia="zh-CN"/>
              </w:rPr>
              <w:t>19.40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191"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水土保持总投资(万元)</w:t>
            </w:r>
          </w:p>
        </w:tc>
        <w:tc>
          <w:tcPr>
            <w:tcW w:w="2904" w:type="dxa"/>
            <w:gridSpan w:val="4"/>
            <w:vAlign w:val="center"/>
          </w:tcPr>
          <w:p>
            <w:pPr>
              <w:pStyle w:val="84"/>
              <w:rPr>
                <w:rFonts w:hint="default" w:ascii="Times New Roman" w:hAnsi="Times New Roman" w:eastAsia="仿宋_GB2312" w:cs="Times New Roman"/>
                <w:color w:val="auto"/>
                <w:sz w:val="18"/>
                <w:szCs w:val="18"/>
                <w:highlight w:val="none"/>
                <w:lang w:val="en-US" w:eastAsia="zh-CN"/>
              </w:rPr>
            </w:pPr>
            <w:r>
              <w:rPr>
                <w:rFonts w:hint="eastAsia" w:cs="Times New Roman"/>
                <w:color w:val="auto"/>
                <w:sz w:val="18"/>
                <w:szCs w:val="18"/>
                <w:highlight w:val="none"/>
                <w:lang w:val="en-US" w:eastAsia="zh-CN"/>
              </w:rPr>
              <w:t>105.51</w:t>
            </w:r>
          </w:p>
        </w:tc>
        <w:tc>
          <w:tcPr>
            <w:tcW w:w="1911" w:type="dxa"/>
            <w:gridSpan w:val="8"/>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独立费用(万元)</w:t>
            </w:r>
          </w:p>
        </w:tc>
        <w:tc>
          <w:tcPr>
            <w:tcW w:w="2249" w:type="dxa"/>
            <w:gridSpan w:val="5"/>
            <w:vAlign w:val="center"/>
          </w:tcPr>
          <w:p>
            <w:pPr>
              <w:pStyle w:val="84"/>
              <w:rPr>
                <w:rFonts w:hint="default" w:ascii="Times New Roman" w:hAnsi="Times New Roman" w:eastAsia="仿宋_GB2312" w:cs="Times New Roman"/>
                <w:color w:val="auto"/>
                <w:sz w:val="18"/>
                <w:szCs w:val="18"/>
                <w:highlight w:val="none"/>
                <w:lang w:val="en-US" w:eastAsia="zh-CN"/>
              </w:rPr>
            </w:pPr>
            <w:r>
              <w:rPr>
                <w:rFonts w:hint="eastAsia" w:cs="Times New Roman"/>
                <w:color w:val="auto"/>
                <w:sz w:val="18"/>
                <w:szCs w:val="18"/>
                <w:highlight w:val="none"/>
                <w:lang w:val="en-US" w:eastAsia="zh-CN"/>
              </w:rPr>
              <w:t>50.70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191"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监理费(万元)</w:t>
            </w:r>
          </w:p>
        </w:tc>
        <w:tc>
          <w:tcPr>
            <w:tcW w:w="2085"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5.50</w:t>
            </w:r>
          </w:p>
        </w:tc>
        <w:tc>
          <w:tcPr>
            <w:tcW w:w="1290"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监测费(万元)</w:t>
            </w:r>
          </w:p>
        </w:tc>
        <w:tc>
          <w:tcPr>
            <w:tcW w:w="1147" w:type="dxa"/>
            <w:gridSpan w:val="4"/>
            <w:vAlign w:val="center"/>
          </w:tcPr>
          <w:p>
            <w:pPr>
              <w:pStyle w:val="84"/>
              <w:rPr>
                <w:rFonts w:hint="default" w:ascii="Times New Roman" w:hAnsi="Times New Roman" w:eastAsia="仿宋_GB2312" w:cs="Times New Roman"/>
                <w:color w:val="auto"/>
                <w:sz w:val="18"/>
                <w:szCs w:val="18"/>
                <w:highlight w:val="none"/>
                <w:lang w:val="en-US" w:eastAsia="zh-CN"/>
              </w:rPr>
            </w:pPr>
            <w:r>
              <w:rPr>
                <w:rFonts w:hint="eastAsia" w:cs="Times New Roman"/>
                <w:color w:val="auto"/>
                <w:sz w:val="18"/>
                <w:szCs w:val="18"/>
                <w:highlight w:val="none"/>
                <w:lang w:val="en-US" w:eastAsia="zh-CN"/>
              </w:rPr>
              <w:t>23.09</w:t>
            </w:r>
          </w:p>
        </w:tc>
        <w:tc>
          <w:tcPr>
            <w:tcW w:w="1271" w:type="dxa"/>
            <w:gridSpan w:val="5"/>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补偿费(万元)</w:t>
            </w:r>
          </w:p>
        </w:tc>
        <w:tc>
          <w:tcPr>
            <w:tcW w:w="1271" w:type="dxa"/>
            <w:gridSpan w:val="2"/>
            <w:vAlign w:val="center"/>
          </w:tcPr>
          <w:p>
            <w:pPr>
              <w:pStyle w:val="84"/>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cs="Times New Roman"/>
                <w:color w:val="auto"/>
                <w:sz w:val="18"/>
                <w:szCs w:val="18"/>
                <w:highlight w:val="none"/>
              </w:rPr>
              <w:t>14.</w:t>
            </w:r>
            <w:r>
              <w:rPr>
                <w:rFonts w:hint="eastAsia" w:cs="Times New Roman"/>
                <w:color w:val="auto"/>
                <w:sz w:val="18"/>
                <w:szCs w:val="18"/>
                <w:highlight w:val="none"/>
                <w:lang w:val="en-US" w:eastAsia="zh-CN"/>
              </w:rPr>
              <w:t>838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191"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分省措施费（万元）</w:t>
            </w:r>
          </w:p>
        </w:tc>
        <w:tc>
          <w:tcPr>
            <w:tcW w:w="2904" w:type="dxa"/>
            <w:gridSpan w:val="4"/>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774" w:type="dxa"/>
            <w:gridSpan w:val="7"/>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分省补偿费（万元）</w:t>
            </w:r>
          </w:p>
        </w:tc>
        <w:tc>
          <w:tcPr>
            <w:tcW w:w="2386" w:type="dxa"/>
            <w:gridSpan w:val="6"/>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191"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方案编制单位</w:t>
            </w:r>
          </w:p>
        </w:tc>
        <w:tc>
          <w:tcPr>
            <w:tcW w:w="2904" w:type="dxa"/>
            <w:gridSpan w:val="4"/>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新疆万汇工程项目管理有限公司</w:t>
            </w:r>
          </w:p>
        </w:tc>
        <w:tc>
          <w:tcPr>
            <w:tcW w:w="1774" w:type="dxa"/>
            <w:gridSpan w:val="7"/>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建设单位</w:t>
            </w:r>
          </w:p>
        </w:tc>
        <w:tc>
          <w:tcPr>
            <w:tcW w:w="2386" w:type="dxa"/>
            <w:gridSpan w:val="6"/>
            <w:vAlign w:val="center"/>
          </w:tcPr>
          <w:p>
            <w:pPr>
              <w:pStyle w:val="84"/>
              <w:rPr>
                <w:rFonts w:hint="default" w:ascii="Times New Roman" w:hAnsi="Times New Roman" w:eastAsia="仿宋_GB2312" w:cs="Times New Roman"/>
                <w:color w:val="auto"/>
                <w:sz w:val="18"/>
                <w:szCs w:val="18"/>
                <w:highlight w:val="none"/>
                <w:lang w:eastAsia="zh-CN"/>
              </w:rPr>
            </w:pPr>
            <w:r>
              <w:rPr>
                <w:rFonts w:hint="eastAsia" w:cs="Times New Roman"/>
                <w:color w:val="auto"/>
                <w:sz w:val="18"/>
                <w:szCs w:val="18"/>
                <w:highlight w:val="none"/>
                <w:lang w:eastAsia="zh-CN"/>
              </w:rPr>
              <w:t>哈密弗光太阳能有限公司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191"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法定代表人</w:t>
            </w:r>
          </w:p>
        </w:tc>
        <w:tc>
          <w:tcPr>
            <w:tcW w:w="2904" w:type="dxa"/>
            <w:gridSpan w:val="4"/>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顾会刚；13999262838</w:t>
            </w:r>
          </w:p>
        </w:tc>
        <w:tc>
          <w:tcPr>
            <w:tcW w:w="1774" w:type="dxa"/>
            <w:gridSpan w:val="7"/>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法定代表人</w:t>
            </w:r>
          </w:p>
        </w:tc>
        <w:tc>
          <w:tcPr>
            <w:tcW w:w="2386" w:type="dxa"/>
            <w:gridSpan w:val="6"/>
            <w:vAlign w:val="center"/>
          </w:tcPr>
          <w:p>
            <w:pPr>
              <w:pStyle w:val="84"/>
              <w:rPr>
                <w:rFonts w:hint="eastAsia" w:ascii="Times New Roman" w:hAnsi="Times New Roman" w:eastAsia="仿宋_GB2312" w:cs="Times New Roman"/>
                <w:color w:val="auto"/>
                <w:sz w:val="18"/>
                <w:szCs w:val="18"/>
                <w:highlight w:val="none"/>
                <w:lang w:val="en-US" w:eastAsia="zh-CN"/>
              </w:rPr>
            </w:pPr>
            <w:r>
              <w:rPr>
                <w:rFonts w:hint="eastAsia" w:cs="Times New Roman"/>
                <w:color w:val="auto"/>
                <w:sz w:val="18"/>
                <w:szCs w:val="18"/>
                <w:highlight w:val="none"/>
                <w:lang w:val="en-US" w:eastAsia="zh-CN"/>
              </w:rPr>
              <w:t>王淑华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191"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地址</w:t>
            </w:r>
          </w:p>
        </w:tc>
        <w:tc>
          <w:tcPr>
            <w:tcW w:w="2904" w:type="dxa"/>
            <w:gridSpan w:val="4"/>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新疆乌鲁木齐经济技术开发区（头屯河区）凤凰山街353号亚欧贸易中心2号商务综合楼1910室</w:t>
            </w:r>
          </w:p>
        </w:tc>
        <w:tc>
          <w:tcPr>
            <w:tcW w:w="1774" w:type="dxa"/>
            <w:gridSpan w:val="7"/>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地址</w:t>
            </w:r>
          </w:p>
        </w:tc>
        <w:tc>
          <w:tcPr>
            <w:tcW w:w="2386" w:type="dxa"/>
            <w:gridSpan w:val="6"/>
            <w:vAlign w:val="center"/>
          </w:tcPr>
          <w:p>
            <w:pPr>
              <w:pStyle w:val="23"/>
              <w:keepNext w:val="0"/>
              <w:keepLines w:val="0"/>
              <w:widowControl/>
              <w:suppressLineNumbers w:val="0"/>
              <w:spacing w:beforeAutospacing="1" w:afterAutospacing="1"/>
              <w:ind w:left="0" w:leftChars="0" w:firstLine="0" w:firstLineChars="0"/>
              <w:rPr>
                <w:rFonts w:hint="eastAsia" w:ascii="Times New Roman" w:hAnsi="Times New Roman" w:eastAsia="仿宋_GB2312" w:cs="Times New Roman"/>
                <w:color w:val="auto"/>
                <w:spacing w:val="-2"/>
                <w:kern w:val="0"/>
                <w:sz w:val="18"/>
                <w:szCs w:val="18"/>
                <w:highlight w:val="none"/>
                <w:lang w:val="en-US" w:eastAsia="zh-CN" w:bidi="ar-SA"/>
              </w:rPr>
            </w:pPr>
            <w:r>
              <w:rPr>
                <w:rFonts w:hint="eastAsia" w:ascii="Times New Roman" w:hAnsi="Times New Roman" w:eastAsia="仿宋_GB2312" w:cs="Times New Roman"/>
                <w:color w:val="auto"/>
                <w:spacing w:val="-2"/>
                <w:kern w:val="0"/>
                <w:sz w:val="18"/>
                <w:szCs w:val="18"/>
                <w:highlight w:val="none"/>
                <w:lang w:val="en-US" w:eastAsia="zh-CN" w:bidi="ar-SA"/>
              </w:rPr>
              <w:t>新疆哈密市伊州区高新技术产业开发区石城子光伏园区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191"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邮编</w:t>
            </w:r>
          </w:p>
        </w:tc>
        <w:tc>
          <w:tcPr>
            <w:tcW w:w="2904" w:type="dxa"/>
            <w:gridSpan w:val="4"/>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83000</w:t>
            </w:r>
          </w:p>
        </w:tc>
        <w:tc>
          <w:tcPr>
            <w:tcW w:w="1774" w:type="dxa"/>
            <w:gridSpan w:val="7"/>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邮编</w:t>
            </w:r>
          </w:p>
        </w:tc>
        <w:tc>
          <w:tcPr>
            <w:tcW w:w="2386" w:type="dxa"/>
            <w:gridSpan w:val="6"/>
            <w:vAlign w:val="center"/>
          </w:tcPr>
          <w:p>
            <w:pPr>
              <w:pStyle w:val="84"/>
              <w:rPr>
                <w:rFonts w:hint="default" w:ascii="Times New Roman" w:hAnsi="Times New Roman" w:eastAsia="仿宋_GB2312" w:cs="Times New Roman"/>
                <w:color w:val="auto"/>
                <w:sz w:val="18"/>
                <w:szCs w:val="18"/>
                <w:highlight w:val="none"/>
                <w:lang w:val="en-US" w:eastAsia="zh-CN"/>
              </w:rPr>
            </w:pPr>
            <w:r>
              <w:rPr>
                <w:rFonts w:hint="eastAsia" w:cs="Times New Roman"/>
                <w:color w:val="auto"/>
                <w:sz w:val="18"/>
                <w:szCs w:val="18"/>
                <w:highlight w:val="none"/>
                <w:lang w:val="en-US" w:eastAsia="zh-CN"/>
              </w:rPr>
              <w:t>839000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191"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联系人及电话</w:t>
            </w:r>
          </w:p>
        </w:tc>
        <w:tc>
          <w:tcPr>
            <w:tcW w:w="2904" w:type="dxa"/>
            <w:gridSpan w:val="4"/>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张豫珠 13079964816</w:t>
            </w:r>
          </w:p>
        </w:tc>
        <w:tc>
          <w:tcPr>
            <w:tcW w:w="1774" w:type="dxa"/>
            <w:gridSpan w:val="7"/>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联系人及电话</w:t>
            </w:r>
          </w:p>
        </w:tc>
        <w:tc>
          <w:tcPr>
            <w:tcW w:w="2386" w:type="dxa"/>
            <w:gridSpan w:val="6"/>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段梦琪15299783958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191"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传真</w:t>
            </w:r>
          </w:p>
        </w:tc>
        <w:tc>
          <w:tcPr>
            <w:tcW w:w="2904" w:type="dxa"/>
            <w:gridSpan w:val="4"/>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774" w:type="dxa"/>
            <w:gridSpan w:val="7"/>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传真</w:t>
            </w:r>
          </w:p>
        </w:tc>
        <w:tc>
          <w:tcPr>
            <w:tcW w:w="2386" w:type="dxa"/>
            <w:gridSpan w:val="6"/>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0902-6989338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191" w:type="dxa"/>
            <w:gridSpan w:val="3"/>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电子信箱</w:t>
            </w:r>
          </w:p>
        </w:tc>
        <w:tc>
          <w:tcPr>
            <w:tcW w:w="2904" w:type="dxa"/>
            <w:gridSpan w:val="4"/>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1320710278@qq.com</w:t>
            </w:r>
          </w:p>
        </w:tc>
        <w:tc>
          <w:tcPr>
            <w:tcW w:w="1774" w:type="dxa"/>
            <w:gridSpan w:val="7"/>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电子信箱</w:t>
            </w:r>
          </w:p>
        </w:tc>
        <w:tc>
          <w:tcPr>
            <w:tcW w:w="2386" w:type="dxa"/>
            <w:gridSpan w:val="6"/>
            <w:vAlign w:val="center"/>
          </w:tcPr>
          <w:p>
            <w:pPr>
              <w:pStyle w:val="8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398955341@qq.com</w:t>
            </w:r>
          </w:p>
        </w:tc>
      </w:tr>
    </w:tbl>
    <w:p>
      <w:pPr>
        <w:spacing w:line="240" w:lineRule="auto"/>
        <w:ind w:firstLine="0" w:firstLineChars="0"/>
        <w:rPr>
          <w:rFonts w:hint="default" w:ascii="Times New Roman" w:hAnsi="Times New Roman" w:cs="Times New Roman"/>
          <w:color w:val="auto"/>
          <w:sz w:val="18"/>
          <w:szCs w:val="18"/>
          <w:highlight w:val="none"/>
        </w:rPr>
      </w:pPr>
    </w:p>
    <w:p>
      <w:pPr>
        <w:spacing w:line="240" w:lineRule="auto"/>
        <w:ind w:firstLine="0" w:firstLineChars="0"/>
        <w:rPr>
          <w:rFonts w:hint="default" w:ascii="Times New Roman" w:hAnsi="Times New Roman" w:cs="Times New Roman"/>
          <w:color w:val="auto"/>
          <w:sz w:val="18"/>
          <w:szCs w:val="18"/>
          <w:highlight w:val="none"/>
        </w:rPr>
      </w:pPr>
    </w:p>
    <w:p>
      <w:pPr>
        <w:spacing w:line="240" w:lineRule="auto"/>
        <w:ind w:firstLine="0" w:firstLineChars="0"/>
        <w:rPr>
          <w:rFonts w:hint="default" w:ascii="Times New Roman" w:hAnsi="Times New Roman" w:cs="Times New Roman"/>
          <w:color w:val="auto"/>
          <w:sz w:val="18"/>
          <w:szCs w:val="18"/>
          <w:highlight w:val="none"/>
        </w:rPr>
        <w:sectPr>
          <w:pgSz w:w="11906" w:h="16838"/>
          <w:pgMar w:top="1440" w:right="1531" w:bottom="1440" w:left="1417" w:header="851" w:footer="992" w:gutter="0"/>
          <w:pgBorders>
            <w:top w:val="none" w:sz="0" w:space="0"/>
            <w:left w:val="none" w:sz="0" w:space="0"/>
            <w:bottom w:val="none" w:sz="0" w:space="0"/>
            <w:right w:val="none" w:sz="0" w:space="0"/>
          </w:pgBorders>
          <w:pgNumType w:start="1" w:chapStyle="1"/>
          <w:cols w:space="720" w:num="1"/>
          <w:docGrid w:linePitch="312" w:charSpace="0"/>
        </w:sectPr>
      </w:pPr>
    </w:p>
    <w:bookmarkEnd w:id="1"/>
    <w:p>
      <w:pPr>
        <w:pStyle w:val="65"/>
        <w:rPr>
          <w:rFonts w:hint="default" w:ascii="Times New Roman" w:hAnsi="Times New Roman" w:cs="Times New Roman"/>
          <w:color w:val="auto"/>
          <w:highlight w:val="none"/>
        </w:rPr>
      </w:pPr>
      <w:bookmarkStart w:id="71" w:name="_Toc8222"/>
      <w:r>
        <w:rPr>
          <w:rFonts w:hint="default" w:ascii="Times New Roman" w:hAnsi="Times New Roman" w:cs="Times New Roman"/>
          <w:color w:val="auto"/>
          <w:highlight w:val="none"/>
        </w:rPr>
        <w:t>2 项目概况</w:t>
      </w:r>
      <w:bookmarkEnd w:id="71"/>
    </w:p>
    <w:p>
      <w:pPr>
        <w:pStyle w:val="66"/>
        <w:ind w:firstLine="148"/>
        <w:rPr>
          <w:rFonts w:hint="default" w:ascii="Times New Roman" w:hAnsi="Times New Roman" w:cs="Times New Roman"/>
          <w:color w:val="auto"/>
          <w:highlight w:val="none"/>
        </w:rPr>
      </w:pPr>
      <w:bookmarkStart w:id="72" w:name="_Toc27459"/>
      <w:r>
        <w:rPr>
          <w:rFonts w:hint="default" w:ascii="Times New Roman" w:hAnsi="Times New Roman" w:cs="Times New Roman"/>
          <w:color w:val="auto"/>
          <w:highlight w:val="none"/>
        </w:rPr>
        <w:t>2.1项目组成及工程布置</w:t>
      </w:r>
      <w:bookmarkEnd w:id="72"/>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2.1.1 项目基本情况</w:t>
      </w:r>
    </w:p>
    <w:p>
      <w:pPr>
        <w:pStyle w:val="56"/>
        <w:ind w:firstLine="480"/>
        <w:rPr>
          <w:rFonts w:hint="eastAsia"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（1）项目名称：</w:t>
      </w:r>
      <w:r>
        <w:rPr>
          <w:rFonts w:hint="eastAsia" w:cs="Times New Roman"/>
          <w:color w:val="auto"/>
          <w:highlight w:val="none"/>
          <w:lang w:eastAsia="zh-CN"/>
        </w:rPr>
        <w:t>弗光哈密一期20MWp光伏并网发电项目</w:t>
      </w:r>
    </w:p>
    <w:p>
      <w:pPr>
        <w:pStyle w:val="56"/>
        <w:ind w:firstLine="480"/>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（2）项目建设单</w:t>
      </w:r>
      <w:bookmarkStart w:id="73" w:name="_Hlk506239108"/>
      <w:r>
        <w:rPr>
          <w:rFonts w:hint="default" w:ascii="Times New Roman" w:hAnsi="Times New Roman" w:cs="Times New Roman"/>
          <w:color w:val="auto"/>
          <w:highlight w:val="none"/>
        </w:rPr>
        <w:t>位：</w:t>
      </w:r>
      <w:bookmarkEnd w:id="73"/>
      <w:r>
        <w:rPr>
          <w:rFonts w:hint="default" w:ascii="Times New Roman" w:hAnsi="Times New Roman" w:cs="Times New Roman"/>
          <w:color w:val="auto"/>
          <w:highlight w:val="none"/>
        </w:rPr>
        <w:t>哈密弗光太阳能有限公司</w:t>
      </w:r>
    </w:p>
    <w:p>
      <w:pPr>
        <w:pStyle w:val="56"/>
        <w:ind w:firstLine="480"/>
        <w:rPr>
          <w:rFonts w:hint="default" w:ascii="Times New Roman" w:hAnsi="Times New Roman" w:cs="Times New Roman"/>
          <w:color w:val="auto"/>
          <w:highlight w:val="none"/>
        </w:rPr>
      </w:pPr>
      <w:r>
        <w:rPr>
          <w:sz w:val="24"/>
        </w:rPr>
        <mc:AlternateContent>
          <mc:Choice Requires="wps">
            <w:drawing>
              <wp:anchor distT="0" distB="0" distL="114300" distR="114300" simplePos="0" relativeHeight="253091840" behindDoc="0" locked="0" layoutInCell="1" allowOverlap="1">
                <wp:simplePos x="0" y="0"/>
                <wp:positionH relativeFrom="column">
                  <wp:posOffset>2470785</wp:posOffset>
                </wp:positionH>
                <wp:positionV relativeFrom="paragraph">
                  <wp:posOffset>1478280</wp:posOffset>
                </wp:positionV>
                <wp:extent cx="627380" cy="294640"/>
                <wp:effectExtent l="0" t="0" r="0" b="0"/>
                <wp:wrapNone/>
                <wp:docPr id="26" name="文本框 26"/>
                <wp:cNvGraphicFramePr/>
                <a:graphic xmlns:a="http://schemas.openxmlformats.org/drawingml/2006/main">
                  <a:graphicData uri="http://schemas.microsoft.com/office/word/2010/wordprocessingShape">
                    <wps:wsp>
                      <wps:cNvSpPr txBox="1"/>
                      <wps:spPr>
                        <a:xfrm>
                          <a:off x="3565525" y="4116070"/>
                          <a:ext cx="62738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b/>
                                <w:bCs/>
                                <w:color w:val="auto"/>
                                <w:sz w:val="21"/>
                                <w:szCs w:val="21"/>
                                <w:lang w:eastAsia="zh-CN"/>
                              </w:rPr>
                            </w:pPr>
                            <w:r>
                              <w:rPr>
                                <w:rFonts w:hint="eastAsia"/>
                                <w:b/>
                                <w:bCs/>
                                <w:color w:val="auto"/>
                                <w:sz w:val="21"/>
                                <w:szCs w:val="21"/>
                                <w:lang w:eastAsia="zh-CN"/>
                              </w:rPr>
                              <w:t>项目区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55pt;margin-top:116.4pt;height:23.2pt;width:49.4pt;z-index:253091840;mso-width-relative:page;mso-height-relative:page;" filled="f" stroked="f" coordsize="21600,21600" o:gfxdata="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LPNELcAAAACwEAAA8AAAAA&#10;AAAAAQAgAAAAIgAAAGRycy9kb3ducmV2LnhtbFBLAQIUABQAAAAIAIdO4kAsSzK6SQIAAHMEAAAO&#10;AAAAAAAAAAEAIAAAACsBAABkcnMvZTJvRG9jLnhtbFBLBQYAAAAABgAGAFkBAADmBQAAAAA=&#10;">
                <v:fill on="f" focussize="0,0"/>
                <v:stroke on="f" weight="0.5pt"/>
                <v:imagedata o:title=""/>
                <o:lock v:ext="edit" aspectratio="f"/>
                <v:textbox>
                  <w:txbxContent>
                    <w:p>
                      <w:pPr>
                        <w:ind w:left="0" w:leftChars="0" w:firstLine="0" w:firstLineChars="0"/>
                        <w:rPr>
                          <w:rFonts w:hint="eastAsia" w:eastAsia="宋体"/>
                          <w:b/>
                          <w:bCs/>
                          <w:color w:val="auto"/>
                          <w:sz w:val="21"/>
                          <w:szCs w:val="21"/>
                          <w:lang w:eastAsia="zh-CN"/>
                        </w:rPr>
                      </w:pPr>
                      <w:r>
                        <w:rPr>
                          <w:rFonts w:hint="eastAsia"/>
                          <w:b/>
                          <w:bCs/>
                          <w:color w:val="auto"/>
                          <w:sz w:val="21"/>
                          <w:szCs w:val="21"/>
                          <w:lang w:eastAsia="zh-CN"/>
                        </w:rPr>
                        <w:t>项目区</w:t>
                      </w:r>
                    </w:p>
                  </w:txbxContent>
                </v:textbox>
              </v:shape>
            </w:pict>
          </mc:Fallback>
        </mc:AlternateContent>
      </w:r>
      <w:r>
        <w:rPr>
          <w:rFonts w:hint="default" w:ascii="Times New Roman" w:hAnsi="Times New Roman" w:cs="Times New Roman"/>
          <w:color w:val="auto"/>
          <w:highlight w:val="none"/>
        </w:rPr>
        <w:t>（3）项目地理位置：</w:t>
      </w:r>
      <w:r>
        <w:rPr>
          <w:rFonts w:hint="eastAsia" w:cs="Times New Roman"/>
          <w:color w:val="auto"/>
          <w:highlight w:val="none"/>
          <w:lang w:eastAsia="zh-CN"/>
        </w:rPr>
        <w:t>弗光哈密一期20MWp光伏并网发电项目</w:t>
      </w:r>
      <w:r>
        <w:rPr>
          <w:rFonts w:hint="default" w:ascii="Times New Roman" w:hAnsi="Times New Roman" w:cs="Times New Roman"/>
          <w:color w:val="auto"/>
          <w:highlight w:val="none"/>
        </w:rPr>
        <w:t>位于新疆</w:t>
      </w:r>
      <w:r>
        <w:rPr>
          <w:rFonts w:hint="eastAsia" w:cs="Times New Roman"/>
          <w:color w:val="auto"/>
          <w:highlight w:val="none"/>
          <w:lang w:eastAsia="zh-CN"/>
        </w:rPr>
        <w:t>维吾尔自治区</w:t>
      </w:r>
      <w:r>
        <w:rPr>
          <w:rFonts w:hint="default" w:ascii="Times New Roman" w:hAnsi="Times New Roman" w:cs="Times New Roman"/>
          <w:color w:val="auto"/>
          <w:highlight w:val="none"/>
        </w:rPr>
        <w:t>哈密市北部的石城子光伏园区，距离</w:t>
      </w:r>
      <w:r>
        <w:rPr>
          <w:rFonts w:hint="default" w:ascii="Times New Roman" w:hAnsi="Times New Roman" w:cs="Times New Roman"/>
          <w:color w:val="auto"/>
          <w:highlight w:val="none"/>
          <w:lang w:eastAsia="zh-CN"/>
        </w:rPr>
        <w:t>哈密市中心约</w:t>
      </w:r>
      <w:r>
        <w:rPr>
          <w:rFonts w:hint="default" w:ascii="Times New Roman" w:hAnsi="Times New Roman" w:cs="Times New Roman"/>
          <w:color w:val="auto"/>
          <w:highlight w:val="none"/>
          <w:lang w:val="en-US" w:eastAsia="zh-CN"/>
        </w:rPr>
        <w:t>20</w:t>
      </w:r>
      <w:r>
        <w:rPr>
          <w:rFonts w:hint="default" w:ascii="Times New Roman" w:hAnsi="Times New Roman" w:cs="Times New Roman"/>
          <w:color w:val="auto"/>
          <w:highlight w:val="none"/>
        </w:rPr>
        <w:t>km</w:t>
      </w:r>
      <w:r>
        <w:rPr>
          <w:rFonts w:hint="default" w:ascii="Times New Roman" w:hAnsi="Times New Roman" w:cs="Times New Roman"/>
          <w:color w:val="auto"/>
          <w:highlight w:val="none"/>
          <w:lang w:eastAsia="zh-CN"/>
        </w:rPr>
        <w:t>，场址范围为N 43°01′17.42″～N43°01′50.86″， E93°35′48.17″～E 93°37′06.08″</w:t>
      </w:r>
      <w:r>
        <w:rPr>
          <w:rFonts w:hint="eastAsia" w:cs="Times New Roman"/>
          <w:color w:val="auto"/>
          <w:highlight w:val="none"/>
          <w:lang w:eastAsia="zh-CN"/>
        </w:rPr>
        <w:t>，</w:t>
      </w:r>
      <w:r>
        <w:rPr>
          <w:rFonts w:hint="eastAsia" w:cs="Times New Roman"/>
          <w:color w:val="auto"/>
          <w:highlight w:val="none"/>
          <w:lang w:val="en-US" w:eastAsia="zh-CN"/>
        </w:rPr>
        <w:t>项目中心地理坐标N43°01′18.51″，E93°36′30.29″</w:t>
      </w:r>
      <w:r>
        <w:rPr>
          <w:rFonts w:hint="default" w:ascii="Times New Roman" w:hAnsi="Times New Roman" w:cs="Times New Roman"/>
          <w:color w:val="auto"/>
          <w:highlight w:val="none"/>
        </w:rPr>
        <w:t xml:space="preserve">。S303省道和 </w:t>
      </w:r>
      <w:r>
        <w:rPr>
          <w:rFonts w:hint="eastAsia" w:cs="Times New Roman"/>
          <w:color w:val="auto"/>
          <w:highlight w:val="none"/>
          <w:lang w:eastAsia="zh-CN"/>
        </w:rPr>
        <w:t>Z504公路</w:t>
      </w:r>
      <w:r>
        <w:rPr>
          <w:rFonts w:hint="default" w:ascii="Times New Roman" w:hAnsi="Times New Roman" w:cs="Times New Roman"/>
          <w:color w:val="auto"/>
          <w:highlight w:val="none"/>
        </w:rPr>
        <w:t>分别从场址的东</w:t>
      </w:r>
      <w:r>
        <w:rPr>
          <w:rFonts w:hint="eastAsia" w:cs="Times New Roman"/>
          <w:color w:val="auto"/>
          <w:highlight w:val="none"/>
          <w:lang w:eastAsia="zh-CN"/>
        </w:rPr>
        <w:t>侧</w:t>
      </w:r>
      <w:r>
        <w:rPr>
          <w:rFonts w:hint="eastAsia" w:cs="Times New Roman"/>
          <w:color w:val="auto"/>
          <w:highlight w:val="none"/>
          <w:lang w:val="en-US" w:eastAsia="zh-CN"/>
        </w:rPr>
        <w:t>4km和</w:t>
      </w:r>
      <w:r>
        <w:rPr>
          <w:rFonts w:hint="default" w:ascii="Times New Roman" w:hAnsi="Times New Roman" w:cs="Times New Roman"/>
          <w:color w:val="auto"/>
          <w:highlight w:val="none"/>
        </w:rPr>
        <w:t>西侧</w:t>
      </w:r>
      <w:r>
        <w:rPr>
          <w:rFonts w:hint="eastAsia" w:cs="Times New Roman"/>
          <w:color w:val="auto"/>
          <w:highlight w:val="none"/>
          <w:lang w:val="en-US" w:eastAsia="zh-CN"/>
        </w:rPr>
        <w:t>2km</w:t>
      </w:r>
      <w:r>
        <w:rPr>
          <w:rFonts w:hint="default" w:ascii="Times New Roman" w:hAnsi="Times New Roman" w:cs="Times New Roman"/>
          <w:color w:val="auto"/>
          <w:highlight w:val="none"/>
        </w:rPr>
        <w:t>通过，交通条件较为便利。具体位置详见地理位置图。</w:t>
      </w:r>
    </w:p>
    <w:p>
      <w:pPr>
        <w:pStyle w:val="56"/>
        <w:ind w:firstLine="0" w:firstLineChars="0"/>
        <w:jc w:val="center"/>
        <w:rPr>
          <w:rFonts w:hint="default" w:ascii="Times New Roman" w:hAnsi="Times New Roman" w:cs="Times New Roman"/>
          <w:color w:val="auto"/>
          <w:highlight w:val="none"/>
        </w:rPr>
      </w:pPr>
      <w:r>
        <w:rPr>
          <w:sz w:val="24"/>
        </w:rPr>
        <mc:AlternateContent>
          <mc:Choice Requires="wps">
            <w:drawing>
              <wp:anchor distT="0" distB="0" distL="114300" distR="114300" simplePos="0" relativeHeight="253090816" behindDoc="0" locked="0" layoutInCell="1" allowOverlap="1">
                <wp:simplePos x="0" y="0"/>
                <wp:positionH relativeFrom="column">
                  <wp:posOffset>3021965</wp:posOffset>
                </wp:positionH>
                <wp:positionV relativeFrom="paragraph">
                  <wp:posOffset>62865</wp:posOffset>
                </wp:positionV>
                <wp:extent cx="76200" cy="76200"/>
                <wp:effectExtent l="12700" t="0" r="25400" b="26670"/>
                <wp:wrapNone/>
                <wp:docPr id="25" name="矩形 25"/>
                <wp:cNvGraphicFramePr/>
                <a:graphic xmlns:a="http://schemas.openxmlformats.org/drawingml/2006/main">
                  <a:graphicData uri="http://schemas.microsoft.com/office/word/2010/wordprocessingShape">
                    <wps:wsp>
                      <wps:cNvSpPr/>
                      <wps:spPr>
                        <a:xfrm>
                          <a:off x="4279900" y="4163695"/>
                          <a:ext cx="76200" cy="762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95pt;margin-top:4.95pt;height:6pt;width:6pt;z-index:253090816;v-text-anchor:middle;mso-width-relative:page;mso-height-relative:page;" fillcolor="#FF0000" filled="t" stroked="t" coordsize="21600,21600" o:gfxdata="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WHNRjNcAAAAIAQAADwAAAAAAAAABACAAAAAiAAAAZHJzL2Rvd25yZXYu&#10;eG1sUEsBAhQAFAAAAAgAh07iQEDiK8puAgAA8wQAAA4AAAAAAAAAAQAgAAAAJgEAAGRycy9lMm9E&#10;b2MueG1sUEsFBgAAAAAGAAYAWQEAAAYGAAAAAA==&#10;">
                <v:fill on="t" focussize="0,0"/>
                <v:stroke weight="2pt" color="#FF0000 [3204]" joinstyle="round"/>
                <v:imagedata o:title=""/>
                <o:lock v:ext="edit" aspectratio="f"/>
                <v:textbox>
                  <w:txbxContent>
                    <w:p>
                      <w:pPr>
                        <w:jc w:val="center"/>
                      </w:pPr>
                    </w:p>
                  </w:txbxContent>
                </v:textbox>
              </v:rect>
            </w:pict>
          </mc:Fallback>
        </mc:AlternateContent>
      </w:r>
      <w:r>
        <w:drawing>
          <wp:inline distT="0" distB="0" distL="114300" distR="114300">
            <wp:extent cx="5360670" cy="3559810"/>
            <wp:effectExtent l="0" t="0" r="1143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5360670" cy="3559810"/>
                    </a:xfrm>
                    <a:prstGeom prst="rect">
                      <a:avLst/>
                    </a:prstGeom>
                    <a:noFill/>
                    <a:ln>
                      <a:noFill/>
                    </a:ln>
                  </pic:spPr>
                </pic:pic>
              </a:graphicData>
            </a:graphic>
          </wp:inline>
        </w:drawing>
      </w:r>
    </w:p>
    <w:p>
      <w:pPr>
        <w:pStyle w:val="75"/>
        <w:spacing w:after="240" w:afterLines="10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图2.1-1      项目区地理位置图</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（4）建设性质：新建建设类。</w:t>
      </w:r>
    </w:p>
    <w:p>
      <w:pPr>
        <w:pStyle w:val="56"/>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（5）建设规模及内容：</w:t>
      </w:r>
      <w:r>
        <w:rPr>
          <w:rFonts w:hint="eastAsia" w:cs="Times New Roman"/>
          <w:color w:val="auto"/>
          <w:highlight w:val="none"/>
          <w:lang w:eastAsia="zh-CN"/>
        </w:rPr>
        <w:t>弗光哈密一期20MWp光伏并网发电项目</w:t>
      </w:r>
      <w:r>
        <w:rPr>
          <w:rFonts w:hint="default" w:ascii="Times New Roman" w:hAnsi="Times New Roman" w:cs="Times New Roman"/>
          <w:color w:val="auto"/>
          <w:highlight w:val="none"/>
        </w:rPr>
        <w:t>，</w:t>
      </w:r>
      <w:r>
        <w:rPr>
          <w:rFonts w:hint="eastAsia" w:cs="Times New Roman"/>
          <w:color w:val="auto"/>
          <w:highlight w:val="none"/>
          <w:lang w:eastAsia="zh-CN"/>
        </w:rPr>
        <w:t>实际</w:t>
      </w:r>
      <w:r>
        <w:rPr>
          <w:rFonts w:hint="default" w:ascii="Times New Roman" w:hAnsi="Times New Roman" w:cs="Times New Roman"/>
          <w:color w:val="auto"/>
          <w:highlight w:val="none"/>
        </w:rPr>
        <w:t>建设规模</w:t>
      </w:r>
      <w:r>
        <w:rPr>
          <w:rFonts w:hint="eastAsia" w:cs="Times New Roman"/>
          <w:color w:val="auto"/>
          <w:highlight w:val="none"/>
          <w:lang w:val="en-US" w:eastAsia="zh-CN"/>
        </w:rPr>
        <w:t>11.76444</w:t>
      </w:r>
      <w:r>
        <w:rPr>
          <w:rFonts w:hint="default" w:ascii="Times New Roman" w:hAnsi="Times New Roman" w:cs="Times New Roman"/>
          <w:color w:val="auto"/>
          <w:highlight w:val="none"/>
          <w:lang w:eastAsia="zh-CN"/>
        </w:rPr>
        <w:t>MWp</w:t>
      </w:r>
      <w:r>
        <w:rPr>
          <w:rFonts w:hint="default" w:ascii="Times New Roman" w:hAnsi="Times New Roman" w:cs="Times New Roman"/>
          <w:color w:val="auto"/>
          <w:highlight w:val="none"/>
        </w:rPr>
        <w:t>，建设地点位于新疆维吾尔自治区哈密市北部的石城子光伏园区，距</w:t>
      </w:r>
      <w:r>
        <w:rPr>
          <w:rFonts w:hint="eastAsia" w:cs="Times New Roman"/>
          <w:color w:val="auto"/>
          <w:highlight w:val="none"/>
          <w:lang w:eastAsia="zh-CN"/>
        </w:rPr>
        <w:t>哈密市</w:t>
      </w:r>
      <w:r>
        <w:rPr>
          <w:rFonts w:hint="default" w:ascii="Times New Roman" w:hAnsi="Times New Roman" w:cs="Times New Roman"/>
          <w:color w:val="auto"/>
          <w:highlight w:val="none"/>
          <w:lang w:eastAsia="zh-CN"/>
        </w:rPr>
        <w:t>中心约</w:t>
      </w:r>
      <w:r>
        <w:rPr>
          <w:rFonts w:hint="eastAsia" w:cs="Times New Roman"/>
          <w:color w:val="auto"/>
          <w:highlight w:val="none"/>
          <w:lang w:val="en-US" w:eastAsia="zh-CN"/>
        </w:rPr>
        <w:t>20</w:t>
      </w:r>
      <w:r>
        <w:rPr>
          <w:rFonts w:hint="default" w:ascii="Times New Roman" w:hAnsi="Times New Roman" w:cs="Times New Roman"/>
          <w:color w:val="auto"/>
          <w:highlight w:val="none"/>
        </w:rPr>
        <w:t>km</w:t>
      </w:r>
      <w:r>
        <w:rPr>
          <w:rFonts w:hint="eastAsia" w:cs="Times New Roman"/>
          <w:color w:val="auto"/>
          <w:highlight w:val="none"/>
          <w:lang w:eastAsia="zh-CN"/>
        </w:rPr>
        <w:t>。项目共安装</w:t>
      </w:r>
      <w:r>
        <w:rPr>
          <w:rFonts w:hint="default" w:ascii="Times New Roman" w:hAnsi="Times New Roman" w:cs="Times New Roman"/>
          <w:color w:val="auto"/>
          <w:highlight w:val="none"/>
        </w:rPr>
        <w:t>用单晶</w:t>
      </w:r>
      <w:r>
        <w:rPr>
          <w:rFonts w:hint="eastAsia" w:cs="Times New Roman"/>
          <w:color w:val="auto"/>
          <w:highlight w:val="none"/>
          <w:lang w:eastAsia="zh-CN"/>
        </w:rPr>
        <w:t>单</w:t>
      </w:r>
      <w:r>
        <w:rPr>
          <w:rFonts w:hint="default" w:ascii="Times New Roman" w:hAnsi="Times New Roman" w:cs="Times New Roman"/>
          <w:color w:val="auto"/>
          <w:highlight w:val="none"/>
        </w:rPr>
        <w:t>面</w:t>
      </w:r>
      <w:r>
        <w:rPr>
          <w:rFonts w:hint="eastAsia" w:cs="Times New Roman"/>
          <w:color w:val="auto"/>
          <w:highlight w:val="none"/>
          <w:lang w:val="en-US" w:eastAsia="zh-CN"/>
        </w:rPr>
        <w:t>2040</w:t>
      </w:r>
      <w:r>
        <w:rPr>
          <w:rFonts w:hint="default" w:ascii="Times New Roman" w:hAnsi="Times New Roman" w:cs="Times New Roman"/>
          <w:color w:val="auto"/>
          <w:highlight w:val="none"/>
        </w:rPr>
        <w:t>Wp组件</w:t>
      </w:r>
      <w:r>
        <w:rPr>
          <w:rFonts w:hint="eastAsia" w:cs="Times New Roman"/>
          <w:color w:val="auto"/>
          <w:highlight w:val="none"/>
          <w:lang w:val="en-US" w:eastAsia="zh-CN"/>
        </w:rPr>
        <w:t>3168</w:t>
      </w:r>
      <w:r>
        <w:rPr>
          <w:rFonts w:hint="default" w:ascii="Times New Roman" w:hAnsi="Times New Roman" w:cs="Times New Roman"/>
          <w:color w:val="auto"/>
          <w:highlight w:val="none"/>
        </w:rPr>
        <w:t>块</w:t>
      </w:r>
      <w:r>
        <w:rPr>
          <w:rFonts w:hint="eastAsia" w:cs="Times New Roman"/>
          <w:color w:val="auto"/>
          <w:highlight w:val="none"/>
          <w:lang w:eastAsia="zh-CN"/>
        </w:rPr>
        <w:t>；安装单晶单面</w:t>
      </w:r>
      <w:r>
        <w:rPr>
          <w:rFonts w:hint="eastAsia" w:cs="Times New Roman"/>
          <w:color w:val="auto"/>
          <w:highlight w:val="none"/>
          <w:lang w:val="en-US" w:eastAsia="zh-CN"/>
        </w:rPr>
        <w:t>75</w:t>
      </w:r>
      <w:r>
        <w:rPr>
          <w:rFonts w:hint="default" w:ascii="Times New Roman" w:hAnsi="Times New Roman" w:cs="Times New Roman"/>
          <w:color w:val="auto"/>
          <w:highlight w:val="none"/>
        </w:rPr>
        <w:t>Wp组件</w:t>
      </w:r>
      <w:r>
        <w:rPr>
          <w:rFonts w:hint="eastAsia" w:cs="Times New Roman"/>
          <w:color w:val="auto"/>
          <w:highlight w:val="none"/>
          <w:lang w:val="en-US" w:eastAsia="zh-CN"/>
        </w:rPr>
        <w:t>13500块；安装多晶单面425</w:t>
      </w:r>
      <w:r>
        <w:rPr>
          <w:rFonts w:hint="default" w:ascii="Times New Roman" w:hAnsi="Times New Roman" w:cs="Times New Roman"/>
          <w:color w:val="auto"/>
          <w:highlight w:val="none"/>
        </w:rPr>
        <w:t>Wp组件</w:t>
      </w:r>
      <w:r>
        <w:rPr>
          <w:rFonts w:hint="eastAsia" w:cs="Times New Roman"/>
          <w:color w:val="auto"/>
          <w:highlight w:val="none"/>
          <w:lang w:val="en-US" w:eastAsia="zh-CN"/>
        </w:rPr>
        <w:t>5076块；安装多晶单面420</w:t>
      </w:r>
      <w:r>
        <w:rPr>
          <w:rFonts w:hint="default" w:ascii="Times New Roman" w:hAnsi="Times New Roman" w:cs="Times New Roman"/>
          <w:color w:val="auto"/>
          <w:highlight w:val="none"/>
        </w:rPr>
        <w:t>Wp组件</w:t>
      </w:r>
      <w:r>
        <w:rPr>
          <w:rFonts w:hint="eastAsia" w:cs="Times New Roman"/>
          <w:color w:val="auto"/>
          <w:highlight w:val="none"/>
          <w:lang w:val="en-US" w:eastAsia="zh-CN"/>
        </w:rPr>
        <w:t>5076块，</w:t>
      </w:r>
      <w:r>
        <w:rPr>
          <w:rFonts w:hint="default" w:ascii="Times New Roman" w:hAnsi="Times New Roman" w:cs="Times New Roman"/>
          <w:color w:val="auto"/>
          <w:highlight w:val="none"/>
        </w:rPr>
        <w:t>均为固定</w:t>
      </w:r>
      <w:r>
        <w:rPr>
          <w:rFonts w:hint="eastAsia" w:cs="Times New Roman"/>
          <w:color w:val="auto"/>
          <w:highlight w:val="none"/>
          <w:lang w:eastAsia="zh-CN"/>
        </w:rPr>
        <w:t>倾角式（倾斜角</w:t>
      </w:r>
      <w:r>
        <w:rPr>
          <w:rFonts w:hint="eastAsia" w:cs="Times New Roman"/>
          <w:color w:val="auto"/>
          <w:highlight w:val="none"/>
          <w:lang w:val="en-US" w:eastAsia="zh-CN"/>
        </w:rPr>
        <w:t>40</w:t>
      </w:r>
      <w:r>
        <w:rPr>
          <w:rFonts w:hint="default" w:ascii="Times New Roman" w:hAnsi="Times New Roman" w:cs="Times New Roman"/>
          <w:color w:val="auto"/>
          <w:highlight w:val="none"/>
          <w:lang w:eastAsia="zh-CN"/>
        </w:rPr>
        <w:t>°</w:t>
      </w:r>
      <w:r>
        <w:rPr>
          <w:rFonts w:hint="eastAsia" w:cs="Times New Roman"/>
          <w:color w:val="auto"/>
          <w:highlight w:val="none"/>
          <w:lang w:eastAsia="zh-CN"/>
        </w:rPr>
        <w:t>，方位角</w:t>
      </w:r>
      <w:r>
        <w:rPr>
          <w:rFonts w:hint="eastAsia" w:cs="Times New Roman"/>
          <w:color w:val="auto"/>
          <w:highlight w:val="none"/>
          <w:lang w:val="en-US" w:eastAsia="zh-CN"/>
        </w:rPr>
        <w:t>0</w:t>
      </w:r>
      <w:r>
        <w:rPr>
          <w:rFonts w:hint="default" w:ascii="Times New Roman" w:hAnsi="Times New Roman" w:cs="Times New Roman"/>
          <w:color w:val="auto"/>
          <w:highlight w:val="none"/>
          <w:lang w:eastAsia="zh-CN"/>
        </w:rPr>
        <w:t>°</w:t>
      </w:r>
      <w:r>
        <w:rPr>
          <w:rFonts w:hint="eastAsia" w:cs="Times New Roman"/>
          <w:color w:val="auto"/>
          <w:highlight w:val="none"/>
          <w:lang w:eastAsia="zh-CN"/>
        </w:rPr>
        <w:t>）</w:t>
      </w:r>
      <w:r>
        <w:rPr>
          <w:rFonts w:hint="default" w:ascii="Times New Roman" w:hAnsi="Times New Roman" w:cs="Times New Roman"/>
          <w:color w:val="auto"/>
          <w:highlight w:val="none"/>
        </w:rPr>
        <w:t>组件支架安装</w:t>
      </w:r>
      <w:r>
        <w:rPr>
          <w:rFonts w:hint="eastAsia" w:cs="Times New Roman"/>
          <w:color w:val="auto"/>
          <w:highlight w:val="none"/>
          <w:lang w:eastAsia="zh-CN"/>
        </w:rPr>
        <w:t>。项目安装</w:t>
      </w:r>
      <w:r>
        <w:rPr>
          <w:rFonts w:hint="eastAsia" w:cs="Times New Roman"/>
          <w:color w:val="auto"/>
          <w:highlight w:val="none"/>
          <w:lang w:val="en-US" w:eastAsia="zh-CN"/>
        </w:rPr>
        <w:t>20</w:t>
      </w:r>
      <w:r>
        <w:rPr>
          <w:rFonts w:hint="default" w:ascii="Times New Roman" w:hAnsi="Times New Roman" w:cs="Times New Roman"/>
          <w:color w:val="auto"/>
          <w:highlight w:val="none"/>
        </w:rPr>
        <w:t>kW逆变器</w:t>
      </w:r>
      <w:r>
        <w:rPr>
          <w:rFonts w:hint="eastAsia" w:cs="Times New Roman"/>
          <w:color w:val="auto"/>
          <w:highlight w:val="none"/>
          <w:lang w:val="en-US" w:eastAsia="zh-CN"/>
        </w:rPr>
        <w:t>396</w:t>
      </w:r>
      <w:r>
        <w:rPr>
          <w:rFonts w:hint="default" w:ascii="Times New Roman" w:hAnsi="Times New Roman" w:cs="Times New Roman"/>
          <w:color w:val="auto"/>
          <w:highlight w:val="none"/>
        </w:rPr>
        <w:t>台，</w:t>
      </w:r>
      <w:r>
        <w:rPr>
          <w:rFonts w:hint="eastAsia" w:cs="Times New Roman"/>
          <w:color w:val="auto"/>
          <w:highlight w:val="none"/>
          <w:lang w:val="en-US" w:eastAsia="zh-CN"/>
        </w:rPr>
        <w:t>8</w:t>
      </w:r>
      <w:r>
        <w:rPr>
          <w:rFonts w:hint="default" w:ascii="Times New Roman" w:hAnsi="Times New Roman" w:cs="Times New Roman"/>
          <w:color w:val="auto"/>
          <w:highlight w:val="none"/>
        </w:rPr>
        <w:t>kW逆变器</w:t>
      </w:r>
      <w:r>
        <w:rPr>
          <w:rFonts w:hint="eastAsia" w:cs="Times New Roman"/>
          <w:color w:val="auto"/>
          <w:highlight w:val="none"/>
          <w:lang w:val="en-US" w:eastAsia="zh-CN"/>
        </w:rPr>
        <w:t>150</w:t>
      </w:r>
      <w:r>
        <w:rPr>
          <w:rFonts w:hint="default" w:ascii="Times New Roman" w:hAnsi="Times New Roman" w:cs="Times New Roman"/>
          <w:color w:val="auto"/>
          <w:highlight w:val="none"/>
        </w:rPr>
        <w:t>台，</w:t>
      </w:r>
      <w:r>
        <w:rPr>
          <w:rFonts w:hint="eastAsia" w:cs="Times New Roman"/>
          <w:color w:val="auto"/>
          <w:highlight w:val="none"/>
          <w:lang w:val="en-US" w:eastAsia="zh-CN"/>
        </w:rPr>
        <w:t>125</w:t>
      </w:r>
      <w:r>
        <w:rPr>
          <w:rFonts w:hint="default" w:ascii="Times New Roman" w:hAnsi="Times New Roman" w:cs="Times New Roman"/>
          <w:color w:val="auto"/>
          <w:highlight w:val="none"/>
        </w:rPr>
        <w:t>kW逆变器</w:t>
      </w:r>
      <w:r>
        <w:rPr>
          <w:rFonts w:hint="eastAsia" w:cs="Times New Roman"/>
          <w:color w:val="auto"/>
          <w:highlight w:val="none"/>
          <w:lang w:val="en-US" w:eastAsia="zh-CN"/>
        </w:rPr>
        <w:t>48台；安装8</w:t>
      </w:r>
      <w:r>
        <w:rPr>
          <w:rFonts w:hint="default" w:ascii="Times New Roman" w:hAnsi="Times New Roman" w:cs="Times New Roman"/>
          <w:color w:val="auto"/>
          <w:highlight w:val="none"/>
          <w:lang w:val="en-US" w:eastAsia="zh-CN"/>
        </w:rPr>
        <w:t>台</w:t>
      </w:r>
      <w:r>
        <w:rPr>
          <w:rFonts w:hint="eastAsia" w:cs="Times New Roman"/>
          <w:color w:val="auto"/>
          <w:highlight w:val="none"/>
          <w:lang w:val="en-US" w:eastAsia="zh-CN"/>
        </w:rPr>
        <w:t>1.48MVA</w:t>
      </w:r>
      <w:r>
        <w:rPr>
          <w:rFonts w:hint="default" w:ascii="Times New Roman" w:hAnsi="Times New Roman" w:cs="Times New Roman"/>
          <w:color w:val="auto"/>
          <w:highlight w:val="none"/>
        </w:rPr>
        <w:t>箱变、35kV开关站等配电辅助系统</w:t>
      </w:r>
      <w:r>
        <w:rPr>
          <w:rFonts w:hint="eastAsia" w:cs="Times New Roman"/>
          <w:color w:val="auto"/>
          <w:highlight w:val="none"/>
          <w:lang w:eastAsia="zh-CN"/>
        </w:rPr>
        <w:t>。项目区新建一个运行管理区，占地面积</w:t>
      </w:r>
      <w:r>
        <w:rPr>
          <w:rFonts w:hint="eastAsia" w:cs="Times New Roman"/>
          <w:color w:val="auto"/>
          <w:highlight w:val="none"/>
          <w:lang w:val="en-US" w:eastAsia="zh-CN"/>
        </w:rPr>
        <w:t>0.83hm</w:t>
      </w:r>
      <w:r>
        <w:rPr>
          <w:rFonts w:hint="eastAsia" w:cs="Times New Roman"/>
          <w:color w:val="auto"/>
          <w:highlight w:val="none"/>
          <w:vertAlign w:val="superscript"/>
          <w:lang w:val="en-US" w:eastAsia="zh-CN"/>
        </w:rPr>
        <w:t>2</w:t>
      </w:r>
      <w:r>
        <w:rPr>
          <w:rFonts w:hint="eastAsia" w:cs="Times New Roman"/>
          <w:color w:val="auto"/>
          <w:highlight w:val="none"/>
          <w:vertAlign w:val="baseline"/>
          <w:lang w:val="en-US" w:eastAsia="zh-CN"/>
        </w:rPr>
        <w:t>，管理区内建有生产楼一座（</w:t>
      </w:r>
      <w:r>
        <w:rPr>
          <w:rFonts w:hint="eastAsia" w:cs="Times New Roman"/>
          <w:color w:val="auto"/>
          <w:highlight w:val="none"/>
          <w:lang w:eastAsia="zh-CN"/>
        </w:rPr>
        <w:t>建筑面积 783.81m</w:t>
      </w:r>
      <w:r>
        <w:rPr>
          <w:rFonts w:hint="eastAsia" w:cs="Times New Roman"/>
          <w:color w:val="auto"/>
          <w:highlight w:val="none"/>
          <w:vertAlign w:val="superscript"/>
          <w:lang w:eastAsia="zh-CN"/>
        </w:rPr>
        <w:t>2</w:t>
      </w:r>
      <w:r>
        <w:rPr>
          <w:rFonts w:hint="eastAsia" w:cs="Times New Roman"/>
          <w:color w:val="auto"/>
          <w:highlight w:val="none"/>
          <w:vertAlign w:val="baseline"/>
          <w:lang w:eastAsia="zh-CN"/>
        </w:rPr>
        <w:t>）、一个</w:t>
      </w:r>
      <w:r>
        <w:rPr>
          <w:rFonts w:ascii="宋体" w:hAnsi="宋体" w:eastAsia="宋体" w:cs="宋体"/>
          <w:spacing w:val="-60"/>
          <w:w w:val="100"/>
          <w:sz w:val="24"/>
          <w:szCs w:val="24"/>
        </w:rPr>
        <w:t xml:space="preserve"> </w:t>
      </w:r>
      <w:r>
        <w:rPr>
          <w:rFonts w:ascii="Times New Roman" w:hAnsi="Times New Roman" w:eastAsia="Times New Roman" w:cs="Times New Roman"/>
          <w:spacing w:val="0"/>
          <w:w w:val="100"/>
          <w:sz w:val="24"/>
          <w:szCs w:val="24"/>
        </w:rPr>
        <w:t>250kV</w:t>
      </w:r>
      <w:r>
        <w:rPr>
          <w:rFonts w:ascii="Times New Roman" w:hAnsi="Times New Roman" w:eastAsia="Times New Roman" w:cs="Times New Roman"/>
          <w:spacing w:val="1"/>
          <w:w w:val="100"/>
          <w:sz w:val="24"/>
          <w:szCs w:val="24"/>
        </w:rPr>
        <w:t>A</w:t>
      </w:r>
      <w:r>
        <w:rPr>
          <w:rFonts w:hint="eastAsia" w:cs="Times New Roman"/>
          <w:color w:val="auto"/>
          <w:highlight w:val="none"/>
          <w:vertAlign w:val="baseline"/>
          <w:lang w:eastAsia="zh-CN"/>
        </w:rPr>
        <w:t>厂用变压器、一个</w:t>
      </w:r>
      <w:r>
        <w:rPr>
          <w:rFonts w:hint="eastAsia" w:cs="Times New Roman"/>
          <w:color w:val="auto"/>
          <w:highlight w:val="none"/>
          <w:vertAlign w:val="baseline"/>
          <w:lang w:val="en-US" w:eastAsia="zh-CN"/>
        </w:rPr>
        <w:t>35kv</w:t>
      </w:r>
      <w:r>
        <w:rPr>
          <w:rFonts w:hint="eastAsia" w:cs="Times New Roman"/>
          <w:color w:val="auto"/>
          <w:highlight w:val="none"/>
          <w:vertAlign w:val="baseline"/>
          <w:lang w:eastAsia="zh-CN"/>
        </w:rPr>
        <w:t>接地变压器、一个</w:t>
      </w:r>
      <w:r>
        <w:rPr>
          <w:rFonts w:hint="eastAsia" w:cs="Times New Roman"/>
          <w:color w:val="auto"/>
          <w:highlight w:val="none"/>
          <w:vertAlign w:val="baseline"/>
          <w:lang w:val="en-US" w:eastAsia="zh-CN"/>
        </w:rPr>
        <w:t>SVC补偿装置；此外运行管理区内还设置有水泵房、蓄水池、避雷针</w:t>
      </w:r>
      <w:r>
        <w:rPr>
          <w:rFonts w:hint="eastAsia" w:cs="Times New Roman"/>
          <w:color w:val="auto"/>
          <w:highlight w:val="none"/>
          <w:vertAlign w:val="baseline"/>
          <w:lang w:eastAsia="zh-CN"/>
        </w:rPr>
        <w:t>等地下构筑物各一个。</w:t>
      </w:r>
      <w:r>
        <w:rPr>
          <w:rFonts w:hint="eastAsia" w:cs="Times New Roman"/>
          <w:color w:val="auto"/>
          <w:highlight w:val="none"/>
          <w:vertAlign w:val="baseline"/>
          <w:lang w:val="en-US" w:eastAsia="zh-CN"/>
        </w:rPr>
        <w:t>项目修建场内砂砾石道路长4.8km，宽4m，另</w:t>
      </w:r>
      <w:r>
        <w:rPr>
          <w:rFonts w:hint="default" w:ascii="Times New Roman" w:hAnsi="Times New Roman" w:cs="Times New Roman"/>
          <w:color w:val="auto"/>
          <w:highlight w:val="none"/>
        </w:rPr>
        <w:t>新建</w:t>
      </w:r>
      <w:r>
        <w:rPr>
          <w:rFonts w:hint="eastAsia" w:cs="Times New Roman"/>
          <w:color w:val="auto"/>
          <w:highlight w:val="none"/>
          <w:lang w:eastAsia="zh-CN"/>
        </w:rPr>
        <w:t>一</w:t>
      </w:r>
      <w:r>
        <w:rPr>
          <w:rFonts w:hint="default" w:ascii="Times New Roman" w:hAnsi="Times New Roman" w:cs="Times New Roman"/>
          <w:color w:val="auto"/>
          <w:highlight w:val="none"/>
          <w:lang w:eastAsia="zh-CN"/>
        </w:rPr>
        <w:t>条</w:t>
      </w:r>
      <w:r>
        <w:rPr>
          <w:rFonts w:hint="eastAsia" w:cs="Times New Roman"/>
          <w:color w:val="auto"/>
          <w:highlight w:val="none"/>
          <w:lang w:eastAsia="zh-CN"/>
        </w:rPr>
        <w:t>长</w:t>
      </w:r>
      <w:r>
        <w:rPr>
          <w:rFonts w:hint="eastAsia" w:cs="Times New Roman"/>
          <w:color w:val="auto"/>
          <w:highlight w:val="none"/>
          <w:lang w:val="en-US" w:eastAsia="zh-CN"/>
        </w:rPr>
        <w:t>50m，宽6m的混凝土路面</w:t>
      </w:r>
      <w:r>
        <w:rPr>
          <w:rFonts w:hint="default" w:ascii="Times New Roman" w:hAnsi="Times New Roman" w:cs="Times New Roman"/>
          <w:color w:val="auto"/>
          <w:highlight w:val="none"/>
          <w:lang w:eastAsia="zh-CN"/>
        </w:rPr>
        <w:t>进场道路</w:t>
      </w:r>
      <w:r>
        <w:rPr>
          <w:rFonts w:hint="eastAsia" w:cs="Times New Roman"/>
          <w:color w:val="auto"/>
          <w:highlight w:val="none"/>
          <w:lang w:eastAsia="zh-CN"/>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（6）总投资及土建投资</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本项目建设工程静态</w:t>
      </w:r>
      <w:r>
        <w:rPr>
          <w:rFonts w:hint="eastAsia" w:cs="Times New Roman"/>
          <w:color w:val="auto"/>
          <w:highlight w:val="none"/>
          <w:lang w:eastAsia="zh-CN"/>
        </w:rPr>
        <w:t>总</w:t>
      </w:r>
      <w:r>
        <w:rPr>
          <w:rFonts w:hint="default" w:ascii="Times New Roman" w:hAnsi="Times New Roman" w:cs="Times New Roman"/>
          <w:color w:val="auto"/>
          <w:highlight w:val="none"/>
        </w:rPr>
        <w:t>投资为32472.2 万元，其中土建投资</w:t>
      </w:r>
      <w:r>
        <w:rPr>
          <w:rFonts w:hint="eastAsia" w:cs="Times New Roman"/>
          <w:color w:val="auto"/>
          <w:highlight w:val="none"/>
          <w:lang w:val="en-US" w:eastAsia="zh-CN"/>
        </w:rPr>
        <w:t>1995.95</w:t>
      </w:r>
      <w:r>
        <w:rPr>
          <w:rFonts w:hint="default" w:ascii="Times New Roman" w:hAnsi="Times New Roman" w:cs="Times New Roman"/>
          <w:color w:val="auto"/>
          <w:highlight w:val="none"/>
        </w:rPr>
        <w:t>万元，项目</w:t>
      </w:r>
      <w:r>
        <w:rPr>
          <w:rFonts w:hint="default" w:ascii="Times New Roman" w:hAnsi="Times New Roman" w:cs="Times New Roman"/>
          <w:color w:val="auto"/>
          <w:spacing w:val="2"/>
          <w:highlight w:val="none"/>
        </w:rPr>
        <w:t>总投资</w:t>
      </w:r>
      <w:r>
        <w:rPr>
          <w:rFonts w:hint="default" w:ascii="Times New Roman" w:hAnsi="Times New Roman" w:cs="Times New Roman"/>
          <w:color w:val="auto"/>
          <w:spacing w:val="2"/>
          <w:highlight w:val="none"/>
          <w:lang w:eastAsia="zh-CN"/>
        </w:rPr>
        <w:t>中</w:t>
      </w:r>
      <w:r>
        <w:rPr>
          <w:rFonts w:hint="eastAsia" w:cs="Times New Roman"/>
          <w:color w:val="auto"/>
          <w:spacing w:val="2"/>
          <w:highlight w:val="none"/>
          <w:lang w:val="en-US" w:eastAsia="zh-CN"/>
        </w:rPr>
        <w:t>20%</w:t>
      </w:r>
      <w:r>
        <w:rPr>
          <w:rFonts w:hint="default" w:ascii="Times New Roman" w:hAnsi="Times New Roman" w:cs="Times New Roman"/>
          <w:color w:val="auto"/>
          <w:spacing w:val="2"/>
          <w:highlight w:val="none"/>
          <w:lang w:val="en-US" w:eastAsia="zh-CN"/>
        </w:rPr>
        <w:t>为</w:t>
      </w:r>
      <w:r>
        <w:rPr>
          <w:rFonts w:hint="eastAsia" w:cs="Times New Roman"/>
          <w:color w:val="auto"/>
          <w:spacing w:val="2"/>
          <w:highlight w:val="none"/>
          <w:lang w:val="en-US" w:eastAsia="zh-CN"/>
        </w:rPr>
        <w:t>资本金</w:t>
      </w:r>
      <w:r>
        <w:rPr>
          <w:rFonts w:hint="default" w:ascii="Times New Roman" w:hAnsi="Times New Roman" w:cs="Times New Roman"/>
          <w:color w:val="auto"/>
          <w:spacing w:val="2"/>
          <w:highlight w:val="none"/>
          <w:lang w:val="en-US" w:eastAsia="zh-CN"/>
        </w:rPr>
        <w:t>，</w:t>
      </w:r>
      <w:r>
        <w:rPr>
          <w:rFonts w:hint="eastAsia" w:cs="Times New Roman"/>
          <w:color w:val="auto"/>
          <w:spacing w:val="2"/>
          <w:highlight w:val="none"/>
          <w:lang w:val="en-US" w:eastAsia="zh-CN"/>
        </w:rPr>
        <w:t>其余</w:t>
      </w:r>
      <w:r>
        <w:rPr>
          <w:rFonts w:hint="default" w:ascii="Times New Roman" w:hAnsi="Times New Roman" w:cs="Times New Roman"/>
          <w:color w:val="auto"/>
          <w:spacing w:val="2"/>
          <w:highlight w:val="none"/>
          <w:lang w:val="en-US" w:eastAsia="zh-CN"/>
        </w:rPr>
        <w:t>为银行贷款</w:t>
      </w:r>
      <w:r>
        <w:rPr>
          <w:rFonts w:hint="default" w:ascii="Times New Roman" w:hAnsi="Times New Roman" w:cs="Times New Roman"/>
          <w:color w:val="auto"/>
          <w:highlight w:val="none"/>
        </w:rPr>
        <w:t>。</w:t>
      </w:r>
    </w:p>
    <w:p>
      <w:pPr>
        <w:pStyle w:val="56"/>
        <w:ind w:firstLine="480"/>
        <w:rPr>
          <w:rFonts w:hint="eastAsia"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（7）建设工期</w:t>
      </w:r>
      <w:r>
        <w:rPr>
          <w:rFonts w:hint="eastAsia" w:cs="Times New Roman"/>
          <w:color w:val="auto"/>
          <w:highlight w:val="none"/>
          <w:lang w:eastAsia="zh-CN"/>
        </w:rPr>
        <w:t>及项目进展情况</w:t>
      </w:r>
    </w:p>
    <w:p>
      <w:pPr>
        <w:pStyle w:val="56"/>
        <w:numPr>
          <w:ilvl w:val="-1"/>
          <w:numId w:val="0"/>
        </w:numPr>
        <w:ind w:firstLine="480"/>
        <w:rPr>
          <w:rFonts w:hint="eastAsia" w:cs="Times New Roman"/>
          <w:color w:val="auto"/>
          <w:highlight w:val="none"/>
          <w:lang w:val="en-US" w:eastAsia="zh-CN"/>
        </w:rPr>
      </w:pPr>
      <w:r>
        <w:rPr>
          <w:rFonts w:hint="default" w:ascii="Times New Roman" w:hAnsi="Times New Roman" w:cs="Times New Roman"/>
          <w:color w:val="auto"/>
          <w:highlight w:val="none"/>
        </w:rPr>
        <w:t>本工程总工期</w:t>
      </w:r>
      <w:r>
        <w:rPr>
          <w:rFonts w:hint="eastAsia" w:cs="Times New Roman"/>
          <w:color w:val="auto"/>
          <w:highlight w:val="none"/>
          <w:lang w:val="en-US" w:eastAsia="zh-CN"/>
        </w:rPr>
        <w:t>13</w:t>
      </w:r>
      <w:r>
        <w:rPr>
          <w:rFonts w:hint="default" w:ascii="Times New Roman" w:hAnsi="Times New Roman" w:cs="Times New Roman"/>
          <w:color w:val="auto"/>
          <w:highlight w:val="none"/>
        </w:rPr>
        <w:t>个月，于20</w:t>
      </w:r>
      <w:r>
        <w:rPr>
          <w:rFonts w:hint="eastAsia" w:cs="Times New Roman"/>
          <w:color w:val="auto"/>
          <w:highlight w:val="none"/>
          <w:lang w:val="en-US" w:eastAsia="zh-CN"/>
        </w:rPr>
        <w:t>12</w:t>
      </w:r>
      <w:r>
        <w:rPr>
          <w:rFonts w:hint="default" w:ascii="Times New Roman" w:hAnsi="Times New Roman" w:cs="Times New Roman"/>
          <w:color w:val="auto"/>
          <w:highlight w:val="none"/>
        </w:rPr>
        <w:t>年</w:t>
      </w:r>
      <w:r>
        <w:rPr>
          <w:rFonts w:hint="eastAsia" w:cs="Times New Roman"/>
          <w:color w:val="auto"/>
          <w:highlight w:val="none"/>
          <w:lang w:val="en-US" w:eastAsia="zh-CN"/>
        </w:rPr>
        <w:t>12</w:t>
      </w:r>
      <w:r>
        <w:rPr>
          <w:rFonts w:hint="default" w:ascii="Times New Roman" w:hAnsi="Times New Roman" w:cs="Times New Roman"/>
          <w:color w:val="auto"/>
          <w:highlight w:val="none"/>
        </w:rPr>
        <w:t>月</w:t>
      </w:r>
      <w:r>
        <w:rPr>
          <w:rFonts w:hint="eastAsia" w:cs="Times New Roman"/>
          <w:color w:val="auto"/>
          <w:highlight w:val="none"/>
          <w:lang w:val="en-US" w:eastAsia="zh-CN"/>
        </w:rPr>
        <w:t>1日</w:t>
      </w:r>
      <w:r>
        <w:rPr>
          <w:rFonts w:hint="default" w:ascii="Times New Roman" w:hAnsi="Times New Roman" w:cs="Times New Roman"/>
          <w:color w:val="auto"/>
          <w:highlight w:val="none"/>
        </w:rPr>
        <w:t>开工建设，于20</w:t>
      </w:r>
      <w:r>
        <w:rPr>
          <w:rFonts w:hint="eastAsia" w:cs="Times New Roman"/>
          <w:color w:val="auto"/>
          <w:highlight w:val="none"/>
          <w:lang w:val="en-US" w:eastAsia="zh-CN"/>
        </w:rPr>
        <w:t>13</w:t>
      </w:r>
      <w:r>
        <w:rPr>
          <w:rFonts w:hint="default" w:ascii="Times New Roman" w:hAnsi="Times New Roman" w:cs="Times New Roman"/>
          <w:color w:val="auto"/>
          <w:highlight w:val="none"/>
        </w:rPr>
        <w:t>年12月</w:t>
      </w:r>
      <w:r>
        <w:rPr>
          <w:rFonts w:hint="eastAsia" w:cs="Times New Roman"/>
          <w:color w:val="auto"/>
          <w:highlight w:val="none"/>
          <w:lang w:val="en-US" w:eastAsia="zh-CN"/>
        </w:rPr>
        <w:t>10日</w:t>
      </w:r>
      <w:r>
        <w:rPr>
          <w:rFonts w:hint="default" w:ascii="Times New Roman" w:hAnsi="Times New Roman" w:cs="Times New Roman"/>
          <w:color w:val="auto"/>
          <w:highlight w:val="none"/>
        </w:rPr>
        <w:t>建设完成。</w:t>
      </w:r>
      <w:r>
        <w:rPr>
          <w:rFonts w:hint="eastAsia" w:cs="Times New Roman"/>
          <w:color w:val="auto"/>
          <w:highlight w:val="none"/>
          <w:lang w:eastAsia="zh-CN"/>
        </w:rPr>
        <w:t>项目于</w:t>
      </w:r>
      <w:r>
        <w:rPr>
          <w:rFonts w:hint="eastAsia" w:cs="Times New Roman"/>
          <w:color w:val="auto"/>
          <w:highlight w:val="none"/>
          <w:lang w:val="en-US" w:eastAsia="zh-CN"/>
        </w:rPr>
        <w:t>2013年12月20日并网11MWp。</w:t>
      </w:r>
      <w:r>
        <w:rPr>
          <w:rFonts w:hint="eastAsia" w:cs="Times New Roman"/>
          <w:color w:val="auto"/>
          <w:highlight w:val="none"/>
          <w:lang w:eastAsia="zh-CN"/>
        </w:rPr>
        <w:t>截止</w:t>
      </w:r>
      <w:r>
        <w:rPr>
          <w:rFonts w:hint="eastAsia" w:cs="Times New Roman"/>
          <w:color w:val="auto"/>
          <w:highlight w:val="none"/>
          <w:lang w:val="en-US" w:eastAsia="zh-CN"/>
        </w:rPr>
        <w:t>2019年底，本项目累计上网电量4108.19万Kwh。项目目前情况见现场照片。</w:t>
      </w:r>
    </w:p>
    <w:p>
      <w:pPr>
        <w:pStyle w:val="56"/>
        <w:numPr>
          <w:ilvl w:val="-1"/>
          <w:numId w:val="0"/>
        </w:numPr>
        <w:ind w:firstLine="480"/>
        <w:jc w:val="both"/>
        <w:rPr>
          <w:rFonts w:hint="eastAsia" w:cs="Times New Roman"/>
          <w:color w:val="auto"/>
          <w:highlight w:val="none"/>
          <w:lang w:val="en-US" w:eastAsia="zh-CN"/>
        </w:rPr>
      </w:pPr>
      <w:r>
        <w:drawing>
          <wp:inline distT="0" distB="0" distL="114300" distR="114300">
            <wp:extent cx="5611495" cy="4326255"/>
            <wp:effectExtent l="0" t="0" r="8255" b="171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9"/>
                    <a:stretch>
                      <a:fillRect/>
                    </a:stretch>
                  </pic:blipFill>
                  <pic:spPr>
                    <a:xfrm>
                      <a:off x="0" y="0"/>
                      <a:ext cx="5611495" cy="4326255"/>
                    </a:xfrm>
                    <a:prstGeom prst="rect">
                      <a:avLst/>
                    </a:prstGeom>
                    <a:noFill/>
                    <a:ln>
                      <a:noFill/>
                    </a:ln>
                  </pic:spPr>
                </pic:pic>
              </a:graphicData>
            </a:graphic>
          </wp:inline>
        </w:drawing>
      </w:r>
    </w:p>
    <w:p>
      <w:pPr>
        <w:pStyle w:val="56"/>
        <w:numPr>
          <w:ilvl w:val="-1"/>
          <w:numId w:val="0"/>
        </w:numPr>
        <w:rPr>
          <w:rFonts w:hint="default" w:cs="Times New Roman"/>
          <w:color w:val="auto"/>
          <w:highlight w:val="none"/>
          <w:lang w:val="en-US" w:eastAsia="zh-CN"/>
        </w:rPr>
      </w:pPr>
    </w:p>
    <w:p>
      <w:pPr>
        <w:pStyle w:val="56"/>
        <w:numPr>
          <w:ilvl w:val="0"/>
          <w:numId w:val="0"/>
        </w:numPr>
        <w:ind w:left="480" w:leftChars="0"/>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8）</w:t>
      </w:r>
      <w:r>
        <w:rPr>
          <w:rFonts w:hint="default" w:ascii="Times New Roman" w:hAnsi="Times New Roman" w:cs="Times New Roman"/>
          <w:color w:val="auto"/>
          <w:highlight w:val="none"/>
        </w:rPr>
        <w:t>项目依托条件</w:t>
      </w:r>
    </w:p>
    <w:p>
      <w:pPr>
        <w:pStyle w:val="56"/>
        <w:keepNext w:val="0"/>
        <w:keepLines w:val="0"/>
        <w:pageBreakBefore w:val="0"/>
        <w:widowControl/>
        <w:numPr>
          <w:ilvl w:val="0"/>
          <w:numId w:val="0"/>
        </w:numPr>
        <w:kinsoku/>
        <w:wordWrap/>
        <w:overflowPunct/>
        <w:topLinePunct w:val="0"/>
        <w:autoSpaceDE/>
        <w:autoSpaceDN/>
        <w:bidi w:val="0"/>
        <w:adjustRightInd w:val="0"/>
        <w:snapToGrid w:val="0"/>
        <w:ind w:left="0" w:leftChars="0" w:firstLine="480" w:firstLineChars="200"/>
        <w:textAlignment w:val="auto"/>
        <w:outlineLvl w:val="9"/>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本项目场址位于哈密市北部约 20km 的石城子光伏园区西侧，石城子光伏发电园区总规划容量约460MWp，占地范围约18.22km</w:t>
      </w:r>
      <w:r>
        <w:rPr>
          <w:rFonts w:hint="eastAsia" w:cs="Times New Roman"/>
          <w:color w:val="auto"/>
          <w:highlight w:val="none"/>
          <w:vertAlign w:val="superscript"/>
          <w:lang w:eastAsia="zh-CN"/>
        </w:rPr>
        <w:t>2</w:t>
      </w:r>
      <w:r>
        <w:rPr>
          <w:rFonts w:hint="eastAsia" w:cs="Times New Roman"/>
          <w:color w:val="auto"/>
          <w:highlight w:val="none"/>
          <w:lang w:eastAsia="zh-CN"/>
        </w:rPr>
        <w:t>，园区已在各发电地块外规划建设交通、厂用电、电力廊道、接入线路、通信、供水、 防洪等公共设施，基础设施配备齐全，交通、用水、用电、通信、送出条件优越便利。本项目对园区的具体依托情况如下：</w:t>
      </w:r>
    </w:p>
    <w:p>
      <w:pPr>
        <w:pStyle w:val="56"/>
        <w:numPr>
          <w:ilvl w:val="0"/>
          <w:numId w:val="9"/>
        </w:numPr>
        <w:ind w:firstLine="480"/>
        <w:rPr>
          <w:rFonts w:hint="eastAsia" w:cs="Times New Roman"/>
          <w:color w:val="auto"/>
          <w:highlight w:val="none"/>
          <w:lang w:eastAsia="zh-CN"/>
        </w:rPr>
      </w:pPr>
      <w:r>
        <w:rPr>
          <w:rFonts w:hint="default" w:ascii="Times New Roman" w:hAnsi="Times New Roman" w:cs="Times New Roman"/>
          <w:color w:val="auto"/>
          <w:highlight w:val="none"/>
        </w:rPr>
        <w:t>交通条件：项目厂址区</w:t>
      </w:r>
      <w:r>
        <w:rPr>
          <w:rFonts w:hint="eastAsia" w:cs="Times New Roman"/>
          <w:color w:val="auto"/>
          <w:highlight w:val="none"/>
          <w:lang w:eastAsia="zh-CN"/>
        </w:rPr>
        <w:t>东西两侧各有一条</w:t>
      </w:r>
      <w:r>
        <w:rPr>
          <w:rFonts w:hint="default" w:ascii="Times New Roman" w:hAnsi="Times New Roman" w:cs="Times New Roman"/>
          <w:color w:val="auto"/>
          <w:highlight w:val="none"/>
        </w:rPr>
        <w:t>S303省道和</w:t>
      </w:r>
      <w:r>
        <w:rPr>
          <w:rFonts w:hint="eastAsia" w:cs="Times New Roman"/>
          <w:color w:val="auto"/>
          <w:highlight w:val="none"/>
          <w:lang w:eastAsia="zh-CN"/>
        </w:rPr>
        <w:t>一条Z504公路通过，交通便利。工业园区内部交通路网完善，为本项目提供便利的交通条件，</w:t>
      </w:r>
      <w:r>
        <w:rPr>
          <w:rFonts w:hint="default" w:ascii="Times New Roman" w:hAnsi="Times New Roman" w:cs="Times New Roman"/>
          <w:color w:val="auto"/>
          <w:highlight w:val="none"/>
        </w:rPr>
        <w:t>因此本项目</w:t>
      </w:r>
      <w:r>
        <w:rPr>
          <w:rFonts w:hint="eastAsia" w:cs="Times New Roman"/>
          <w:color w:val="auto"/>
          <w:highlight w:val="none"/>
          <w:lang w:eastAsia="zh-CN"/>
        </w:rPr>
        <w:t>只</w:t>
      </w:r>
      <w:r>
        <w:rPr>
          <w:rFonts w:hint="default" w:ascii="Times New Roman" w:hAnsi="Times New Roman" w:cs="Times New Roman"/>
          <w:color w:val="auto"/>
          <w:highlight w:val="none"/>
        </w:rPr>
        <w:t>建设</w:t>
      </w:r>
      <w:r>
        <w:rPr>
          <w:rFonts w:hint="eastAsia" w:cs="Times New Roman"/>
          <w:color w:val="auto"/>
          <w:highlight w:val="none"/>
          <w:lang w:eastAsia="zh-CN"/>
        </w:rPr>
        <w:t>一条宽</w:t>
      </w:r>
      <w:r>
        <w:rPr>
          <w:rFonts w:hint="eastAsia" w:cs="Times New Roman"/>
          <w:color w:val="auto"/>
          <w:highlight w:val="none"/>
          <w:lang w:val="en-US" w:eastAsia="zh-CN"/>
        </w:rPr>
        <w:t>6m，长50m的混凝土路面</w:t>
      </w:r>
      <w:r>
        <w:rPr>
          <w:rFonts w:hint="default" w:ascii="Times New Roman" w:hAnsi="Times New Roman" w:cs="Times New Roman"/>
          <w:color w:val="auto"/>
          <w:highlight w:val="none"/>
          <w:lang w:eastAsia="zh-CN"/>
        </w:rPr>
        <w:t>进场道路</w:t>
      </w:r>
      <w:r>
        <w:rPr>
          <w:rFonts w:hint="eastAsia" w:cs="Times New Roman"/>
          <w:color w:val="auto"/>
          <w:highlight w:val="none"/>
          <w:lang w:eastAsia="zh-CN"/>
        </w:rPr>
        <w:t>垂直接入与园区内部道路。</w:t>
      </w:r>
    </w:p>
    <w:p>
      <w:pPr>
        <w:pStyle w:val="56"/>
        <w:numPr>
          <w:ilvl w:val="0"/>
          <w:numId w:val="9"/>
        </w:numPr>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用水、用电：</w:t>
      </w:r>
      <w:r>
        <w:rPr>
          <w:rFonts w:hint="eastAsia" w:cs="Times New Roman"/>
          <w:color w:val="auto"/>
          <w:highlight w:val="none"/>
          <w:lang w:eastAsia="zh-CN"/>
        </w:rPr>
        <w:t>本项目</w:t>
      </w:r>
      <w:r>
        <w:rPr>
          <w:rFonts w:hint="default" w:ascii="Times New Roman" w:hAnsi="Times New Roman" w:cs="Times New Roman"/>
          <w:color w:val="auto"/>
          <w:highlight w:val="none"/>
        </w:rPr>
        <w:t>施工期生产用水均引自园区给水管网</w:t>
      </w:r>
      <w:r>
        <w:rPr>
          <w:rFonts w:hint="eastAsia" w:cs="Times New Roman"/>
          <w:color w:val="auto"/>
          <w:highlight w:val="none"/>
          <w:lang w:eastAsia="zh-CN"/>
        </w:rPr>
        <w:t>；</w:t>
      </w:r>
      <w:r>
        <w:rPr>
          <w:rFonts w:hint="default" w:ascii="Times New Roman" w:hAnsi="Times New Roman" w:cs="Times New Roman"/>
          <w:color w:val="auto"/>
          <w:highlight w:val="none"/>
        </w:rPr>
        <w:t>施工高峰日用水量为150m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eastAsia="zh-CN"/>
        </w:rPr>
        <w:t>；</w:t>
      </w:r>
      <w:r>
        <w:rPr>
          <w:rFonts w:hint="default" w:ascii="Times New Roman" w:hAnsi="Times New Roman" w:cs="Times New Roman"/>
          <w:color w:val="auto"/>
          <w:highlight w:val="none"/>
        </w:rPr>
        <w:t>工程</w:t>
      </w:r>
      <w:r>
        <w:rPr>
          <w:rFonts w:hint="eastAsia" w:cs="Times New Roman"/>
          <w:color w:val="auto"/>
          <w:highlight w:val="none"/>
          <w:lang w:eastAsia="zh-CN"/>
        </w:rPr>
        <w:t>运行期</w:t>
      </w:r>
      <w:r>
        <w:rPr>
          <w:rFonts w:hint="default" w:ascii="Times New Roman" w:hAnsi="Times New Roman" w:cs="Times New Roman"/>
          <w:color w:val="auto"/>
          <w:highlight w:val="none"/>
        </w:rPr>
        <w:t>生活用、浇洒道路用水和冲洗电池组件用水</w:t>
      </w:r>
      <w:r>
        <w:rPr>
          <w:rFonts w:hint="eastAsia" w:cs="Times New Roman"/>
          <w:color w:val="auto"/>
          <w:highlight w:val="none"/>
          <w:lang w:eastAsia="zh-CN"/>
        </w:rPr>
        <w:t>均</w:t>
      </w:r>
      <w:r>
        <w:rPr>
          <w:rFonts w:hint="default" w:ascii="Times New Roman" w:hAnsi="Times New Roman" w:cs="Times New Roman"/>
          <w:color w:val="auto"/>
          <w:highlight w:val="none"/>
        </w:rPr>
        <w:t>引自园区给水管网</w:t>
      </w:r>
      <w:r>
        <w:rPr>
          <w:rFonts w:hint="eastAsia" w:cs="Times New Roman"/>
          <w:color w:val="auto"/>
          <w:highlight w:val="none"/>
          <w:lang w:eastAsia="zh-CN"/>
        </w:rPr>
        <w:t>，</w:t>
      </w:r>
      <w:r>
        <w:rPr>
          <w:rFonts w:hint="default" w:ascii="Times New Roman" w:hAnsi="Times New Roman" w:cs="Times New Roman"/>
          <w:color w:val="auto"/>
          <w:highlight w:val="none"/>
        </w:rPr>
        <w:t>年总用水量为4497.17m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 本工程施工用电电源引自园区10kV厂用电供电系统，沿光伏电站进场道路布置线路，各标段施工单位由该线路接入各自施工区域</w:t>
      </w:r>
      <w:r>
        <w:rPr>
          <w:rFonts w:hint="eastAsia" w:cs="Times New Roman"/>
          <w:color w:val="auto"/>
          <w:highlight w:val="none"/>
          <w:lang w:eastAsia="zh-CN"/>
        </w:rPr>
        <w:t>，</w:t>
      </w:r>
      <w:r>
        <w:rPr>
          <w:rFonts w:hint="default" w:ascii="Times New Roman" w:hAnsi="Times New Roman" w:cs="Times New Roman"/>
          <w:color w:val="auto"/>
          <w:highlight w:val="none"/>
        </w:rPr>
        <w:t>工程高峰期施工用电负荷约为250kW</w:t>
      </w:r>
      <w:r>
        <w:rPr>
          <w:rFonts w:hint="eastAsia" w:cs="Times New Roman"/>
          <w:color w:val="auto"/>
          <w:highlight w:val="none"/>
          <w:lang w:eastAsia="zh-CN"/>
        </w:rPr>
        <w:t>；项目</w:t>
      </w:r>
      <w:r>
        <w:rPr>
          <w:rFonts w:hint="default" w:ascii="Times New Roman" w:hAnsi="Times New Roman" w:cs="Times New Roman"/>
          <w:color w:val="auto"/>
          <w:highlight w:val="none"/>
        </w:rPr>
        <w:t>运行期</w:t>
      </w:r>
      <w:r>
        <w:rPr>
          <w:rFonts w:hint="eastAsia" w:cs="Times New Roman"/>
          <w:color w:val="auto"/>
          <w:highlight w:val="none"/>
          <w:lang w:eastAsia="zh-CN"/>
        </w:rPr>
        <w:t>场内用电</w:t>
      </w:r>
      <w:r>
        <w:rPr>
          <w:rFonts w:hint="default" w:ascii="Times New Roman" w:hAnsi="Times New Roman" w:cs="Times New Roman"/>
          <w:color w:val="auto"/>
          <w:highlight w:val="none"/>
        </w:rPr>
        <w:t>引自本期35kV母线上的站用变压器。</w:t>
      </w:r>
    </w:p>
    <w:p>
      <w:pPr>
        <w:pStyle w:val="56"/>
        <w:numPr>
          <w:ilvl w:val="0"/>
          <w:numId w:val="9"/>
        </w:numPr>
        <w:ind w:left="0" w:leftChars="0" w:firstLine="480" w:firstLineChars="200"/>
        <w:rPr>
          <w:rFonts w:hint="default" w:ascii="Times New Roman" w:hAnsi="Times New Roman" w:cs="Times New Roman"/>
          <w:color w:val="auto"/>
          <w:highlight w:val="none"/>
        </w:rPr>
      </w:pPr>
      <w:r>
        <w:rPr>
          <w:rFonts w:hint="eastAsia" w:cs="Times New Roman"/>
          <w:color w:val="auto"/>
          <w:highlight w:val="none"/>
          <w:lang w:eastAsia="zh-CN"/>
        </w:rPr>
        <w:t>项目地哈密市石城子光伏工业园区内，有线通信网络已十分完善，本项目通信网络从园区接入。整个项目区有移动通信信号覆盖，工程建设可利用现有的移动通信资源，作为有线通信的补充。</w:t>
      </w:r>
    </w:p>
    <w:p>
      <w:pPr>
        <w:pStyle w:val="56"/>
        <w:keepNext w:val="0"/>
        <w:keepLines w:val="0"/>
        <w:pageBreakBefore w:val="0"/>
        <w:widowControl/>
        <w:numPr>
          <w:ilvl w:val="0"/>
          <w:numId w:val="0"/>
        </w:numPr>
        <w:kinsoku/>
        <w:wordWrap/>
        <w:overflowPunct/>
        <w:topLinePunct w:val="0"/>
        <w:autoSpaceDE/>
        <w:autoSpaceDN/>
        <w:bidi w:val="0"/>
        <w:adjustRightInd w:val="0"/>
        <w:snapToGrid w:val="0"/>
        <w:ind w:leftChars="0" w:firstLine="480" w:firstLineChars="200"/>
        <w:textAlignment w:val="auto"/>
        <w:outlineLvl w:val="9"/>
        <w:rPr>
          <w:rFonts w:hint="eastAsia" w:cs="Times New Roman"/>
          <w:color w:val="auto"/>
          <w:highlight w:val="yellow"/>
          <w:lang w:eastAsia="zh-CN"/>
        </w:rPr>
      </w:pPr>
      <w:r>
        <w:rPr>
          <w:rFonts w:hint="eastAsia" w:cs="Times New Roman"/>
          <w:color w:val="auto"/>
          <w:highlight w:val="none"/>
          <w:lang w:val="en-US" w:eastAsia="zh-CN"/>
        </w:rPr>
        <w:t>4）</w:t>
      </w:r>
      <w:r>
        <w:rPr>
          <w:rFonts w:hint="default" w:ascii="Times New Roman" w:hAnsi="Times New Roman" w:cs="Times New Roman"/>
          <w:color w:val="auto"/>
          <w:highlight w:val="none"/>
        </w:rPr>
        <w:t>接入系统：</w:t>
      </w:r>
      <w:r>
        <w:rPr>
          <w:rFonts w:hint="eastAsia" w:cs="Times New Roman"/>
          <w:color w:val="auto"/>
          <w:highlight w:val="none"/>
          <w:lang w:eastAsia="zh-CN"/>
        </w:rPr>
        <w:t>弗光哈密一期20MWp光伏并网发电项目共布置</w:t>
      </w:r>
      <w:r>
        <w:rPr>
          <w:rFonts w:hint="eastAsia" w:cs="Times New Roman"/>
          <w:color w:val="auto"/>
          <w:highlight w:val="none"/>
          <w:lang w:val="en-US" w:eastAsia="zh-CN"/>
        </w:rPr>
        <w:t>8台</w:t>
      </w:r>
      <w:r>
        <w:rPr>
          <w:rFonts w:hint="default" w:ascii="Times New Roman" w:hAnsi="Times New Roman" w:cs="Times New Roman"/>
          <w:color w:val="auto"/>
          <w:highlight w:val="none"/>
        </w:rPr>
        <w:t>35kV 箱变</w:t>
      </w:r>
      <w:r>
        <w:rPr>
          <w:rFonts w:hint="eastAsia" w:cs="Times New Roman"/>
          <w:color w:val="auto"/>
          <w:highlight w:val="none"/>
          <w:lang w:val="en-US" w:eastAsia="zh-CN"/>
        </w:rPr>
        <w:t>，</w:t>
      </w:r>
      <w:r>
        <w:rPr>
          <w:rFonts w:hint="eastAsia" w:cs="Times New Roman"/>
          <w:color w:val="auto"/>
          <w:highlight w:val="none"/>
          <w:lang w:eastAsia="zh-CN"/>
        </w:rPr>
        <w:t>每</w:t>
      </w:r>
      <w:r>
        <w:rPr>
          <w:rFonts w:hint="default" w:ascii="Times New Roman" w:hAnsi="Times New Roman" w:cs="Times New Roman"/>
          <w:color w:val="auto"/>
          <w:highlight w:val="none"/>
        </w:rPr>
        <w:t>4 台 35kV 双绕组箱式变在高压侧并联为</w:t>
      </w:r>
      <w:r>
        <w:rPr>
          <w:rFonts w:hint="eastAsia" w:cs="Times New Roman"/>
          <w:color w:val="auto"/>
          <w:highlight w:val="none"/>
          <w:lang w:val="en-US" w:eastAsia="zh-CN"/>
        </w:rPr>
        <w:t>1回集电线路，</w:t>
      </w:r>
      <w:r>
        <w:t>2回集电线路</w:t>
      </w:r>
      <w:r>
        <w:rPr>
          <w:rFonts w:hint="eastAsia"/>
          <w:lang w:eastAsia="zh-CN"/>
        </w:rPr>
        <w:t>分别接入</w:t>
      </w:r>
      <w:r>
        <w:t>本工程运行管理区110kV升压汇集站的35kV配电室</w:t>
      </w:r>
      <w:r>
        <w:rPr>
          <w:rFonts w:hint="eastAsia"/>
          <w:lang w:eastAsia="zh-CN"/>
        </w:rPr>
        <w:t>，</w:t>
      </w:r>
      <w:r>
        <w:rPr>
          <w:rFonts w:hint="default" w:ascii="Times New Roman" w:hAnsi="Times New Roman" w:cs="Times New Roman"/>
          <w:color w:val="auto"/>
          <w:highlight w:val="none"/>
        </w:rPr>
        <w:t>汇流为1回35kV出线接入园区汇集站，电站采用单母线接线。</w:t>
      </w:r>
    </w:p>
    <w:p>
      <w:pPr>
        <w:pStyle w:val="56"/>
        <w:ind w:firstLine="48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防洪工程：因</w:t>
      </w:r>
      <w:r>
        <w:rPr>
          <w:rFonts w:hint="eastAsia" w:cs="Times New Roman"/>
          <w:color w:val="auto"/>
          <w:highlight w:val="none"/>
          <w:lang w:eastAsia="zh-CN"/>
        </w:rPr>
        <w:t>石城子光伏园区已修建防洪堤，防洪堤长1257m，土质防洪堤，中部为东西走向，两侧向东北及西北延伸，防洪堤底宽10.0m，高2.0m，边坡1:1，顶宽6.0m，</w:t>
      </w:r>
      <w:r>
        <w:rPr>
          <w:rFonts w:hint="eastAsia"/>
          <w:lang w:eastAsia="zh-CN"/>
        </w:rPr>
        <w:t>设计防洪标准</w:t>
      </w:r>
      <w:r>
        <w:rPr>
          <w:rFonts w:hint="eastAsia"/>
          <w:lang w:val="en-US" w:eastAsia="zh-CN"/>
        </w:rPr>
        <w:t>50年一遇，</w:t>
      </w:r>
      <w:r>
        <w:rPr>
          <w:rFonts w:hint="eastAsia" w:cs="Times New Roman"/>
          <w:color w:val="auto"/>
          <w:highlight w:val="none"/>
          <w:lang w:eastAsia="zh-CN"/>
        </w:rPr>
        <w:t>故本项目防洪依托园区现有防洪工程，不新建防洪设施</w:t>
      </w:r>
      <w:r>
        <w:rPr>
          <w:rFonts w:hint="default" w:ascii="Times New Roman" w:hAnsi="Times New Roman" w:cs="Times New Roman"/>
          <w:color w:val="auto"/>
          <w:highlight w:val="none"/>
          <w:lang w:val="en-US" w:eastAsia="zh-CN"/>
        </w:rPr>
        <w:t>。</w:t>
      </w:r>
    </w:p>
    <w:p>
      <w:pPr>
        <w:pStyle w:val="56"/>
        <w:ind w:firstLine="48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6）输电线路：本项目</w:t>
      </w:r>
      <w:r>
        <w:rPr>
          <w:rFonts w:hint="eastAsia" w:ascii="仿宋" w:hAnsi="仿宋" w:eastAsia="仿宋" w:cs="仿宋"/>
          <w:b w:val="0"/>
          <w:bCs/>
          <w:color w:val="auto"/>
          <w:sz w:val="24"/>
          <w:szCs w:val="24"/>
          <w:highlight w:val="none"/>
          <w:lang w:val="en-US" w:eastAsia="zh-CN"/>
        </w:rPr>
        <w:t>外送输电线路可依托园区现有输电线路，不需新建外送输电线路。</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（9）工程特性表</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表2.1-</w:t>
      </w:r>
      <w:bookmarkStart w:id="74" w:name="OLE_LINK2"/>
      <w:r>
        <w:rPr>
          <w:rFonts w:hint="default" w:ascii="Times New Roman" w:hAnsi="Times New Roman" w:cs="Times New Roman"/>
          <w:color w:val="auto"/>
          <w:highlight w:val="none"/>
        </w:rPr>
        <w:t xml:space="preserve">1     </w:t>
      </w:r>
      <w:r>
        <w:rPr>
          <w:rFonts w:hint="eastAsia" w:cs="Times New Roman"/>
          <w:color w:val="auto"/>
          <w:highlight w:val="none"/>
          <w:lang w:eastAsia="zh-CN"/>
        </w:rPr>
        <w:t>弗光哈密一期20MWp光伏并网发电项目</w:t>
      </w:r>
      <w:r>
        <w:rPr>
          <w:rFonts w:hint="default" w:ascii="Times New Roman" w:hAnsi="Times New Roman" w:cs="Times New Roman"/>
          <w:color w:val="auto"/>
          <w:highlight w:val="none"/>
        </w:rPr>
        <w:t>工程特性表</w:t>
      </w:r>
    </w:p>
    <w:tbl>
      <w:tblPr>
        <w:tblStyle w:val="27"/>
        <w:tblW w:w="90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60"/>
        <w:gridCol w:w="416"/>
        <w:gridCol w:w="585"/>
        <w:gridCol w:w="562"/>
        <w:gridCol w:w="338"/>
        <w:gridCol w:w="760"/>
        <w:gridCol w:w="736"/>
        <w:gridCol w:w="616"/>
        <w:gridCol w:w="221"/>
        <w:gridCol w:w="93"/>
        <w:gridCol w:w="225"/>
        <w:gridCol w:w="376"/>
        <w:gridCol w:w="274"/>
        <w:gridCol w:w="655"/>
        <w:gridCol w:w="265"/>
        <w:gridCol w:w="144"/>
        <w:gridCol w:w="173"/>
        <w:gridCol w:w="628"/>
        <w:gridCol w:w="787"/>
        <w:gridCol w:w="6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9000" w:type="dxa"/>
            <w:gridSpan w:val="20"/>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一、项目的基本情况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876" w:type="dxa"/>
            <w:gridSpan w:val="2"/>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147" w:type="dxa"/>
            <w:gridSpan w:val="2"/>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项目名称</w:t>
            </w:r>
          </w:p>
        </w:tc>
        <w:tc>
          <w:tcPr>
            <w:tcW w:w="6977" w:type="dxa"/>
            <w:gridSpan w:val="16"/>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弗光哈密一期20MWp光伏并网发电项目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876" w:type="dxa"/>
            <w:gridSpan w:val="2"/>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1147" w:type="dxa"/>
            <w:gridSpan w:val="2"/>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w:t>
            </w:r>
          </w:p>
        </w:tc>
        <w:tc>
          <w:tcPr>
            <w:tcW w:w="2764" w:type="dxa"/>
            <w:gridSpan w:val="6"/>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哈密市石城子光伏产业园</w:t>
            </w:r>
          </w:p>
        </w:tc>
        <w:tc>
          <w:tcPr>
            <w:tcW w:w="1530" w:type="dxa"/>
            <w:gridSpan w:val="4"/>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水行政主管部门</w:t>
            </w:r>
          </w:p>
        </w:tc>
        <w:tc>
          <w:tcPr>
            <w:tcW w:w="2683" w:type="dxa"/>
            <w:gridSpan w:val="6"/>
            <w:vAlign w:val="center"/>
          </w:tcPr>
          <w:p>
            <w:pPr>
              <w:pStyle w:val="84"/>
              <w:rPr>
                <w:rFonts w:hint="default" w:ascii="Times New Roman" w:hAnsi="Times New Roman" w:eastAsia="仿宋_GB2312" w:cs="Times New Roman"/>
                <w:color w:val="auto"/>
                <w:highlight w:val="none"/>
                <w:lang w:eastAsia="zh-CN"/>
              </w:rPr>
            </w:pPr>
            <w:r>
              <w:rPr>
                <w:rFonts w:hint="eastAsia" w:cs="Times New Roman"/>
                <w:color w:val="auto"/>
                <w:highlight w:val="none"/>
                <w:lang w:eastAsia="zh-CN"/>
              </w:rPr>
              <w:t>哈密市水利局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876" w:type="dxa"/>
            <w:gridSpan w:val="2"/>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1147" w:type="dxa"/>
            <w:gridSpan w:val="2"/>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工程等级</w:t>
            </w:r>
          </w:p>
        </w:tc>
        <w:tc>
          <w:tcPr>
            <w:tcW w:w="2764" w:type="dxa"/>
            <w:gridSpan w:val="6"/>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中型</w:t>
            </w:r>
          </w:p>
        </w:tc>
        <w:tc>
          <w:tcPr>
            <w:tcW w:w="1530" w:type="dxa"/>
            <w:gridSpan w:val="4"/>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工程性质</w:t>
            </w:r>
          </w:p>
        </w:tc>
        <w:tc>
          <w:tcPr>
            <w:tcW w:w="2683" w:type="dxa"/>
            <w:gridSpan w:val="6"/>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新建项目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876" w:type="dxa"/>
            <w:gridSpan w:val="2"/>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1147" w:type="dxa"/>
            <w:gridSpan w:val="2"/>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w:t>
            </w:r>
          </w:p>
        </w:tc>
        <w:tc>
          <w:tcPr>
            <w:tcW w:w="6977" w:type="dxa"/>
            <w:gridSpan w:val="16"/>
            <w:vAlign w:val="center"/>
          </w:tcPr>
          <w:p>
            <w:pPr>
              <w:pStyle w:val="84"/>
              <w:rPr>
                <w:rFonts w:hint="default" w:ascii="Times New Roman" w:hAnsi="Times New Roman" w:eastAsia="仿宋_GB2312" w:cs="Times New Roman"/>
                <w:color w:val="auto"/>
                <w:highlight w:val="none"/>
                <w:lang w:eastAsia="zh-CN"/>
              </w:rPr>
            </w:pPr>
            <w:r>
              <w:rPr>
                <w:rFonts w:hint="eastAsia" w:cs="Times New Roman"/>
                <w:color w:val="auto"/>
                <w:szCs w:val="36"/>
                <w:highlight w:val="none"/>
                <w:lang w:eastAsia="zh-CN"/>
              </w:rPr>
              <w:t>哈密弗光太阳能有限公司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876" w:type="dxa"/>
            <w:gridSpan w:val="2"/>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1147" w:type="dxa"/>
            <w:gridSpan w:val="2"/>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投资单位</w:t>
            </w:r>
          </w:p>
        </w:tc>
        <w:tc>
          <w:tcPr>
            <w:tcW w:w="6977" w:type="dxa"/>
            <w:gridSpan w:val="16"/>
            <w:vAlign w:val="center"/>
          </w:tcPr>
          <w:p>
            <w:pPr>
              <w:pStyle w:val="84"/>
              <w:rPr>
                <w:rFonts w:hint="default" w:ascii="Times New Roman" w:hAnsi="Times New Roman" w:eastAsia="仿宋_GB2312" w:cs="Times New Roman"/>
                <w:color w:val="auto"/>
                <w:highlight w:val="none"/>
                <w:lang w:eastAsia="zh-CN"/>
              </w:rPr>
            </w:pPr>
            <w:r>
              <w:rPr>
                <w:rFonts w:hint="eastAsia" w:cs="Times New Roman"/>
                <w:color w:val="auto"/>
                <w:szCs w:val="36"/>
                <w:highlight w:val="none"/>
                <w:lang w:eastAsia="zh-CN"/>
              </w:rPr>
              <w:t>哈密弗光太阳能有限公司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876" w:type="dxa"/>
            <w:gridSpan w:val="2"/>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1147" w:type="dxa"/>
            <w:gridSpan w:val="2"/>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建设规模</w:t>
            </w:r>
          </w:p>
        </w:tc>
        <w:tc>
          <w:tcPr>
            <w:tcW w:w="6977" w:type="dxa"/>
            <w:gridSpan w:val="16"/>
            <w:vAlign w:val="center"/>
          </w:tcPr>
          <w:p>
            <w:pPr>
              <w:pStyle w:val="84"/>
              <w:jc w:val="left"/>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eastAsia="zh-CN"/>
              </w:rPr>
              <w:t>弗光哈密一期20MWp光伏并网发电项目</w:t>
            </w:r>
            <w:r>
              <w:rPr>
                <w:rFonts w:hint="default" w:ascii="Times New Roman" w:hAnsi="Times New Roman" w:cs="Times New Roman"/>
                <w:color w:val="auto"/>
                <w:highlight w:val="none"/>
              </w:rPr>
              <w:t>，建设规模</w:t>
            </w:r>
            <w:r>
              <w:rPr>
                <w:rFonts w:hint="eastAsia" w:cs="Times New Roman"/>
                <w:color w:val="auto"/>
                <w:highlight w:val="none"/>
                <w:lang w:val="en-US" w:eastAsia="zh-CN"/>
              </w:rPr>
              <w:t>11.7644</w:t>
            </w:r>
            <w:r>
              <w:rPr>
                <w:rFonts w:hint="default" w:ascii="Times New Roman" w:hAnsi="Times New Roman" w:cs="Times New Roman"/>
                <w:color w:val="auto"/>
                <w:highlight w:val="none"/>
                <w:lang w:eastAsia="zh-CN"/>
              </w:rPr>
              <w:t>MWp</w:t>
            </w:r>
            <w:r>
              <w:rPr>
                <w:rFonts w:hint="default" w:ascii="Times New Roman" w:hAnsi="Times New Roman" w:cs="Times New Roman"/>
                <w:color w:val="auto"/>
                <w:highlight w:val="none"/>
              </w:rPr>
              <w:t>，建设地点位于新疆</w:t>
            </w:r>
            <w:r>
              <w:rPr>
                <w:rFonts w:hint="eastAsia" w:cs="Times New Roman"/>
                <w:color w:val="auto"/>
                <w:highlight w:val="none"/>
                <w:lang w:eastAsia="zh-CN"/>
              </w:rPr>
              <w:t>哈密市石城子光伏产业园</w:t>
            </w:r>
            <w:r>
              <w:rPr>
                <w:rFonts w:hint="default" w:ascii="Times New Roman" w:hAnsi="Times New Roman" w:cs="Times New Roman"/>
                <w:color w:val="auto"/>
                <w:highlight w:val="none"/>
              </w:rPr>
              <w:t>；</w:t>
            </w:r>
            <w:r>
              <w:rPr>
                <w:rFonts w:hint="eastAsia" w:cs="Times New Roman"/>
                <w:color w:val="auto"/>
                <w:highlight w:val="none"/>
                <w:lang w:eastAsia="zh-CN"/>
              </w:rPr>
              <w:t>本项目共安装</w:t>
            </w:r>
            <w:r>
              <w:rPr>
                <w:rFonts w:hint="eastAsia" w:cs="Times New Roman"/>
                <w:color w:val="auto"/>
                <w:highlight w:val="none"/>
                <w:lang w:val="en-US" w:eastAsia="zh-CN"/>
              </w:rPr>
              <w:t>1.48MVA</w:t>
            </w:r>
            <w:r>
              <w:rPr>
                <w:rFonts w:hint="default" w:ascii="Times New Roman" w:hAnsi="Times New Roman" w:cs="Times New Roman"/>
                <w:color w:val="auto"/>
                <w:highlight w:val="none"/>
              </w:rPr>
              <w:t>箱变</w:t>
            </w:r>
            <w:r>
              <w:rPr>
                <w:rFonts w:hint="eastAsia" w:cs="Times New Roman"/>
                <w:color w:val="auto"/>
                <w:highlight w:val="none"/>
                <w:lang w:val="en-US" w:eastAsia="zh-CN"/>
              </w:rPr>
              <w:t>8个；安装逆变器共计630台，分别为：20</w:t>
            </w:r>
            <w:r>
              <w:rPr>
                <w:rFonts w:hint="default" w:ascii="Times New Roman" w:hAnsi="Times New Roman" w:cs="Times New Roman"/>
                <w:color w:val="auto"/>
                <w:highlight w:val="none"/>
              </w:rPr>
              <w:t>kW</w:t>
            </w:r>
            <w:r>
              <w:rPr>
                <w:rFonts w:hint="eastAsia" w:cs="Times New Roman"/>
                <w:color w:val="auto"/>
                <w:highlight w:val="none"/>
                <w:lang w:eastAsia="zh-CN"/>
              </w:rPr>
              <w:t>逆变器</w:t>
            </w:r>
            <w:r>
              <w:rPr>
                <w:rFonts w:hint="eastAsia" w:cs="Times New Roman"/>
                <w:color w:val="auto"/>
                <w:highlight w:val="none"/>
                <w:lang w:val="en-US" w:eastAsia="zh-CN"/>
              </w:rPr>
              <w:t>396台，8</w:t>
            </w:r>
            <w:r>
              <w:rPr>
                <w:rFonts w:hint="default" w:ascii="Times New Roman" w:hAnsi="Times New Roman" w:cs="Times New Roman"/>
                <w:color w:val="auto"/>
                <w:highlight w:val="none"/>
              </w:rPr>
              <w:t>kW</w:t>
            </w:r>
            <w:r>
              <w:rPr>
                <w:rFonts w:hint="eastAsia" w:cs="Times New Roman"/>
                <w:color w:val="auto"/>
                <w:highlight w:val="none"/>
                <w:lang w:eastAsia="zh-CN"/>
              </w:rPr>
              <w:t>逆变器</w:t>
            </w:r>
            <w:r>
              <w:rPr>
                <w:rFonts w:hint="eastAsia" w:cs="Times New Roman"/>
                <w:color w:val="auto"/>
                <w:highlight w:val="none"/>
                <w:lang w:val="en-US" w:eastAsia="zh-CN"/>
              </w:rPr>
              <w:t>202台，125</w:t>
            </w:r>
            <w:r>
              <w:rPr>
                <w:rFonts w:hint="default" w:ascii="Times New Roman" w:hAnsi="Times New Roman" w:cs="Times New Roman"/>
                <w:color w:val="auto"/>
                <w:highlight w:val="none"/>
              </w:rPr>
              <w:t>kW</w:t>
            </w:r>
            <w:r>
              <w:rPr>
                <w:rFonts w:hint="eastAsia" w:cs="Times New Roman"/>
                <w:color w:val="auto"/>
                <w:highlight w:val="none"/>
                <w:lang w:eastAsia="zh-CN"/>
              </w:rPr>
              <w:t>逆变器</w:t>
            </w:r>
            <w:r>
              <w:rPr>
                <w:rFonts w:hint="eastAsia" w:cs="Times New Roman"/>
                <w:color w:val="auto"/>
                <w:highlight w:val="none"/>
                <w:lang w:val="en-US" w:eastAsia="zh-CN"/>
              </w:rPr>
              <w:t>32台。本项目</w:t>
            </w:r>
            <w:r>
              <w:rPr>
                <w:rFonts w:hint="eastAsia" w:cs="Times New Roman"/>
                <w:color w:val="auto"/>
                <w:highlight w:val="none"/>
                <w:lang w:eastAsia="zh-CN"/>
              </w:rPr>
              <w:t>安装</w:t>
            </w:r>
            <w:r>
              <w:rPr>
                <w:rFonts w:hint="eastAsia" w:cs="Times New Roman"/>
                <w:color w:val="auto"/>
                <w:highlight w:val="none"/>
                <w:lang w:val="en-US" w:eastAsia="zh-CN"/>
              </w:rPr>
              <w:t>4种型号光伏组件共26820片，分别为：单晶单面2040Wp组件3168块；单晶单面75Wp组件13500块；多晶单面425Wp组件5076块；多晶单面420Wp组件5076块，均为固定倾角式安装</w:t>
            </w:r>
            <w:r>
              <w:rPr>
                <w:rFonts w:hint="default" w:ascii="Times New Roman" w:hAnsi="Times New Roman" w:cs="Times New Roman"/>
                <w:color w:val="auto"/>
                <w:highlight w:val="none"/>
              </w:rPr>
              <w:t>。</w:t>
            </w:r>
            <w:r>
              <w:rPr>
                <w:rFonts w:hint="eastAsia" w:cs="Times New Roman"/>
                <w:color w:val="auto"/>
                <w:highlight w:val="none"/>
                <w:lang w:eastAsia="zh-CN"/>
              </w:rPr>
              <w:t>光伏发电区内布置集电线路长</w:t>
            </w:r>
            <w:r>
              <w:rPr>
                <w:rFonts w:hint="eastAsia" w:cs="Times New Roman"/>
                <w:color w:val="auto"/>
                <w:highlight w:val="none"/>
                <w:lang w:val="en-US" w:eastAsia="zh-CN"/>
              </w:rPr>
              <w:t>4.6km，</w:t>
            </w:r>
            <w:r>
              <w:rPr>
                <w:rFonts w:hint="default" w:ascii="Times New Roman" w:hAnsi="Times New Roman" w:cs="Times New Roman"/>
                <w:color w:val="auto"/>
                <w:highlight w:val="none"/>
              </w:rPr>
              <w:t>35kV开关站等配电辅助系统</w:t>
            </w:r>
            <w:r>
              <w:rPr>
                <w:rFonts w:hint="eastAsia" w:cs="Times New Roman"/>
                <w:color w:val="auto"/>
                <w:highlight w:val="none"/>
                <w:lang w:eastAsia="zh-CN"/>
              </w:rPr>
              <w:t>。</w:t>
            </w:r>
            <w:r>
              <w:rPr>
                <w:rFonts w:hint="default" w:ascii="Times New Roman" w:hAnsi="Times New Roman" w:cs="Times New Roman"/>
                <w:color w:val="auto"/>
                <w:highlight w:val="none"/>
              </w:rPr>
              <w:t>另新建</w:t>
            </w:r>
            <w:r>
              <w:rPr>
                <w:rFonts w:hint="eastAsia" w:cs="Times New Roman"/>
                <w:color w:val="auto"/>
                <w:highlight w:val="none"/>
                <w:lang w:eastAsia="zh-CN"/>
              </w:rPr>
              <w:t>运行管理区一个占地</w:t>
            </w:r>
            <w:r>
              <w:rPr>
                <w:rFonts w:hint="eastAsia" w:cs="Times New Roman"/>
                <w:color w:val="auto"/>
                <w:highlight w:val="none"/>
                <w:lang w:val="en-US" w:eastAsia="zh-CN"/>
              </w:rPr>
              <w:t>0.83hm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；新疆进场道路</w:t>
            </w:r>
            <w:r>
              <w:rPr>
                <w:rFonts w:hint="eastAsia" w:cs="Times New Roman"/>
                <w:color w:val="auto"/>
                <w:highlight w:val="none"/>
                <w:lang w:eastAsia="zh-CN"/>
              </w:rPr>
              <w:t>一</w:t>
            </w:r>
            <w:r>
              <w:rPr>
                <w:rFonts w:hint="default" w:ascii="Times New Roman" w:hAnsi="Times New Roman" w:cs="Times New Roman"/>
                <w:color w:val="auto"/>
                <w:highlight w:val="none"/>
                <w:lang w:eastAsia="zh-CN"/>
              </w:rPr>
              <w:t>条</w:t>
            </w:r>
            <w:r>
              <w:rPr>
                <w:rFonts w:hint="eastAsia" w:cs="Times New Roman"/>
                <w:color w:val="auto"/>
                <w:highlight w:val="none"/>
                <w:lang w:eastAsia="zh-CN"/>
              </w:rPr>
              <w:t>，长</w:t>
            </w:r>
            <w:r>
              <w:rPr>
                <w:rFonts w:hint="eastAsia" w:cs="Times New Roman"/>
                <w:color w:val="auto"/>
                <w:highlight w:val="none"/>
                <w:lang w:val="en-US" w:eastAsia="zh-CN"/>
              </w:rPr>
              <w:t>50m，宽6m，混凝土</w:t>
            </w:r>
            <w:r>
              <w:rPr>
                <w:rFonts w:hint="default" w:ascii="Times New Roman" w:hAnsi="Times New Roman" w:cs="Times New Roman"/>
                <w:color w:val="auto"/>
                <w:highlight w:val="none"/>
                <w:lang w:eastAsia="zh-CN"/>
              </w:rPr>
              <w:t>进场道路</w:t>
            </w:r>
            <w:r>
              <w:rPr>
                <w:rFonts w:hint="eastAsia" w:cs="Times New Roman"/>
                <w:color w:val="auto"/>
                <w:highlight w:val="none"/>
                <w:lang w:eastAsia="zh-CN"/>
              </w:rPr>
              <w:t>；建成砂砾石场内道路</w:t>
            </w:r>
            <w:r>
              <w:rPr>
                <w:rFonts w:hint="eastAsia" w:cs="Times New Roman"/>
                <w:color w:val="auto"/>
                <w:highlight w:val="none"/>
                <w:lang w:val="en-US" w:eastAsia="zh-CN"/>
              </w:rPr>
              <w:t>4.8km，宽4m。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876" w:type="dxa"/>
            <w:gridSpan w:val="2"/>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7</w:t>
            </w:r>
          </w:p>
        </w:tc>
        <w:tc>
          <w:tcPr>
            <w:tcW w:w="1147" w:type="dxa"/>
            <w:gridSpan w:val="2"/>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总投资</w:t>
            </w:r>
          </w:p>
        </w:tc>
        <w:tc>
          <w:tcPr>
            <w:tcW w:w="2671" w:type="dxa"/>
            <w:gridSpan w:val="5"/>
            <w:vAlign w:val="center"/>
          </w:tcPr>
          <w:p>
            <w:pPr>
              <w:pStyle w:val="84"/>
              <w:rPr>
                <w:rFonts w:hint="default" w:ascii="Times New Roman" w:hAnsi="Times New Roman" w:cs="Times New Roman"/>
                <w:color w:val="auto"/>
                <w:highlight w:val="none"/>
              </w:rPr>
            </w:pPr>
            <w:r>
              <w:rPr>
                <w:rFonts w:hint="eastAsia" w:cs="Times New Roman"/>
                <w:color w:val="auto"/>
                <w:highlight w:val="none"/>
                <w:lang w:val="en-US" w:eastAsia="zh-CN"/>
              </w:rPr>
              <w:t>32472.2</w:t>
            </w:r>
            <w:r>
              <w:rPr>
                <w:rFonts w:hint="default" w:ascii="Times New Roman" w:hAnsi="Times New Roman" w:cs="Times New Roman"/>
                <w:color w:val="auto"/>
                <w:highlight w:val="none"/>
              </w:rPr>
              <w:t>万元</w:t>
            </w:r>
          </w:p>
        </w:tc>
        <w:tc>
          <w:tcPr>
            <w:tcW w:w="694" w:type="dxa"/>
            <w:gridSpan w:val="3"/>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1194" w:type="dxa"/>
            <w:gridSpan w:val="3"/>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土建投资</w:t>
            </w:r>
          </w:p>
        </w:tc>
        <w:tc>
          <w:tcPr>
            <w:tcW w:w="2418" w:type="dxa"/>
            <w:gridSpan w:val="5"/>
            <w:vAlign w:val="center"/>
          </w:tcPr>
          <w:p>
            <w:pPr>
              <w:pStyle w:val="84"/>
              <w:rPr>
                <w:rFonts w:hint="default" w:ascii="Times New Roman" w:hAnsi="Times New Roman" w:cs="Times New Roman"/>
                <w:color w:val="auto"/>
                <w:highlight w:val="none"/>
              </w:rPr>
            </w:pPr>
            <w:r>
              <w:rPr>
                <w:rFonts w:hint="eastAsia" w:cs="Times New Roman"/>
                <w:color w:val="auto"/>
                <w:highlight w:val="none"/>
                <w:lang w:val="en-US" w:eastAsia="zh-CN"/>
              </w:rPr>
              <w:t>1995.95</w:t>
            </w:r>
            <w:r>
              <w:rPr>
                <w:rFonts w:hint="default" w:ascii="Times New Roman" w:hAnsi="Times New Roman" w:cs="Times New Roman"/>
                <w:color w:val="auto"/>
                <w:highlight w:val="none"/>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876" w:type="dxa"/>
            <w:gridSpan w:val="2"/>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1147" w:type="dxa"/>
            <w:gridSpan w:val="2"/>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建设期</w:t>
            </w:r>
          </w:p>
        </w:tc>
        <w:tc>
          <w:tcPr>
            <w:tcW w:w="6977" w:type="dxa"/>
            <w:gridSpan w:val="16"/>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工程于20</w:t>
            </w:r>
            <w:r>
              <w:rPr>
                <w:rFonts w:hint="eastAsia" w:cs="Times New Roman"/>
                <w:color w:val="auto"/>
                <w:highlight w:val="none"/>
                <w:lang w:val="en-US" w:eastAsia="zh-CN"/>
              </w:rPr>
              <w:t>12</w:t>
            </w:r>
            <w:r>
              <w:rPr>
                <w:rFonts w:hint="default" w:ascii="Times New Roman" w:hAnsi="Times New Roman" w:cs="Times New Roman"/>
                <w:color w:val="auto"/>
                <w:highlight w:val="none"/>
              </w:rPr>
              <w:t>年</w:t>
            </w:r>
            <w:r>
              <w:rPr>
                <w:rFonts w:hint="eastAsia" w:cs="Times New Roman"/>
                <w:color w:val="auto"/>
                <w:highlight w:val="none"/>
                <w:lang w:val="en-US" w:eastAsia="zh-CN"/>
              </w:rPr>
              <w:t>12</w:t>
            </w:r>
            <w:r>
              <w:rPr>
                <w:rFonts w:hint="default" w:ascii="Times New Roman" w:hAnsi="Times New Roman" w:cs="Times New Roman"/>
                <w:color w:val="auto"/>
                <w:highlight w:val="none"/>
              </w:rPr>
              <w:t>月开工，于20</w:t>
            </w:r>
            <w:r>
              <w:rPr>
                <w:rFonts w:hint="eastAsia" w:cs="Times New Roman"/>
                <w:color w:val="auto"/>
                <w:highlight w:val="none"/>
                <w:lang w:val="en-US" w:eastAsia="zh-CN"/>
              </w:rPr>
              <w:t>13</w:t>
            </w:r>
            <w:r>
              <w:rPr>
                <w:rFonts w:hint="default" w:ascii="Times New Roman" w:hAnsi="Times New Roman" w:cs="Times New Roman"/>
                <w:color w:val="auto"/>
                <w:highlight w:val="none"/>
              </w:rPr>
              <w:t>年12月完工。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9000" w:type="dxa"/>
            <w:gridSpan w:val="20"/>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二、项目组成及主要技术指标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3121" w:type="dxa"/>
            <w:gridSpan w:val="6"/>
            <w:vMerge w:val="restart"/>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项目组成</w:t>
            </w:r>
          </w:p>
        </w:tc>
        <w:tc>
          <w:tcPr>
            <w:tcW w:w="5879" w:type="dxa"/>
            <w:gridSpan w:val="14"/>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占地面积(hm²)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3121" w:type="dxa"/>
            <w:gridSpan w:val="6"/>
            <w:vMerge w:val="continue"/>
            <w:vAlign w:val="center"/>
          </w:tcPr>
          <w:p>
            <w:pPr>
              <w:pStyle w:val="84"/>
              <w:rPr>
                <w:rFonts w:hint="default" w:ascii="Times New Roman" w:hAnsi="Times New Roman" w:cs="Times New Roman"/>
                <w:color w:val="auto"/>
                <w:highlight w:val="none"/>
              </w:rPr>
            </w:pPr>
          </w:p>
        </w:tc>
        <w:tc>
          <w:tcPr>
            <w:tcW w:w="1666" w:type="dxa"/>
            <w:gridSpan w:val="4"/>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永久占地</w:t>
            </w:r>
          </w:p>
        </w:tc>
        <w:tc>
          <w:tcPr>
            <w:tcW w:w="1939" w:type="dxa"/>
            <w:gridSpan w:val="6"/>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临时占地</w:t>
            </w:r>
          </w:p>
        </w:tc>
        <w:tc>
          <w:tcPr>
            <w:tcW w:w="2274" w:type="dxa"/>
            <w:gridSpan w:val="4"/>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460" w:type="dxa"/>
            <w:vMerge w:val="restart"/>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冲洪积平原区</w:t>
            </w:r>
          </w:p>
        </w:tc>
        <w:tc>
          <w:tcPr>
            <w:tcW w:w="1001" w:type="dxa"/>
            <w:gridSpan w:val="2"/>
            <w:vMerge w:val="restart"/>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光伏发电区</w:t>
            </w:r>
          </w:p>
        </w:tc>
        <w:tc>
          <w:tcPr>
            <w:tcW w:w="1660" w:type="dxa"/>
            <w:gridSpan w:val="3"/>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光伏阵列区</w:t>
            </w:r>
          </w:p>
        </w:tc>
        <w:tc>
          <w:tcPr>
            <w:tcW w:w="1666" w:type="dxa"/>
            <w:gridSpan w:val="4"/>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43.46</w:t>
            </w:r>
          </w:p>
        </w:tc>
        <w:tc>
          <w:tcPr>
            <w:tcW w:w="1939" w:type="dxa"/>
            <w:gridSpan w:val="6"/>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2274" w:type="dxa"/>
            <w:gridSpan w:val="4"/>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43.46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460" w:type="dxa"/>
            <w:vMerge w:val="continue"/>
            <w:vAlign w:val="center"/>
          </w:tcPr>
          <w:p>
            <w:pPr>
              <w:pStyle w:val="84"/>
              <w:rPr>
                <w:rFonts w:hint="default" w:ascii="Times New Roman" w:hAnsi="Times New Roman" w:cs="Times New Roman"/>
                <w:color w:val="auto"/>
                <w:highlight w:val="none"/>
              </w:rPr>
            </w:pPr>
          </w:p>
        </w:tc>
        <w:tc>
          <w:tcPr>
            <w:tcW w:w="1001" w:type="dxa"/>
            <w:gridSpan w:val="2"/>
            <w:vMerge w:val="continue"/>
            <w:vAlign w:val="center"/>
          </w:tcPr>
          <w:p>
            <w:pPr>
              <w:pStyle w:val="84"/>
              <w:rPr>
                <w:rFonts w:hint="default" w:ascii="Times New Roman" w:hAnsi="Times New Roman" w:cs="Times New Roman"/>
                <w:color w:val="auto"/>
                <w:highlight w:val="none"/>
              </w:rPr>
            </w:pPr>
          </w:p>
        </w:tc>
        <w:tc>
          <w:tcPr>
            <w:tcW w:w="1660" w:type="dxa"/>
            <w:gridSpan w:val="3"/>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集电线路区</w:t>
            </w:r>
          </w:p>
        </w:tc>
        <w:tc>
          <w:tcPr>
            <w:tcW w:w="1666" w:type="dxa"/>
            <w:gridSpan w:val="4"/>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snapToGrid w:val="0"/>
                <w:color w:val="auto"/>
                <w:kern w:val="24"/>
                <w:sz w:val="21"/>
                <w:szCs w:val="21"/>
                <w:highlight w:val="none"/>
                <w:lang w:val="en-US" w:eastAsia="zh-CN"/>
              </w:rPr>
              <w:t>2.76</w:t>
            </w:r>
            <w:r>
              <w:rPr>
                <w:rFonts w:hint="default" w:ascii="Times New Roman" w:hAnsi="Times New Roman" w:eastAsia="仿宋_GB2312" w:cs="Times New Roman"/>
                <w:snapToGrid w:val="0"/>
                <w:color w:val="auto"/>
                <w:kern w:val="24"/>
                <w:sz w:val="21"/>
                <w:szCs w:val="21"/>
                <w:highlight w:val="none"/>
                <w:lang w:val="en-US" w:eastAsia="zh-CN"/>
              </w:rPr>
              <w:t xml:space="preserve"> </w:t>
            </w:r>
          </w:p>
        </w:tc>
        <w:tc>
          <w:tcPr>
            <w:tcW w:w="1939" w:type="dxa"/>
            <w:gridSpan w:val="6"/>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2274" w:type="dxa"/>
            <w:gridSpan w:val="4"/>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snapToGrid w:val="0"/>
                <w:color w:val="auto"/>
                <w:kern w:val="24"/>
                <w:sz w:val="21"/>
                <w:szCs w:val="21"/>
                <w:highlight w:val="none"/>
                <w:lang w:val="en-US" w:eastAsia="zh-CN"/>
              </w:rPr>
              <w:t>2.76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460" w:type="dxa"/>
            <w:vMerge w:val="continue"/>
            <w:vAlign w:val="center"/>
          </w:tcPr>
          <w:p>
            <w:pPr>
              <w:pStyle w:val="84"/>
              <w:rPr>
                <w:rFonts w:hint="default" w:ascii="Times New Roman" w:hAnsi="Times New Roman" w:cs="Times New Roman"/>
                <w:color w:val="auto"/>
                <w:highlight w:val="none"/>
              </w:rPr>
            </w:pPr>
          </w:p>
        </w:tc>
        <w:tc>
          <w:tcPr>
            <w:tcW w:w="1001" w:type="dxa"/>
            <w:gridSpan w:val="2"/>
            <w:vMerge w:val="restart"/>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道路工程区</w:t>
            </w:r>
          </w:p>
        </w:tc>
        <w:tc>
          <w:tcPr>
            <w:tcW w:w="1660" w:type="dxa"/>
            <w:gridSpan w:val="3"/>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进场道路</w:t>
            </w:r>
          </w:p>
        </w:tc>
        <w:tc>
          <w:tcPr>
            <w:tcW w:w="1666" w:type="dxa"/>
            <w:gridSpan w:val="4"/>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0.03</w:t>
            </w:r>
          </w:p>
        </w:tc>
        <w:tc>
          <w:tcPr>
            <w:tcW w:w="1939" w:type="dxa"/>
            <w:gridSpan w:val="6"/>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2274" w:type="dxa"/>
            <w:gridSpan w:val="4"/>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snapToGrid w:val="0"/>
                <w:color w:val="auto"/>
                <w:kern w:val="24"/>
                <w:sz w:val="21"/>
                <w:szCs w:val="21"/>
                <w:highlight w:val="none"/>
                <w:lang w:val="en-US" w:eastAsia="zh-CN"/>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460" w:type="dxa"/>
            <w:vMerge w:val="continue"/>
            <w:vAlign w:val="center"/>
          </w:tcPr>
          <w:p>
            <w:pPr>
              <w:pStyle w:val="84"/>
              <w:rPr>
                <w:rFonts w:hint="default" w:ascii="Times New Roman" w:hAnsi="Times New Roman" w:cs="Times New Roman"/>
                <w:color w:val="auto"/>
                <w:highlight w:val="none"/>
              </w:rPr>
            </w:pPr>
          </w:p>
        </w:tc>
        <w:tc>
          <w:tcPr>
            <w:tcW w:w="1001" w:type="dxa"/>
            <w:gridSpan w:val="2"/>
            <w:vMerge w:val="continue"/>
            <w:vAlign w:val="center"/>
          </w:tcPr>
          <w:p>
            <w:pPr>
              <w:pStyle w:val="84"/>
              <w:rPr>
                <w:rFonts w:hint="default" w:ascii="Times New Roman" w:hAnsi="Times New Roman" w:cs="Times New Roman"/>
                <w:color w:val="auto"/>
                <w:highlight w:val="none"/>
              </w:rPr>
            </w:pPr>
          </w:p>
        </w:tc>
        <w:tc>
          <w:tcPr>
            <w:tcW w:w="1660" w:type="dxa"/>
            <w:gridSpan w:val="3"/>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场内道路</w:t>
            </w:r>
          </w:p>
        </w:tc>
        <w:tc>
          <w:tcPr>
            <w:tcW w:w="1666" w:type="dxa"/>
            <w:gridSpan w:val="4"/>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snapToGrid w:val="0"/>
                <w:color w:val="auto"/>
                <w:kern w:val="24"/>
                <w:sz w:val="21"/>
                <w:szCs w:val="21"/>
                <w:highlight w:val="none"/>
                <w:lang w:val="en-US" w:eastAsia="zh-CN"/>
              </w:rPr>
              <w:t>1.92</w:t>
            </w:r>
          </w:p>
        </w:tc>
        <w:tc>
          <w:tcPr>
            <w:tcW w:w="1939" w:type="dxa"/>
            <w:gridSpan w:val="6"/>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2274" w:type="dxa"/>
            <w:gridSpan w:val="4"/>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snapToGrid w:val="0"/>
                <w:color w:val="auto"/>
                <w:kern w:val="24"/>
                <w:sz w:val="21"/>
                <w:szCs w:val="21"/>
                <w:highlight w:val="none"/>
                <w:lang w:val="en-US" w:eastAsia="zh-CN"/>
              </w:rPr>
              <w:t>1.92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460" w:type="dxa"/>
            <w:vMerge w:val="continue"/>
            <w:vAlign w:val="center"/>
          </w:tcPr>
          <w:p>
            <w:pPr>
              <w:pStyle w:val="84"/>
              <w:rPr>
                <w:rFonts w:hint="default" w:ascii="Times New Roman" w:hAnsi="Times New Roman" w:cs="Times New Roman"/>
                <w:color w:val="auto"/>
                <w:highlight w:val="none"/>
              </w:rPr>
            </w:pPr>
          </w:p>
        </w:tc>
        <w:tc>
          <w:tcPr>
            <w:tcW w:w="2661" w:type="dxa"/>
            <w:gridSpan w:val="5"/>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运行管理区</w:t>
            </w:r>
          </w:p>
        </w:tc>
        <w:tc>
          <w:tcPr>
            <w:tcW w:w="1666" w:type="dxa"/>
            <w:gridSpan w:val="4"/>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default" w:ascii="Times New Roman" w:hAnsi="Times New Roman" w:eastAsia="仿宋_GB2312" w:cs="Times New Roman"/>
                <w:snapToGrid w:val="0"/>
                <w:color w:val="auto"/>
                <w:kern w:val="24"/>
                <w:sz w:val="21"/>
                <w:szCs w:val="21"/>
                <w:highlight w:val="none"/>
              </w:rPr>
              <w:t>0.</w:t>
            </w:r>
            <w:r>
              <w:rPr>
                <w:rFonts w:hint="eastAsia" w:eastAsia="仿宋_GB2312" w:cs="Times New Roman"/>
                <w:snapToGrid w:val="0"/>
                <w:color w:val="auto"/>
                <w:kern w:val="24"/>
                <w:sz w:val="21"/>
                <w:szCs w:val="21"/>
                <w:highlight w:val="none"/>
                <w:lang w:val="en-US" w:eastAsia="zh-CN"/>
              </w:rPr>
              <w:t>83</w:t>
            </w:r>
          </w:p>
        </w:tc>
        <w:tc>
          <w:tcPr>
            <w:tcW w:w="1939" w:type="dxa"/>
            <w:gridSpan w:val="6"/>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2274" w:type="dxa"/>
            <w:gridSpan w:val="4"/>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default" w:ascii="Times New Roman" w:hAnsi="Times New Roman" w:eastAsia="仿宋_GB2312" w:cs="Times New Roman"/>
                <w:snapToGrid w:val="0"/>
                <w:color w:val="auto"/>
                <w:kern w:val="24"/>
                <w:sz w:val="21"/>
                <w:szCs w:val="21"/>
                <w:highlight w:val="none"/>
              </w:rPr>
              <w:t>0.</w:t>
            </w:r>
            <w:r>
              <w:rPr>
                <w:rFonts w:hint="eastAsia" w:eastAsia="仿宋_GB2312" w:cs="Times New Roman"/>
                <w:snapToGrid w:val="0"/>
                <w:color w:val="auto"/>
                <w:kern w:val="24"/>
                <w:sz w:val="21"/>
                <w:szCs w:val="21"/>
                <w:highlight w:val="none"/>
                <w:lang w:val="en-US" w:eastAsia="zh-CN"/>
              </w:rPr>
              <w:t>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460" w:type="dxa"/>
            <w:vMerge w:val="continue"/>
            <w:vAlign w:val="center"/>
          </w:tcPr>
          <w:p>
            <w:pPr>
              <w:pStyle w:val="84"/>
              <w:rPr>
                <w:rFonts w:hint="default" w:ascii="Times New Roman" w:hAnsi="Times New Roman" w:cs="Times New Roman"/>
                <w:color w:val="auto"/>
                <w:highlight w:val="none"/>
              </w:rPr>
            </w:pPr>
          </w:p>
        </w:tc>
        <w:tc>
          <w:tcPr>
            <w:tcW w:w="2661" w:type="dxa"/>
            <w:gridSpan w:val="5"/>
            <w:vAlign w:val="center"/>
          </w:tcPr>
          <w:p>
            <w:pPr>
              <w:pStyle w:val="84"/>
              <w:rPr>
                <w:rFonts w:hint="default" w:ascii="Times New Roman" w:hAnsi="Times New Roman" w:eastAsia="仿宋_GB2312" w:cs="Times New Roman"/>
                <w:color w:val="auto"/>
                <w:highlight w:val="none"/>
                <w:lang w:eastAsia="zh-CN"/>
              </w:rPr>
            </w:pPr>
            <w:r>
              <w:rPr>
                <w:rFonts w:hint="eastAsia" w:cs="Times New Roman"/>
                <w:color w:val="auto"/>
                <w:highlight w:val="none"/>
                <w:lang w:eastAsia="zh-CN"/>
              </w:rPr>
              <w:t>施工生产生活区</w:t>
            </w:r>
          </w:p>
        </w:tc>
        <w:tc>
          <w:tcPr>
            <w:tcW w:w="1666" w:type="dxa"/>
            <w:gridSpan w:val="4"/>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1939" w:type="dxa"/>
            <w:gridSpan w:val="6"/>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snapToGrid w:val="0"/>
                <w:color w:val="auto"/>
                <w:kern w:val="24"/>
                <w:sz w:val="21"/>
                <w:szCs w:val="21"/>
                <w:highlight w:val="none"/>
                <w:lang w:val="en-US" w:eastAsia="zh-CN"/>
              </w:rPr>
              <w:t>0.46</w:t>
            </w:r>
          </w:p>
        </w:tc>
        <w:tc>
          <w:tcPr>
            <w:tcW w:w="2274" w:type="dxa"/>
            <w:gridSpan w:val="4"/>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default" w:ascii="Times New Roman" w:hAnsi="Times New Roman" w:eastAsia="仿宋_GB2312" w:cs="Times New Roman"/>
                <w:snapToGrid w:val="0"/>
                <w:color w:val="auto"/>
                <w:kern w:val="24"/>
                <w:sz w:val="21"/>
                <w:szCs w:val="21"/>
                <w:highlight w:val="none"/>
              </w:rPr>
              <w:t>0.</w:t>
            </w:r>
            <w:r>
              <w:rPr>
                <w:rFonts w:hint="eastAsia" w:eastAsia="仿宋_GB2312" w:cs="Times New Roman"/>
                <w:snapToGrid w:val="0"/>
                <w:color w:val="auto"/>
                <w:kern w:val="24"/>
                <w:sz w:val="21"/>
                <w:szCs w:val="21"/>
                <w:highlight w:val="none"/>
                <w:lang w:val="en-US" w:eastAsia="zh-CN"/>
              </w:rPr>
              <w:t>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460" w:type="dxa"/>
            <w:vMerge w:val="continue"/>
            <w:vAlign w:val="center"/>
          </w:tcPr>
          <w:p>
            <w:pPr>
              <w:pStyle w:val="84"/>
              <w:rPr>
                <w:rFonts w:hint="default" w:ascii="Times New Roman" w:hAnsi="Times New Roman" w:cs="Times New Roman"/>
                <w:color w:val="auto"/>
                <w:highlight w:val="none"/>
              </w:rPr>
            </w:pPr>
          </w:p>
        </w:tc>
        <w:tc>
          <w:tcPr>
            <w:tcW w:w="2661" w:type="dxa"/>
            <w:gridSpan w:val="5"/>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合计</w:t>
            </w:r>
          </w:p>
        </w:tc>
        <w:tc>
          <w:tcPr>
            <w:tcW w:w="1666" w:type="dxa"/>
            <w:gridSpan w:val="4"/>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snapToGrid w:val="0"/>
                <w:color w:val="auto"/>
                <w:kern w:val="24"/>
                <w:sz w:val="21"/>
                <w:szCs w:val="21"/>
                <w:highlight w:val="none"/>
                <w:lang w:val="en-US" w:eastAsia="zh-CN"/>
              </w:rPr>
              <w:t>49</w:t>
            </w:r>
          </w:p>
        </w:tc>
        <w:tc>
          <w:tcPr>
            <w:tcW w:w="1939" w:type="dxa"/>
            <w:gridSpan w:val="6"/>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snapToGrid w:val="0"/>
                <w:color w:val="auto"/>
                <w:kern w:val="24"/>
                <w:sz w:val="21"/>
                <w:szCs w:val="21"/>
                <w:highlight w:val="none"/>
                <w:lang w:val="en-US" w:eastAsia="zh-CN"/>
              </w:rPr>
              <w:t>0.46</w:t>
            </w:r>
          </w:p>
        </w:tc>
        <w:tc>
          <w:tcPr>
            <w:tcW w:w="2274" w:type="dxa"/>
            <w:gridSpan w:val="4"/>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snapToGrid w:val="0"/>
                <w:color w:val="auto"/>
                <w:kern w:val="24"/>
                <w:sz w:val="21"/>
                <w:szCs w:val="21"/>
                <w:highlight w:val="none"/>
                <w:lang w:val="en-US" w:eastAsia="zh-CN"/>
              </w:rPr>
              <w:t>49.46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9000" w:type="dxa"/>
            <w:gridSpan w:val="20"/>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三、项目土石方挖填工程量(万m³)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2361" w:type="dxa"/>
            <w:gridSpan w:val="5"/>
            <w:vMerge w:val="restart"/>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项目单元</w:t>
            </w:r>
          </w:p>
        </w:tc>
        <w:tc>
          <w:tcPr>
            <w:tcW w:w="760" w:type="dxa"/>
            <w:vMerge w:val="restart"/>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开挖</w:t>
            </w:r>
          </w:p>
        </w:tc>
        <w:tc>
          <w:tcPr>
            <w:tcW w:w="736" w:type="dxa"/>
            <w:vMerge w:val="restart"/>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回填</w:t>
            </w:r>
          </w:p>
        </w:tc>
        <w:tc>
          <w:tcPr>
            <w:tcW w:w="1155" w:type="dxa"/>
            <w:gridSpan w:val="4"/>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调入</w:t>
            </w:r>
          </w:p>
        </w:tc>
        <w:tc>
          <w:tcPr>
            <w:tcW w:w="1305" w:type="dxa"/>
            <w:gridSpan w:val="3"/>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调出</w:t>
            </w:r>
          </w:p>
        </w:tc>
        <w:tc>
          <w:tcPr>
            <w:tcW w:w="1210" w:type="dxa"/>
            <w:gridSpan w:val="4"/>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借方</w:t>
            </w:r>
          </w:p>
        </w:tc>
        <w:tc>
          <w:tcPr>
            <w:tcW w:w="1473" w:type="dxa"/>
            <w:gridSpan w:val="2"/>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弃方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2361" w:type="dxa"/>
            <w:gridSpan w:val="5"/>
            <w:vMerge w:val="continue"/>
            <w:vAlign w:val="center"/>
          </w:tcPr>
          <w:p>
            <w:pPr>
              <w:pStyle w:val="84"/>
              <w:rPr>
                <w:rFonts w:hint="default" w:ascii="Times New Roman" w:hAnsi="Times New Roman" w:cs="Times New Roman"/>
                <w:color w:val="auto"/>
                <w:highlight w:val="none"/>
              </w:rPr>
            </w:pPr>
          </w:p>
        </w:tc>
        <w:tc>
          <w:tcPr>
            <w:tcW w:w="760" w:type="dxa"/>
            <w:vMerge w:val="continue"/>
            <w:vAlign w:val="center"/>
          </w:tcPr>
          <w:p>
            <w:pPr>
              <w:pStyle w:val="84"/>
              <w:rPr>
                <w:rFonts w:hint="default" w:ascii="Times New Roman" w:hAnsi="Times New Roman" w:cs="Times New Roman"/>
                <w:color w:val="auto"/>
                <w:highlight w:val="none"/>
              </w:rPr>
            </w:pPr>
          </w:p>
        </w:tc>
        <w:tc>
          <w:tcPr>
            <w:tcW w:w="736" w:type="dxa"/>
            <w:vMerge w:val="continue"/>
            <w:vAlign w:val="center"/>
          </w:tcPr>
          <w:p>
            <w:pPr>
              <w:pStyle w:val="84"/>
              <w:rPr>
                <w:rFonts w:hint="default" w:ascii="Times New Roman" w:hAnsi="Times New Roman" w:cs="Times New Roman"/>
                <w:color w:val="auto"/>
                <w:highlight w:val="none"/>
              </w:rPr>
            </w:pPr>
          </w:p>
        </w:tc>
        <w:tc>
          <w:tcPr>
            <w:tcW w:w="616"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数量</w:t>
            </w:r>
          </w:p>
        </w:tc>
        <w:tc>
          <w:tcPr>
            <w:tcW w:w="539" w:type="dxa"/>
            <w:gridSpan w:val="3"/>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来源</w:t>
            </w:r>
          </w:p>
        </w:tc>
        <w:tc>
          <w:tcPr>
            <w:tcW w:w="650" w:type="dxa"/>
            <w:gridSpan w:val="2"/>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数量</w:t>
            </w:r>
          </w:p>
        </w:tc>
        <w:tc>
          <w:tcPr>
            <w:tcW w:w="655"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去向</w:t>
            </w:r>
          </w:p>
        </w:tc>
        <w:tc>
          <w:tcPr>
            <w:tcW w:w="582" w:type="dxa"/>
            <w:gridSpan w:val="3"/>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数量</w:t>
            </w:r>
          </w:p>
        </w:tc>
        <w:tc>
          <w:tcPr>
            <w:tcW w:w="628"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来源</w:t>
            </w:r>
          </w:p>
        </w:tc>
        <w:tc>
          <w:tcPr>
            <w:tcW w:w="787"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数量</w:t>
            </w:r>
          </w:p>
        </w:tc>
        <w:tc>
          <w:tcPr>
            <w:tcW w:w="686"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876" w:type="dxa"/>
            <w:gridSpan w:val="2"/>
            <w:vMerge w:val="restart"/>
            <w:vAlign w:val="center"/>
          </w:tcPr>
          <w:p>
            <w:pPr>
              <w:pStyle w:val="84"/>
              <w:rPr>
                <w:rFonts w:hint="default" w:ascii="Times New Roman" w:hAnsi="Times New Roman" w:eastAsia="宋体" w:cs="Times New Roman"/>
                <w:color w:val="auto"/>
                <w:sz w:val="22"/>
                <w:szCs w:val="22"/>
                <w:highlight w:val="none"/>
              </w:rPr>
            </w:pPr>
            <w:r>
              <w:rPr>
                <w:rFonts w:hint="default" w:ascii="Times New Roman" w:hAnsi="Times New Roman" w:cs="Times New Roman"/>
                <w:color w:val="auto"/>
                <w:highlight w:val="none"/>
              </w:rPr>
              <w:t>光伏发电区</w:t>
            </w:r>
          </w:p>
        </w:tc>
        <w:tc>
          <w:tcPr>
            <w:tcW w:w="1485" w:type="dxa"/>
            <w:gridSpan w:val="3"/>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光伏阵列区</w:t>
            </w:r>
          </w:p>
        </w:tc>
        <w:tc>
          <w:tcPr>
            <w:tcW w:w="760"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snapToGrid w:val="0"/>
                <w:color w:val="auto"/>
                <w:kern w:val="24"/>
                <w:sz w:val="21"/>
                <w:szCs w:val="21"/>
                <w:highlight w:val="none"/>
                <w:lang w:val="en-US" w:eastAsia="zh-CN"/>
              </w:rPr>
              <w:t>3.717</w:t>
            </w:r>
          </w:p>
        </w:tc>
        <w:tc>
          <w:tcPr>
            <w:tcW w:w="736"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snapToGrid w:val="0"/>
                <w:color w:val="auto"/>
                <w:kern w:val="24"/>
                <w:sz w:val="21"/>
                <w:szCs w:val="21"/>
                <w:highlight w:val="none"/>
                <w:lang w:val="en-US" w:eastAsia="zh-CN"/>
              </w:rPr>
              <w:t>3.717</w:t>
            </w:r>
          </w:p>
        </w:tc>
        <w:tc>
          <w:tcPr>
            <w:tcW w:w="616"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539" w:type="dxa"/>
            <w:gridSpan w:val="3"/>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650" w:type="dxa"/>
            <w:gridSpan w:val="2"/>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655"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582" w:type="dxa"/>
            <w:gridSpan w:val="3"/>
            <w:vAlign w:val="center"/>
          </w:tcPr>
          <w:p>
            <w:pPr>
              <w:pStyle w:val="84"/>
              <w:rPr>
                <w:rFonts w:hint="default" w:ascii="Times New Roman" w:hAnsi="Times New Roman" w:cs="Times New Roman"/>
                <w:color w:val="auto"/>
                <w:highlight w:val="none"/>
              </w:rPr>
            </w:pPr>
          </w:p>
        </w:tc>
        <w:tc>
          <w:tcPr>
            <w:tcW w:w="628" w:type="dxa"/>
            <w:vAlign w:val="center"/>
          </w:tcPr>
          <w:p>
            <w:pPr>
              <w:pStyle w:val="84"/>
              <w:rPr>
                <w:rFonts w:hint="default" w:ascii="Times New Roman" w:hAnsi="Times New Roman" w:cs="Times New Roman"/>
                <w:color w:val="auto"/>
                <w:highlight w:val="none"/>
              </w:rPr>
            </w:pPr>
          </w:p>
        </w:tc>
        <w:tc>
          <w:tcPr>
            <w:tcW w:w="787" w:type="dxa"/>
            <w:vAlign w:val="center"/>
          </w:tcPr>
          <w:p>
            <w:pPr>
              <w:pStyle w:val="84"/>
              <w:rPr>
                <w:rFonts w:hint="default" w:ascii="Times New Roman" w:hAnsi="Times New Roman" w:cs="Times New Roman"/>
                <w:color w:val="auto"/>
                <w:highlight w:val="none"/>
              </w:rPr>
            </w:pPr>
          </w:p>
        </w:tc>
        <w:tc>
          <w:tcPr>
            <w:tcW w:w="686" w:type="dxa"/>
            <w:vMerge w:val="restart"/>
            <w:vAlign w:val="center"/>
          </w:tcPr>
          <w:p>
            <w:pPr>
              <w:pStyle w:val="84"/>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876" w:type="dxa"/>
            <w:gridSpan w:val="2"/>
            <w:vMerge w:val="continue"/>
            <w:vAlign w:val="center"/>
          </w:tcPr>
          <w:p>
            <w:pPr>
              <w:pStyle w:val="84"/>
              <w:rPr>
                <w:rFonts w:hint="default" w:ascii="Times New Roman" w:hAnsi="Times New Roman" w:eastAsia="宋体" w:cs="Times New Roman"/>
                <w:color w:val="auto"/>
                <w:sz w:val="22"/>
                <w:szCs w:val="22"/>
                <w:highlight w:val="none"/>
              </w:rPr>
            </w:pPr>
          </w:p>
        </w:tc>
        <w:tc>
          <w:tcPr>
            <w:tcW w:w="1485" w:type="dxa"/>
            <w:gridSpan w:val="3"/>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集电线路区</w:t>
            </w:r>
          </w:p>
        </w:tc>
        <w:tc>
          <w:tcPr>
            <w:tcW w:w="760"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snapToGrid w:val="0"/>
                <w:color w:val="auto"/>
                <w:kern w:val="24"/>
                <w:sz w:val="21"/>
                <w:szCs w:val="21"/>
                <w:highlight w:val="none"/>
                <w:lang w:val="en-US" w:eastAsia="zh-CN"/>
              </w:rPr>
              <w:t>0.331</w:t>
            </w:r>
          </w:p>
        </w:tc>
        <w:tc>
          <w:tcPr>
            <w:tcW w:w="736"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snapToGrid w:val="0"/>
                <w:color w:val="auto"/>
                <w:kern w:val="24"/>
                <w:sz w:val="21"/>
                <w:szCs w:val="21"/>
                <w:highlight w:val="none"/>
                <w:lang w:val="en-US" w:eastAsia="zh-CN"/>
              </w:rPr>
              <w:t>0.331</w:t>
            </w:r>
          </w:p>
        </w:tc>
        <w:tc>
          <w:tcPr>
            <w:tcW w:w="616"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539" w:type="dxa"/>
            <w:gridSpan w:val="3"/>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650" w:type="dxa"/>
            <w:gridSpan w:val="2"/>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655"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582" w:type="dxa"/>
            <w:gridSpan w:val="3"/>
            <w:vAlign w:val="center"/>
          </w:tcPr>
          <w:p>
            <w:pPr>
              <w:pStyle w:val="84"/>
              <w:rPr>
                <w:rFonts w:hint="default" w:ascii="Times New Roman" w:hAnsi="Times New Roman" w:cs="Times New Roman"/>
                <w:color w:val="auto"/>
                <w:highlight w:val="none"/>
              </w:rPr>
            </w:pPr>
          </w:p>
        </w:tc>
        <w:tc>
          <w:tcPr>
            <w:tcW w:w="628" w:type="dxa"/>
            <w:vAlign w:val="center"/>
          </w:tcPr>
          <w:p>
            <w:pPr>
              <w:pStyle w:val="84"/>
              <w:rPr>
                <w:rFonts w:hint="default" w:ascii="Times New Roman" w:hAnsi="Times New Roman" w:cs="Times New Roman"/>
                <w:color w:val="auto"/>
                <w:highlight w:val="none"/>
              </w:rPr>
            </w:pPr>
          </w:p>
        </w:tc>
        <w:tc>
          <w:tcPr>
            <w:tcW w:w="787" w:type="dxa"/>
            <w:vAlign w:val="center"/>
          </w:tcPr>
          <w:p>
            <w:pPr>
              <w:pStyle w:val="84"/>
              <w:rPr>
                <w:rFonts w:hint="default" w:ascii="Times New Roman" w:hAnsi="Times New Roman" w:cs="Times New Roman"/>
                <w:color w:val="auto"/>
                <w:highlight w:val="none"/>
              </w:rPr>
            </w:pPr>
          </w:p>
        </w:tc>
        <w:tc>
          <w:tcPr>
            <w:tcW w:w="686" w:type="dxa"/>
            <w:vMerge w:val="continue"/>
            <w:vAlign w:val="center"/>
          </w:tcPr>
          <w:p>
            <w:pPr>
              <w:pStyle w:val="84"/>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876" w:type="dxa"/>
            <w:gridSpan w:val="2"/>
            <w:vMerge w:val="restart"/>
            <w:vAlign w:val="center"/>
          </w:tcPr>
          <w:p>
            <w:pPr>
              <w:pStyle w:val="84"/>
              <w:rPr>
                <w:rFonts w:hint="default" w:ascii="Times New Roman" w:hAnsi="Times New Roman" w:eastAsia="宋体" w:cs="Times New Roman"/>
                <w:color w:val="auto"/>
                <w:sz w:val="22"/>
                <w:szCs w:val="22"/>
                <w:highlight w:val="none"/>
              </w:rPr>
            </w:pPr>
            <w:r>
              <w:rPr>
                <w:rFonts w:hint="default" w:ascii="Times New Roman" w:hAnsi="Times New Roman" w:cs="Times New Roman"/>
                <w:color w:val="auto"/>
                <w:highlight w:val="none"/>
              </w:rPr>
              <w:t>道路工程区</w:t>
            </w:r>
          </w:p>
        </w:tc>
        <w:tc>
          <w:tcPr>
            <w:tcW w:w="1485" w:type="dxa"/>
            <w:gridSpan w:val="3"/>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进场道路</w:t>
            </w:r>
          </w:p>
        </w:tc>
        <w:tc>
          <w:tcPr>
            <w:tcW w:w="760"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snapToGrid w:val="0"/>
                <w:color w:val="auto"/>
                <w:kern w:val="24"/>
                <w:sz w:val="21"/>
                <w:szCs w:val="21"/>
                <w:highlight w:val="none"/>
                <w:lang w:val="en-US" w:eastAsia="zh-CN"/>
              </w:rPr>
              <w:t>0.009</w:t>
            </w:r>
          </w:p>
        </w:tc>
        <w:tc>
          <w:tcPr>
            <w:tcW w:w="736"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snapToGrid w:val="0"/>
                <w:color w:val="auto"/>
                <w:kern w:val="24"/>
                <w:sz w:val="21"/>
                <w:szCs w:val="21"/>
                <w:highlight w:val="none"/>
                <w:lang w:val="en-US" w:eastAsia="zh-CN"/>
              </w:rPr>
              <w:t>0.009</w:t>
            </w:r>
          </w:p>
        </w:tc>
        <w:tc>
          <w:tcPr>
            <w:tcW w:w="616"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539" w:type="dxa"/>
            <w:gridSpan w:val="3"/>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650" w:type="dxa"/>
            <w:gridSpan w:val="2"/>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655"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582" w:type="dxa"/>
            <w:gridSpan w:val="3"/>
            <w:vAlign w:val="center"/>
          </w:tcPr>
          <w:p>
            <w:pPr>
              <w:pStyle w:val="84"/>
              <w:rPr>
                <w:rFonts w:hint="default" w:ascii="Times New Roman" w:hAnsi="Times New Roman" w:cs="Times New Roman"/>
                <w:color w:val="auto"/>
                <w:highlight w:val="none"/>
              </w:rPr>
            </w:pPr>
          </w:p>
        </w:tc>
        <w:tc>
          <w:tcPr>
            <w:tcW w:w="628" w:type="dxa"/>
            <w:vAlign w:val="center"/>
          </w:tcPr>
          <w:p>
            <w:pPr>
              <w:pStyle w:val="84"/>
              <w:rPr>
                <w:rFonts w:hint="default" w:ascii="Times New Roman" w:hAnsi="Times New Roman" w:cs="Times New Roman"/>
                <w:color w:val="auto"/>
                <w:highlight w:val="none"/>
              </w:rPr>
            </w:pPr>
          </w:p>
        </w:tc>
        <w:tc>
          <w:tcPr>
            <w:tcW w:w="787" w:type="dxa"/>
            <w:vAlign w:val="center"/>
          </w:tcPr>
          <w:p>
            <w:pPr>
              <w:pStyle w:val="84"/>
              <w:rPr>
                <w:rFonts w:hint="default" w:ascii="Times New Roman" w:hAnsi="Times New Roman" w:cs="Times New Roman"/>
                <w:color w:val="auto"/>
                <w:highlight w:val="none"/>
              </w:rPr>
            </w:pPr>
          </w:p>
        </w:tc>
        <w:tc>
          <w:tcPr>
            <w:tcW w:w="686" w:type="dxa"/>
            <w:vMerge w:val="continue"/>
            <w:vAlign w:val="center"/>
          </w:tcPr>
          <w:p>
            <w:pPr>
              <w:pStyle w:val="84"/>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876" w:type="dxa"/>
            <w:gridSpan w:val="2"/>
            <w:vMerge w:val="continue"/>
            <w:vAlign w:val="center"/>
          </w:tcPr>
          <w:p>
            <w:pPr>
              <w:pStyle w:val="84"/>
              <w:rPr>
                <w:rFonts w:hint="default" w:ascii="Times New Roman" w:hAnsi="Times New Roman" w:eastAsia="宋体" w:cs="Times New Roman"/>
                <w:color w:val="auto"/>
                <w:sz w:val="22"/>
                <w:szCs w:val="22"/>
                <w:highlight w:val="none"/>
              </w:rPr>
            </w:pPr>
          </w:p>
        </w:tc>
        <w:tc>
          <w:tcPr>
            <w:tcW w:w="1485" w:type="dxa"/>
            <w:gridSpan w:val="3"/>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场内道路</w:t>
            </w:r>
          </w:p>
        </w:tc>
        <w:tc>
          <w:tcPr>
            <w:tcW w:w="760"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snapToGrid w:val="0"/>
                <w:color w:val="auto"/>
                <w:kern w:val="24"/>
                <w:sz w:val="21"/>
                <w:szCs w:val="21"/>
                <w:highlight w:val="none"/>
                <w:lang w:val="en-US" w:eastAsia="zh-CN"/>
              </w:rPr>
              <w:t>0.576</w:t>
            </w:r>
          </w:p>
        </w:tc>
        <w:tc>
          <w:tcPr>
            <w:tcW w:w="736"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snapToGrid w:val="0"/>
                <w:color w:val="auto"/>
                <w:kern w:val="24"/>
                <w:sz w:val="21"/>
                <w:szCs w:val="21"/>
                <w:highlight w:val="none"/>
                <w:lang w:val="en-US" w:eastAsia="zh-CN"/>
              </w:rPr>
              <w:t>0.576</w:t>
            </w:r>
          </w:p>
        </w:tc>
        <w:tc>
          <w:tcPr>
            <w:tcW w:w="616"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539" w:type="dxa"/>
            <w:gridSpan w:val="3"/>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650" w:type="dxa"/>
            <w:gridSpan w:val="2"/>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655"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582" w:type="dxa"/>
            <w:gridSpan w:val="3"/>
            <w:vAlign w:val="center"/>
          </w:tcPr>
          <w:p>
            <w:pPr>
              <w:pStyle w:val="84"/>
              <w:rPr>
                <w:rFonts w:hint="default" w:ascii="Times New Roman" w:hAnsi="Times New Roman" w:cs="Times New Roman"/>
                <w:color w:val="auto"/>
                <w:highlight w:val="none"/>
              </w:rPr>
            </w:pPr>
          </w:p>
        </w:tc>
        <w:tc>
          <w:tcPr>
            <w:tcW w:w="628" w:type="dxa"/>
            <w:vAlign w:val="center"/>
          </w:tcPr>
          <w:p>
            <w:pPr>
              <w:pStyle w:val="84"/>
              <w:rPr>
                <w:rFonts w:hint="default" w:ascii="Times New Roman" w:hAnsi="Times New Roman" w:cs="Times New Roman"/>
                <w:color w:val="auto"/>
                <w:highlight w:val="none"/>
              </w:rPr>
            </w:pPr>
          </w:p>
        </w:tc>
        <w:tc>
          <w:tcPr>
            <w:tcW w:w="787" w:type="dxa"/>
            <w:vAlign w:val="center"/>
          </w:tcPr>
          <w:p>
            <w:pPr>
              <w:pStyle w:val="84"/>
              <w:rPr>
                <w:rFonts w:hint="default" w:ascii="Times New Roman" w:hAnsi="Times New Roman" w:cs="Times New Roman"/>
                <w:color w:val="auto"/>
                <w:highlight w:val="none"/>
              </w:rPr>
            </w:pPr>
          </w:p>
        </w:tc>
        <w:tc>
          <w:tcPr>
            <w:tcW w:w="686" w:type="dxa"/>
            <w:vMerge w:val="continue"/>
            <w:vAlign w:val="center"/>
          </w:tcPr>
          <w:p>
            <w:pPr>
              <w:pStyle w:val="84"/>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2361" w:type="dxa"/>
            <w:gridSpan w:val="5"/>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运行管理区</w:t>
            </w:r>
          </w:p>
        </w:tc>
        <w:tc>
          <w:tcPr>
            <w:tcW w:w="760"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snapToGrid w:val="0"/>
                <w:color w:val="auto"/>
                <w:kern w:val="24"/>
                <w:sz w:val="21"/>
                <w:szCs w:val="21"/>
                <w:highlight w:val="none"/>
                <w:lang w:val="en-US" w:eastAsia="zh-CN"/>
              </w:rPr>
              <w:t>0.335</w:t>
            </w:r>
          </w:p>
        </w:tc>
        <w:tc>
          <w:tcPr>
            <w:tcW w:w="736"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snapToGrid w:val="0"/>
                <w:color w:val="auto"/>
                <w:kern w:val="24"/>
                <w:sz w:val="21"/>
                <w:szCs w:val="21"/>
                <w:highlight w:val="none"/>
                <w:lang w:val="en-US" w:eastAsia="zh-CN"/>
              </w:rPr>
              <w:t>0.335</w:t>
            </w:r>
          </w:p>
        </w:tc>
        <w:tc>
          <w:tcPr>
            <w:tcW w:w="616"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539" w:type="dxa"/>
            <w:gridSpan w:val="3"/>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650" w:type="dxa"/>
            <w:gridSpan w:val="2"/>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655" w:type="dxa"/>
            <w:vAlign w:val="center"/>
          </w:tcPr>
          <w:p>
            <w:pPr>
              <w:pStyle w:val="84"/>
              <w:rPr>
                <w:rFonts w:hint="default" w:ascii="Times New Roman" w:hAnsi="Times New Roman" w:cs="Times New Roman"/>
                <w:color w:val="auto"/>
                <w:highlight w:val="none"/>
              </w:rPr>
            </w:pPr>
          </w:p>
        </w:tc>
        <w:tc>
          <w:tcPr>
            <w:tcW w:w="582" w:type="dxa"/>
            <w:gridSpan w:val="3"/>
            <w:vAlign w:val="center"/>
          </w:tcPr>
          <w:p>
            <w:pPr>
              <w:pStyle w:val="84"/>
              <w:rPr>
                <w:rFonts w:hint="default" w:ascii="Times New Roman" w:hAnsi="Times New Roman" w:cs="Times New Roman"/>
                <w:color w:val="auto"/>
                <w:highlight w:val="none"/>
              </w:rPr>
            </w:pPr>
          </w:p>
        </w:tc>
        <w:tc>
          <w:tcPr>
            <w:tcW w:w="628" w:type="dxa"/>
            <w:vAlign w:val="center"/>
          </w:tcPr>
          <w:p>
            <w:pPr>
              <w:pStyle w:val="84"/>
              <w:rPr>
                <w:rFonts w:hint="default" w:ascii="Times New Roman" w:hAnsi="Times New Roman" w:cs="Times New Roman"/>
                <w:color w:val="auto"/>
                <w:highlight w:val="none"/>
              </w:rPr>
            </w:pPr>
          </w:p>
        </w:tc>
        <w:tc>
          <w:tcPr>
            <w:tcW w:w="787" w:type="dxa"/>
            <w:vAlign w:val="center"/>
          </w:tcPr>
          <w:p>
            <w:pPr>
              <w:pStyle w:val="84"/>
              <w:rPr>
                <w:rFonts w:hint="default" w:ascii="Times New Roman" w:hAnsi="Times New Roman" w:cs="Times New Roman"/>
                <w:color w:val="auto"/>
                <w:highlight w:val="none"/>
              </w:rPr>
            </w:pPr>
          </w:p>
        </w:tc>
        <w:tc>
          <w:tcPr>
            <w:tcW w:w="686" w:type="dxa"/>
            <w:vMerge w:val="continue"/>
            <w:vAlign w:val="center"/>
          </w:tcPr>
          <w:p>
            <w:pPr>
              <w:pStyle w:val="84"/>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2361" w:type="dxa"/>
            <w:gridSpan w:val="5"/>
            <w:vAlign w:val="center"/>
          </w:tcPr>
          <w:p>
            <w:pPr>
              <w:pStyle w:val="84"/>
              <w:rPr>
                <w:rFonts w:hint="default" w:ascii="Times New Roman" w:hAnsi="Times New Roman" w:eastAsia="仿宋_GB2312" w:cs="Times New Roman"/>
                <w:color w:val="auto"/>
                <w:highlight w:val="none"/>
                <w:lang w:eastAsia="zh-CN"/>
              </w:rPr>
            </w:pPr>
            <w:r>
              <w:rPr>
                <w:rFonts w:hint="eastAsia" w:cs="Times New Roman"/>
                <w:color w:val="auto"/>
                <w:highlight w:val="none"/>
                <w:lang w:eastAsia="zh-CN"/>
              </w:rPr>
              <w:t>施工生产生活区</w:t>
            </w:r>
          </w:p>
        </w:tc>
        <w:tc>
          <w:tcPr>
            <w:tcW w:w="760" w:type="dxa"/>
            <w:vAlign w:val="center"/>
          </w:tcPr>
          <w:p>
            <w:pPr>
              <w:widowControl/>
              <w:spacing w:line="240" w:lineRule="auto"/>
              <w:ind w:firstLine="0" w:firstLineChars="0"/>
              <w:jc w:val="center"/>
              <w:textAlignment w:val="center"/>
              <w:rPr>
                <w:rFonts w:hint="eastAsia" w:ascii="Times New Roman" w:hAnsi="Times New Roman" w:eastAsia="仿宋_GB2312" w:cs="Times New Roman"/>
                <w:color w:val="auto"/>
                <w:spacing w:val="-2"/>
                <w:kern w:val="0"/>
                <w:sz w:val="21"/>
                <w:szCs w:val="21"/>
                <w:highlight w:val="none"/>
                <w:lang w:val="en-US" w:eastAsia="zh-CN"/>
              </w:rPr>
            </w:pPr>
            <w:r>
              <w:rPr>
                <w:rFonts w:hint="eastAsia" w:eastAsia="仿宋_GB2312" w:cs="Times New Roman"/>
                <w:color w:val="auto"/>
                <w:spacing w:val="-2"/>
                <w:kern w:val="0"/>
                <w:sz w:val="21"/>
                <w:szCs w:val="21"/>
                <w:highlight w:val="none"/>
                <w:lang w:val="en-US" w:eastAsia="zh-CN"/>
              </w:rPr>
              <w:t>0</w:t>
            </w:r>
          </w:p>
        </w:tc>
        <w:tc>
          <w:tcPr>
            <w:tcW w:w="736" w:type="dxa"/>
            <w:vAlign w:val="center"/>
          </w:tcPr>
          <w:p>
            <w:pPr>
              <w:widowControl/>
              <w:spacing w:line="240" w:lineRule="auto"/>
              <w:ind w:firstLine="0" w:firstLineChars="0"/>
              <w:jc w:val="center"/>
              <w:textAlignment w:val="center"/>
              <w:rPr>
                <w:rFonts w:hint="eastAsia" w:ascii="Times New Roman" w:hAnsi="Times New Roman" w:eastAsia="仿宋_GB2312" w:cs="Times New Roman"/>
                <w:color w:val="auto"/>
                <w:spacing w:val="-2"/>
                <w:kern w:val="0"/>
                <w:sz w:val="21"/>
                <w:szCs w:val="21"/>
                <w:highlight w:val="none"/>
                <w:lang w:val="en-US" w:eastAsia="zh-CN"/>
              </w:rPr>
            </w:pPr>
            <w:r>
              <w:rPr>
                <w:rFonts w:hint="eastAsia" w:eastAsia="仿宋_GB2312" w:cs="Times New Roman"/>
                <w:color w:val="auto"/>
                <w:spacing w:val="-2"/>
                <w:kern w:val="0"/>
                <w:sz w:val="21"/>
                <w:szCs w:val="21"/>
                <w:highlight w:val="none"/>
                <w:lang w:val="en-US" w:eastAsia="zh-CN"/>
              </w:rPr>
              <w:t>0</w:t>
            </w:r>
          </w:p>
        </w:tc>
        <w:tc>
          <w:tcPr>
            <w:tcW w:w="616"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539" w:type="dxa"/>
            <w:gridSpan w:val="3"/>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650" w:type="dxa"/>
            <w:gridSpan w:val="2"/>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655" w:type="dxa"/>
            <w:vAlign w:val="center"/>
          </w:tcPr>
          <w:p>
            <w:pPr>
              <w:pStyle w:val="84"/>
              <w:rPr>
                <w:rFonts w:hint="default" w:ascii="Times New Roman" w:hAnsi="Times New Roman" w:cs="Times New Roman"/>
                <w:color w:val="auto"/>
                <w:highlight w:val="none"/>
              </w:rPr>
            </w:pPr>
          </w:p>
        </w:tc>
        <w:tc>
          <w:tcPr>
            <w:tcW w:w="582" w:type="dxa"/>
            <w:gridSpan w:val="3"/>
            <w:vAlign w:val="center"/>
          </w:tcPr>
          <w:p>
            <w:pPr>
              <w:pStyle w:val="84"/>
              <w:rPr>
                <w:rFonts w:hint="default" w:ascii="Times New Roman" w:hAnsi="Times New Roman" w:cs="Times New Roman"/>
                <w:color w:val="auto"/>
                <w:highlight w:val="none"/>
              </w:rPr>
            </w:pPr>
          </w:p>
        </w:tc>
        <w:tc>
          <w:tcPr>
            <w:tcW w:w="628" w:type="dxa"/>
            <w:vAlign w:val="center"/>
          </w:tcPr>
          <w:p>
            <w:pPr>
              <w:pStyle w:val="84"/>
              <w:rPr>
                <w:rFonts w:hint="default" w:ascii="Times New Roman" w:hAnsi="Times New Roman" w:cs="Times New Roman"/>
                <w:color w:val="auto"/>
                <w:highlight w:val="none"/>
              </w:rPr>
            </w:pPr>
          </w:p>
        </w:tc>
        <w:tc>
          <w:tcPr>
            <w:tcW w:w="787" w:type="dxa"/>
            <w:vAlign w:val="center"/>
          </w:tcPr>
          <w:p>
            <w:pPr>
              <w:pStyle w:val="84"/>
              <w:rPr>
                <w:rFonts w:hint="default" w:ascii="Times New Roman" w:hAnsi="Times New Roman" w:cs="Times New Roman"/>
                <w:color w:val="auto"/>
                <w:highlight w:val="none"/>
              </w:rPr>
            </w:pPr>
          </w:p>
        </w:tc>
        <w:tc>
          <w:tcPr>
            <w:tcW w:w="686" w:type="dxa"/>
            <w:vMerge w:val="continue"/>
            <w:vAlign w:val="center"/>
          </w:tcPr>
          <w:p>
            <w:pPr>
              <w:pStyle w:val="84"/>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2361" w:type="dxa"/>
            <w:gridSpan w:val="5"/>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合计</w:t>
            </w:r>
          </w:p>
        </w:tc>
        <w:tc>
          <w:tcPr>
            <w:tcW w:w="760"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snapToGrid w:val="0"/>
                <w:color w:val="auto"/>
                <w:kern w:val="24"/>
                <w:sz w:val="21"/>
                <w:szCs w:val="21"/>
                <w:highlight w:val="none"/>
                <w:lang w:val="en-US" w:eastAsia="zh-CN"/>
              </w:rPr>
              <w:t>4.968</w:t>
            </w:r>
          </w:p>
        </w:tc>
        <w:tc>
          <w:tcPr>
            <w:tcW w:w="736"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snapToGrid w:val="0"/>
                <w:color w:val="auto"/>
                <w:kern w:val="24"/>
                <w:sz w:val="21"/>
                <w:szCs w:val="21"/>
                <w:highlight w:val="none"/>
                <w:lang w:val="en-US" w:eastAsia="zh-CN"/>
              </w:rPr>
              <w:t>4.968</w:t>
            </w:r>
          </w:p>
        </w:tc>
        <w:tc>
          <w:tcPr>
            <w:tcW w:w="616"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539" w:type="dxa"/>
            <w:gridSpan w:val="3"/>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650" w:type="dxa"/>
            <w:gridSpan w:val="2"/>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p>
        </w:tc>
        <w:tc>
          <w:tcPr>
            <w:tcW w:w="655" w:type="dxa"/>
            <w:vAlign w:val="center"/>
          </w:tcPr>
          <w:p>
            <w:pPr>
              <w:pStyle w:val="84"/>
              <w:rPr>
                <w:rFonts w:hint="default" w:ascii="Times New Roman" w:hAnsi="Times New Roman" w:cs="Times New Roman"/>
                <w:color w:val="auto"/>
                <w:highlight w:val="none"/>
              </w:rPr>
            </w:pPr>
          </w:p>
        </w:tc>
        <w:tc>
          <w:tcPr>
            <w:tcW w:w="582" w:type="dxa"/>
            <w:gridSpan w:val="3"/>
            <w:vAlign w:val="center"/>
          </w:tcPr>
          <w:p>
            <w:pPr>
              <w:pStyle w:val="84"/>
              <w:rPr>
                <w:rFonts w:hint="default" w:ascii="Times New Roman" w:hAnsi="Times New Roman" w:cs="Times New Roman"/>
                <w:color w:val="auto"/>
                <w:highlight w:val="none"/>
              </w:rPr>
            </w:pPr>
          </w:p>
        </w:tc>
        <w:tc>
          <w:tcPr>
            <w:tcW w:w="628" w:type="dxa"/>
            <w:vAlign w:val="center"/>
          </w:tcPr>
          <w:p>
            <w:pPr>
              <w:pStyle w:val="84"/>
              <w:rPr>
                <w:rFonts w:hint="default" w:ascii="Times New Roman" w:hAnsi="Times New Roman" w:cs="Times New Roman"/>
                <w:color w:val="auto"/>
                <w:highlight w:val="none"/>
              </w:rPr>
            </w:pPr>
          </w:p>
        </w:tc>
        <w:tc>
          <w:tcPr>
            <w:tcW w:w="787" w:type="dxa"/>
            <w:vAlign w:val="center"/>
          </w:tcPr>
          <w:p>
            <w:pPr>
              <w:pStyle w:val="84"/>
              <w:rPr>
                <w:rFonts w:hint="default" w:ascii="Times New Roman" w:hAnsi="Times New Roman" w:eastAsia="宋体" w:cs="Times New Roman"/>
                <w:color w:val="auto"/>
                <w:highlight w:val="none"/>
              </w:rPr>
            </w:pPr>
          </w:p>
        </w:tc>
        <w:tc>
          <w:tcPr>
            <w:tcW w:w="686" w:type="dxa"/>
            <w:vMerge w:val="continue"/>
            <w:vAlign w:val="center"/>
          </w:tcPr>
          <w:p>
            <w:pPr>
              <w:pStyle w:val="84"/>
              <w:rPr>
                <w:rFonts w:hint="default" w:ascii="Times New Roman" w:hAnsi="Times New Roman" w:cs="Times New Roman"/>
                <w:color w:val="auto"/>
                <w:highlight w:val="none"/>
              </w:rPr>
            </w:pPr>
          </w:p>
        </w:tc>
      </w:tr>
      <w:bookmarkEnd w:id="74"/>
    </w:tbl>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2.1.2工程布置</w:t>
      </w:r>
    </w:p>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2.1.2.1 平面布置</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项目位于新疆</w:t>
      </w:r>
      <w:r>
        <w:rPr>
          <w:rFonts w:hint="eastAsia" w:cs="Times New Roman"/>
          <w:color w:val="auto"/>
          <w:highlight w:val="none"/>
          <w:lang w:eastAsia="zh-CN"/>
        </w:rPr>
        <w:t>维吾尔自治区</w:t>
      </w:r>
      <w:r>
        <w:rPr>
          <w:rFonts w:hint="default" w:ascii="Times New Roman" w:hAnsi="Times New Roman" w:cs="Times New Roman"/>
          <w:color w:val="auto"/>
          <w:highlight w:val="none"/>
        </w:rPr>
        <w:t>哈密市北部石城子光伏园区</w:t>
      </w:r>
      <w:r>
        <w:rPr>
          <w:rFonts w:hint="eastAsia" w:cs="Times New Roman"/>
          <w:color w:val="auto"/>
          <w:highlight w:val="none"/>
          <w:lang w:eastAsia="zh-CN"/>
        </w:rPr>
        <w:t>内西侧</w:t>
      </w:r>
      <w:r>
        <w:rPr>
          <w:rFonts w:hint="default" w:ascii="Times New Roman" w:hAnsi="Times New Roman" w:cs="Times New Roman"/>
          <w:color w:val="auto"/>
          <w:highlight w:val="none"/>
        </w:rPr>
        <w:t>，距离</w:t>
      </w:r>
      <w:r>
        <w:rPr>
          <w:rFonts w:hint="default" w:ascii="Times New Roman" w:hAnsi="Times New Roman" w:cs="Times New Roman"/>
          <w:color w:val="auto"/>
          <w:highlight w:val="none"/>
          <w:lang w:eastAsia="zh-CN"/>
        </w:rPr>
        <w:t>哈密市中心约</w:t>
      </w:r>
      <w:r>
        <w:rPr>
          <w:rFonts w:hint="default" w:ascii="Times New Roman" w:hAnsi="Times New Roman" w:cs="Times New Roman"/>
          <w:color w:val="auto"/>
          <w:highlight w:val="none"/>
          <w:lang w:val="en-US" w:eastAsia="zh-CN"/>
        </w:rPr>
        <w:t>20</w:t>
      </w:r>
      <w:r>
        <w:rPr>
          <w:rFonts w:hint="default" w:ascii="Times New Roman" w:hAnsi="Times New Roman" w:cs="Times New Roman"/>
          <w:color w:val="auto"/>
          <w:highlight w:val="none"/>
        </w:rPr>
        <w:t>km。总体布局呈</w:t>
      </w:r>
      <w:r>
        <w:rPr>
          <w:rFonts w:hint="default" w:ascii="Times New Roman" w:hAnsi="Times New Roman" w:cs="Times New Roman"/>
          <w:color w:val="auto"/>
          <w:highlight w:val="none"/>
          <w:lang w:eastAsia="zh-CN"/>
        </w:rPr>
        <w:t>四边</w:t>
      </w:r>
      <w:r>
        <w:rPr>
          <w:rFonts w:hint="default" w:ascii="Times New Roman" w:hAnsi="Times New Roman" w:cs="Times New Roman"/>
          <w:color w:val="auto"/>
          <w:highlight w:val="none"/>
        </w:rPr>
        <w:t>形布置。</w:t>
      </w:r>
    </w:p>
    <w:p>
      <w:pPr>
        <w:pStyle w:val="56"/>
        <w:keepNext w:val="0"/>
        <w:keepLines w:val="0"/>
        <w:pageBreakBefore w:val="0"/>
        <w:widowControl w:val="0"/>
        <w:kinsoku/>
        <w:wordWrap/>
        <w:overflowPunct/>
        <w:topLinePunct w:val="0"/>
        <w:autoSpaceDE/>
        <w:autoSpaceDN/>
        <w:bidi w:val="0"/>
        <w:adjustRightInd w:val="0"/>
        <w:snapToGrid w:val="0"/>
        <w:ind w:firstLine="480"/>
        <w:textAlignment w:val="auto"/>
        <w:outlineLvl w:val="9"/>
        <w:rPr>
          <w:rFonts w:hint="eastAsia" w:cs="Times New Roman"/>
          <w:color w:val="auto"/>
          <w:highlight w:val="none"/>
          <w:lang w:val="en-US" w:eastAsia="zh-CN"/>
        </w:rPr>
      </w:pPr>
      <w:r>
        <w:rPr>
          <w:rFonts w:hint="default" w:ascii="Times New Roman" w:hAnsi="Times New Roman" w:cs="Times New Roman"/>
          <w:color w:val="auto"/>
          <w:highlight w:val="none"/>
        </w:rPr>
        <w:t>本电站</w:t>
      </w:r>
      <w:r>
        <w:rPr>
          <w:rFonts w:hint="eastAsia" w:cs="Times New Roman"/>
          <w:color w:val="auto"/>
          <w:highlight w:val="none"/>
          <w:lang w:eastAsia="zh-CN"/>
        </w:rPr>
        <w:t>实际</w:t>
      </w:r>
      <w:r>
        <w:rPr>
          <w:rFonts w:hint="default" w:ascii="Times New Roman" w:hAnsi="Times New Roman" w:cs="Times New Roman"/>
          <w:color w:val="auto"/>
          <w:highlight w:val="none"/>
        </w:rPr>
        <w:t>装机容量</w:t>
      </w:r>
      <w:r>
        <w:rPr>
          <w:rFonts w:hint="eastAsia" w:cs="Times New Roman"/>
          <w:color w:val="auto"/>
          <w:highlight w:val="none"/>
          <w:lang w:val="en-US" w:eastAsia="zh-CN"/>
        </w:rPr>
        <w:t>11.7644</w:t>
      </w:r>
      <w:r>
        <w:rPr>
          <w:rFonts w:hint="default" w:ascii="Times New Roman" w:hAnsi="Times New Roman" w:cs="Times New Roman"/>
          <w:color w:val="auto"/>
          <w:highlight w:val="none"/>
          <w:lang w:eastAsia="zh-CN"/>
        </w:rPr>
        <w:t>MWp</w:t>
      </w:r>
      <w:r>
        <w:rPr>
          <w:rFonts w:hint="default" w:ascii="Times New Roman" w:hAnsi="Times New Roman" w:cs="Times New Roman"/>
          <w:color w:val="auto"/>
          <w:highlight w:val="none"/>
        </w:rPr>
        <w:t>，每</w:t>
      </w:r>
      <w:r>
        <w:rPr>
          <w:rFonts w:hint="eastAsia" w:cs="Times New Roman"/>
          <w:color w:val="auto"/>
          <w:highlight w:val="none"/>
          <w:lang w:val="en-US" w:eastAsia="zh-CN"/>
        </w:rPr>
        <w:t>1.47055</w:t>
      </w:r>
      <w:r>
        <w:rPr>
          <w:rFonts w:hint="default" w:ascii="Times New Roman" w:hAnsi="Times New Roman" w:cs="Times New Roman"/>
          <w:color w:val="auto"/>
          <w:highlight w:val="none"/>
          <w:lang w:eastAsia="zh-CN"/>
        </w:rPr>
        <w:t>MWp</w:t>
      </w:r>
      <w:r>
        <w:rPr>
          <w:rFonts w:hint="default" w:ascii="Times New Roman" w:hAnsi="Times New Roman" w:cs="Times New Roman"/>
          <w:color w:val="auto"/>
          <w:highlight w:val="none"/>
        </w:rPr>
        <w:t>组件和</w:t>
      </w:r>
      <w:r>
        <w:rPr>
          <w:rFonts w:hint="eastAsia" w:cs="Times New Roman"/>
          <w:color w:val="auto"/>
          <w:highlight w:val="none"/>
          <w:lang w:val="en-US" w:eastAsia="zh-CN"/>
        </w:rPr>
        <w:t>1.48MVA</w:t>
      </w:r>
      <w:r>
        <w:rPr>
          <w:rFonts w:hint="default" w:ascii="Times New Roman" w:hAnsi="Times New Roman" w:cs="Times New Roman"/>
          <w:color w:val="auto"/>
          <w:highlight w:val="none"/>
        </w:rPr>
        <w:t>箱变为1个子阵，共</w:t>
      </w:r>
      <w:r>
        <w:rPr>
          <w:rFonts w:hint="eastAsia" w:cs="Times New Roman"/>
          <w:color w:val="auto"/>
          <w:highlight w:val="none"/>
          <w:lang w:val="en-US" w:eastAsia="zh-CN"/>
        </w:rPr>
        <w:t>8</w:t>
      </w:r>
      <w:r>
        <w:rPr>
          <w:rFonts w:hint="default" w:ascii="Times New Roman" w:hAnsi="Times New Roman" w:cs="Times New Roman"/>
          <w:color w:val="auto"/>
          <w:highlight w:val="none"/>
        </w:rPr>
        <w:t>个子阵</w:t>
      </w:r>
      <w:r>
        <w:rPr>
          <w:rFonts w:hint="eastAsia" w:cs="Times New Roman"/>
          <w:color w:val="auto"/>
          <w:highlight w:val="none"/>
          <w:lang w:eastAsia="zh-CN"/>
        </w:rPr>
        <w:t>。本项目共安装</w:t>
      </w:r>
      <w:r>
        <w:rPr>
          <w:rFonts w:hint="eastAsia" w:cs="Times New Roman"/>
          <w:color w:val="auto"/>
          <w:highlight w:val="none"/>
          <w:lang w:val="en-US" w:eastAsia="zh-CN"/>
        </w:rPr>
        <w:t>1.48MVA</w:t>
      </w:r>
      <w:r>
        <w:rPr>
          <w:rFonts w:hint="default" w:ascii="Times New Roman" w:hAnsi="Times New Roman" w:cs="Times New Roman"/>
          <w:color w:val="auto"/>
          <w:highlight w:val="none"/>
        </w:rPr>
        <w:t>箱变</w:t>
      </w:r>
      <w:r>
        <w:rPr>
          <w:rFonts w:hint="eastAsia" w:cs="Times New Roman"/>
          <w:color w:val="auto"/>
          <w:highlight w:val="none"/>
          <w:lang w:val="en-US" w:eastAsia="zh-CN"/>
        </w:rPr>
        <w:t>8个；安装逆变器共计630台，分别为：20</w:t>
      </w:r>
      <w:r>
        <w:rPr>
          <w:rFonts w:hint="default" w:ascii="Times New Roman" w:hAnsi="Times New Roman" w:cs="Times New Roman"/>
          <w:color w:val="auto"/>
          <w:highlight w:val="none"/>
        </w:rPr>
        <w:t>kW</w:t>
      </w:r>
      <w:r>
        <w:rPr>
          <w:rFonts w:hint="eastAsia" w:cs="Times New Roman"/>
          <w:color w:val="auto"/>
          <w:highlight w:val="none"/>
          <w:lang w:eastAsia="zh-CN"/>
        </w:rPr>
        <w:t>逆变器</w:t>
      </w:r>
      <w:r>
        <w:rPr>
          <w:rFonts w:hint="eastAsia" w:cs="Times New Roman"/>
          <w:color w:val="auto"/>
          <w:highlight w:val="none"/>
          <w:lang w:val="en-US" w:eastAsia="zh-CN"/>
        </w:rPr>
        <w:t>396台，8</w:t>
      </w:r>
      <w:r>
        <w:rPr>
          <w:rFonts w:hint="default" w:ascii="Times New Roman" w:hAnsi="Times New Roman" w:cs="Times New Roman"/>
          <w:color w:val="auto"/>
          <w:highlight w:val="none"/>
        </w:rPr>
        <w:t>kW</w:t>
      </w:r>
      <w:r>
        <w:rPr>
          <w:rFonts w:hint="eastAsia" w:cs="Times New Roman"/>
          <w:color w:val="auto"/>
          <w:highlight w:val="none"/>
          <w:lang w:eastAsia="zh-CN"/>
        </w:rPr>
        <w:t>逆变器</w:t>
      </w:r>
      <w:r>
        <w:rPr>
          <w:rFonts w:hint="eastAsia" w:cs="Times New Roman"/>
          <w:color w:val="auto"/>
          <w:highlight w:val="none"/>
          <w:lang w:val="en-US" w:eastAsia="zh-CN"/>
        </w:rPr>
        <w:t>202台，125</w:t>
      </w:r>
      <w:r>
        <w:rPr>
          <w:rFonts w:hint="default" w:ascii="Times New Roman" w:hAnsi="Times New Roman" w:cs="Times New Roman"/>
          <w:color w:val="auto"/>
          <w:highlight w:val="none"/>
        </w:rPr>
        <w:t>kW</w:t>
      </w:r>
      <w:r>
        <w:rPr>
          <w:rFonts w:hint="eastAsia" w:cs="Times New Roman"/>
          <w:color w:val="auto"/>
          <w:highlight w:val="none"/>
          <w:lang w:eastAsia="zh-CN"/>
        </w:rPr>
        <w:t>逆变器</w:t>
      </w:r>
      <w:r>
        <w:rPr>
          <w:rFonts w:hint="eastAsia" w:cs="Times New Roman"/>
          <w:color w:val="auto"/>
          <w:highlight w:val="none"/>
          <w:lang w:val="en-US" w:eastAsia="zh-CN"/>
        </w:rPr>
        <w:t>32台。本项目</w:t>
      </w:r>
      <w:r>
        <w:rPr>
          <w:rFonts w:hint="eastAsia" w:cs="Times New Roman"/>
          <w:color w:val="auto"/>
          <w:highlight w:val="none"/>
          <w:lang w:eastAsia="zh-CN"/>
        </w:rPr>
        <w:t>安装</w:t>
      </w:r>
      <w:r>
        <w:rPr>
          <w:rFonts w:hint="eastAsia" w:cs="Times New Roman"/>
          <w:color w:val="auto"/>
          <w:highlight w:val="none"/>
          <w:lang w:val="en-US" w:eastAsia="zh-CN"/>
        </w:rPr>
        <w:t>4种型号光伏组件共26820片，分别为：单晶单面2040Wp组件3168块；单晶单面75Wp组件13500块；多晶单面425Wp组件5076块；多晶单面420Wp组件5076块，均为固定倾角式（倾斜角40°，方位角0°）组件支架安装。</w:t>
      </w:r>
    </w:p>
    <w:p>
      <w:pPr>
        <w:pStyle w:val="56"/>
        <w:ind w:firstLine="480"/>
        <w:rPr>
          <w:rFonts w:hint="eastAsia" w:cs="Times New Roman"/>
          <w:color w:val="auto"/>
          <w:highlight w:val="none"/>
          <w:lang w:val="en-US" w:eastAsia="zh-CN"/>
        </w:rPr>
      </w:pPr>
      <w:r>
        <w:rPr>
          <w:rFonts w:hint="eastAsia" w:cs="Times New Roman"/>
          <w:color w:val="auto"/>
          <w:highlight w:val="none"/>
          <w:lang w:val="en-US" w:eastAsia="zh-CN"/>
        </w:rPr>
        <w:t>组件安装形式：</w:t>
      </w:r>
    </w:p>
    <w:p>
      <w:pPr>
        <w:pStyle w:val="56"/>
        <w:ind w:firstLine="480"/>
        <w:rPr>
          <w:rFonts w:hint="eastAsia" w:cs="Times New Roman"/>
          <w:color w:val="auto"/>
          <w:highlight w:val="none"/>
          <w:lang w:val="en-US" w:eastAsia="zh-CN"/>
        </w:rPr>
      </w:pPr>
      <w:r>
        <w:rPr>
          <w:rFonts w:hint="eastAsia" w:cs="Times New Roman"/>
          <w:color w:val="auto"/>
          <w:highlight w:val="none"/>
          <w:lang w:val="en-US" w:eastAsia="zh-CN"/>
        </w:rPr>
        <w:t>（1）单晶单面2040Wp组件共3168块，安装形式如下：</w:t>
      </w:r>
    </w:p>
    <w:p>
      <w:pPr>
        <w:pStyle w:val="56"/>
        <w:ind w:firstLine="480"/>
        <w:rPr>
          <w:rFonts w:hint="default" w:ascii="Times New Roman" w:hAnsi="Times New Roman" w:cs="Times New Roman"/>
          <w:color w:val="auto"/>
          <w:highlight w:val="none"/>
        </w:rPr>
      </w:pPr>
      <w:r>
        <w:rPr>
          <w:rFonts w:hint="eastAsia" w:cs="Times New Roman"/>
          <w:color w:val="auto"/>
          <w:highlight w:val="none"/>
          <w:lang w:val="en-US" w:eastAsia="zh-CN"/>
        </w:rPr>
        <w:t>每4块2040Wp组件串联为1个光伏组串，每2串安装在一个光伏支架上，并串入一台20</w:t>
      </w:r>
      <w:r>
        <w:rPr>
          <w:rFonts w:hint="default" w:ascii="Times New Roman" w:hAnsi="Times New Roman" w:cs="Times New Roman"/>
          <w:color w:val="auto"/>
          <w:highlight w:val="none"/>
        </w:rPr>
        <w:t>kW逆变器</w:t>
      </w:r>
      <w:r>
        <w:rPr>
          <w:rFonts w:hint="eastAsia" w:cs="Times New Roman"/>
          <w:color w:val="auto"/>
          <w:highlight w:val="none"/>
          <w:lang w:eastAsia="zh-CN"/>
        </w:rPr>
        <w:t>，每</w:t>
      </w:r>
      <w:r>
        <w:rPr>
          <w:rFonts w:hint="eastAsia" w:cs="Times New Roman"/>
          <w:color w:val="auto"/>
          <w:highlight w:val="none"/>
          <w:lang w:val="en-US" w:eastAsia="zh-CN"/>
        </w:rPr>
        <w:t>49~50台20</w:t>
      </w:r>
      <w:r>
        <w:rPr>
          <w:rFonts w:hint="default" w:ascii="Times New Roman" w:hAnsi="Times New Roman" w:cs="Times New Roman"/>
          <w:color w:val="auto"/>
          <w:highlight w:val="none"/>
        </w:rPr>
        <w:t>kW</w:t>
      </w:r>
      <w:r>
        <w:rPr>
          <w:rFonts w:hint="eastAsia" w:cs="Times New Roman"/>
          <w:color w:val="auto"/>
          <w:highlight w:val="none"/>
          <w:lang w:val="en-US" w:eastAsia="zh-CN"/>
        </w:rPr>
        <w:t>逆变器接入1台1.48MVA</w:t>
      </w:r>
      <w:r>
        <w:rPr>
          <w:rFonts w:hint="default" w:ascii="Times New Roman" w:hAnsi="Times New Roman" w:cs="Times New Roman"/>
          <w:color w:val="auto"/>
          <w:highlight w:val="none"/>
        </w:rPr>
        <w:t>箱变，将逆变器输出的低压交流电升压至35kV。</w:t>
      </w:r>
    </w:p>
    <w:p>
      <w:pPr>
        <w:pStyle w:val="56"/>
        <w:ind w:firstLine="480"/>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(2)单晶单面75Wp组件共13500块，安装形式如下：</w:t>
      </w:r>
    </w:p>
    <w:p>
      <w:pPr>
        <w:pStyle w:val="56"/>
        <w:ind w:firstLine="480"/>
        <w:rPr>
          <w:rFonts w:hint="default" w:ascii="Times New Roman" w:hAnsi="Times New Roman" w:cs="Times New Roman"/>
          <w:color w:val="auto"/>
          <w:highlight w:val="none"/>
        </w:rPr>
      </w:pPr>
      <w:r>
        <w:rPr>
          <w:rFonts w:hint="eastAsia" w:cs="Times New Roman"/>
          <w:color w:val="auto"/>
          <w:highlight w:val="none"/>
          <w:lang w:eastAsia="zh-CN"/>
        </w:rPr>
        <w:t>每</w:t>
      </w:r>
      <w:r>
        <w:rPr>
          <w:rFonts w:hint="eastAsia" w:cs="Times New Roman"/>
          <w:color w:val="auto"/>
          <w:highlight w:val="none"/>
          <w:lang w:val="en-US" w:eastAsia="zh-CN"/>
        </w:rPr>
        <w:t>18块75Wp组件为1个光伏组串，每5串安装在一个光伏支架上，并串入一台8</w:t>
      </w:r>
      <w:r>
        <w:rPr>
          <w:rFonts w:hint="default" w:ascii="Times New Roman" w:hAnsi="Times New Roman" w:cs="Times New Roman"/>
          <w:color w:val="auto"/>
          <w:highlight w:val="none"/>
        </w:rPr>
        <w:t>kW逆变器</w:t>
      </w:r>
      <w:r>
        <w:rPr>
          <w:rFonts w:hint="eastAsia" w:cs="Times New Roman"/>
          <w:color w:val="auto"/>
          <w:highlight w:val="none"/>
          <w:lang w:eastAsia="zh-CN"/>
        </w:rPr>
        <w:t>，每</w:t>
      </w:r>
      <w:r>
        <w:rPr>
          <w:rFonts w:hint="eastAsia" w:cs="Times New Roman"/>
          <w:color w:val="auto"/>
          <w:highlight w:val="none"/>
          <w:lang w:val="en-US" w:eastAsia="zh-CN"/>
        </w:rPr>
        <w:t>18~19台8</w:t>
      </w:r>
      <w:r>
        <w:rPr>
          <w:rFonts w:hint="default" w:ascii="Times New Roman" w:hAnsi="Times New Roman" w:cs="Times New Roman"/>
          <w:color w:val="auto"/>
          <w:highlight w:val="none"/>
        </w:rPr>
        <w:t>kW</w:t>
      </w:r>
      <w:r>
        <w:rPr>
          <w:rFonts w:hint="eastAsia" w:cs="Times New Roman"/>
          <w:color w:val="auto"/>
          <w:highlight w:val="none"/>
          <w:lang w:val="en-US" w:eastAsia="zh-CN"/>
        </w:rPr>
        <w:t>逆变器接入1台1.48MVA</w:t>
      </w:r>
      <w:r>
        <w:rPr>
          <w:rFonts w:hint="default" w:ascii="Times New Roman" w:hAnsi="Times New Roman" w:cs="Times New Roman"/>
          <w:color w:val="auto"/>
          <w:highlight w:val="none"/>
        </w:rPr>
        <w:t>箱变，将逆变器输出的低压交流电升压至35kV。</w:t>
      </w:r>
    </w:p>
    <w:p>
      <w:pPr>
        <w:pStyle w:val="56"/>
        <w:ind w:firstLine="480"/>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3）多晶单面425Wp组件共5076块，安装形式如下：</w:t>
      </w:r>
    </w:p>
    <w:p>
      <w:pPr>
        <w:pStyle w:val="56"/>
        <w:ind w:firstLine="480"/>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eastAsia="zh-CN"/>
        </w:rPr>
        <w:t>每</w:t>
      </w:r>
      <w:r>
        <w:rPr>
          <w:rFonts w:hint="eastAsia" w:cs="Times New Roman"/>
          <w:color w:val="auto"/>
          <w:highlight w:val="none"/>
          <w:lang w:val="en-US" w:eastAsia="zh-CN"/>
        </w:rPr>
        <w:t>18块425Wp组件为1个光伏组串，每2串安装在一个光伏支架上，每16路组串接入一台125</w:t>
      </w:r>
      <w:r>
        <w:rPr>
          <w:rFonts w:hint="default" w:ascii="Times New Roman" w:hAnsi="Times New Roman" w:cs="Times New Roman"/>
          <w:color w:val="auto"/>
          <w:highlight w:val="none"/>
        </w:rPr>
        <w:t>kW逆变器</w:t>
      </w:r>
      <w:r>
        <w:rPr>
          <w:rFonts w:hint="eastAsia" w:cs="Times New Roman"/>
          <w:color w:val="auto"/>
          <w:highlight w:val="none"/>
          <w:lang w:eastAsia="zh-CN"/>
        </w:rPr>
        <w:t>，共接入</w:t>
      </w:r>
      <w:r>
        <w:rPr>
          <w:rFonts w:hint="eastAsia" w:cs="Times New Roman"/>
          <w:color w:val="auto"/>
          <w:highlight w:val="none"/>
          <w:lang w:val="en-US" w:eastAsia="zh-CN"/>
        </w:rPr>
        <w:t>16台125</w:t>
      </w:r>
      <w:r>
        <w:rPr>
          <w:rFonts w:hint="default" w:ascii="Times New Roman" w:hAnsi="Times New Roman" w:cs="Times New Roman"/>
          <w:color w:val="auto"/>
          <w:highlight w:val="none"/>
        </w:rPr>
        <w:t>kW逆变器</w:t>
      </w:r>
      <w:r>
        <w:rPr>
          <w:rFonts w:hint="eastAsia" w:cs="Times New Roman"/>
          <w:color w:val="auto"/>
          <w:highlight w:val="none"/>
          <w:lang w:eastAsia="zh-CN"/>
        </w:rPr>
        <w:t>；剩余的</w:t>
      </w:r>
      <w:r>
        <w:rPr>
          <w:rFonts w:hint="eastAsia" w:cs="Times New Roman"/>
          <w:color w:val="auto"/>
          <w:highlight w:val="none"/>
          <w:lang w:val="en-US" w:eastAsia="zh-CN"/>
        </w:rPr>
        <w:t>26串425Wp组件，每串组串接入一台8</w:t>
      </w:r>
      <w:r>
        <w:rPr>
          <w:rFonts w:hint="default" w:ascii="Times New Roman" w:hAnsi="Times New Roman" w:cs="Times New Roman"/>
          <w:color w:val="auto"/>
          <w:highlight w:val="none"/>
        </w:rPr>
        <w:t>kW逆变器</w:t>
      </w:r>
      <w:r>
        <w:rPr>
          <w:rFonts w:hint="eastAsia" w:cs="Times New Roman"/>
          <w:color w:val="auto"/>
          <w:highlight w:val="none"/>
          <w:lang w:eastAsia="zh-CN"/>
        </w:rPr>
        <w:t>，共串入</w:t>
      </w:r>
      <w:r>
        <w:rPr>
          <w:rFonts w:hint="eastAsia" w:cs="Times New Roman"/>
          <w:color w:val="auto"/>
          <w:highlight w:val="none"/>
          <w:lang w:val="en-US" w:eastAsia="zh-CN"/>
        </w:rPr>
        <w:t>26台8</w:t>
      </w:r>
      <w:r>
        <w:rPr>
          <w:rFonts w:hint="default" w:ascii="Times New Roman" w:hAnsi="Times New Roman" w:cs="Times New Roman"/>
          <w:color w:val="auto"/>
          <w:highlight w:val="none"/>
        </w:rPr>
        <w:t>kW逆变器</w:t>
      </w:r>
      <w:r>
        <w:rPr>
          <w:rFonts w:hint="eastAsia" w:cs="Times New Roman"/>
          <w:color w:val="auto"/>
          <w:highlight w:val="none"/>
          <w:lang w:eastAsia="zh-CN"/>
        </w:rPr>
        <w:t>。每</w:t>
      </w:r>
      <w:r>
        <w:rPr>
          <w:rFonts w:hint="eastAsia" w:cs="Times New Roman"/>
          <w:color w:val="auto"/>
          <w:highlight w:val="none"/>
          <w:lang w:val="en-US" w:eastAsia="zh-CN"/>
        </w:rPr>
        <w:t>2台125</w:t>
      </w:r>
      <w:r>
        <w:rPr>
          <w:rFonts w:hint="default" w:ascii="Times New Roman" w:hAnsi="Times New Roman" w:cs="Times New Roman"/>
          <w:color w:val="auto"/>
          <w:highlight w:val="none"/>
        </w:rPr>
        <w:t>kW逆变器</w:t>
      </w:r>
      <w:r>
        <w:rPr>
          <w:rFonts w:hint="eastAsia" w:cs="Times New Roman"/>
          <w:color w:val="auto"/>
          <w:highlight w:val="none"/>
          <w:lang w:eastAsia="zh-CN"/>
        </w:rPr>
        <w:t>和每</w:t>
      </w:r>
      <w:r>
        <w:rPr>
          <w:rFonts w:hint="eastAsia" w:cs="Times New Roman"/>
          <w:color w:val="auto"/>
          <w:highlight w:val="none"/>
          <w:lang w:val="en-US" w:eastAsia="zh-CN"/>
        </w:rPr>
        <w:t>3~4台8</w:t>
      </w:r>
      <w:r>
        <w:rPr>
          <w:rFonts w:hint="default" w:ascii="Times New Roman" w:hAnsi="Times New Roman" w:cs="Times New Roman"/>
          <w:color w:val="auto"/>
          <w:highlight w:val="none"/>
        </w:rPr>
        <w:t>kW逆变器</w:t>
      </w:r>
      <w:r>
        <w:rPr>
          <w:rFonts w:hint="eastAsia" w:cs="Times New Roman"/>
          <w:color w:val="auto"/>
          <w:highlight w:val="none"/>
          <w:lang w:eastAsia="zh-CN"/>
        </w:rPr>
        <w:t>接入</w:t>
      </w:r>
      <w:r>
        <w:rPr>
          <w:rFonts w:hint="eastAsia" w:cs="Times New Roman"/>
          <w:color w:val="auto"/>
          <w:highlight w:val="none"/>
          <w:lang w:val="en-US" w:eastAsia="zh-CN"/>
        </w:rPr>
        <w:t>1台1.48MVA</w:t>
      </w:r>
      <w:r>
        <w:rPr>
          <w:rFonts w:hint="default" w:ascii="Times New Roman" w:hAnsi="Times New Roman" w:cs="Times New Roman"/>
          <w:color w:val="auto"/>
          <w:highlight w:val="none"/>
        </w:rPr>
        <w:t>箱变，将逆变器输出的低压交流电升压至35kV。</w:t>
      </w:r>
    </w:p>
    <w:p>
      <w:pPr>
        <w:pStyle w:val="56"/>
        <w:ind w:firstLine="480"/>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4）多晶单面420Wp组件共5076块，安装形式如下：</w:t>
      </w:r>
    </w:p>
    <w:p>
      <w:pPr>
        <w:pStyle w:val="56"/>
        <w:ind w:firstLine="480"/>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eastAsia="zh-CN"/>
        </w:rPr>
        <w:t>每</w:t>
      </w:r>
      <w:r>
        <w:rPr>
          <w:rFonts w:hint="eastAsia" w:cs="Times New Roman"/>
          <w:color w:val="auto"/>
          <w:highlight w:val="none"/>
          <w:lang w:val="en-US" w:eastAsia="zh-CN"/>
        </w:rPr>
        <w:t>18块420Wp组件为1个光伏组串，每2串安装在一个光伏支架上，每16路组串接入一台125</w:t>
      </w:r>
      <w:r>
        <w:rPr>
          <w:rFonts w:hint="default" w:ascii="Times New Roman" w:hAnsi="Times New Roman" w:cs="Times New Roman"/>
          <w:color w:val="auto"/>
          <w:highlight w:val="none"/>
        </w:rPr>
        <w:t>kW逆变器</w:t>
      </w:r>
      <w:r>
        <w:rPr>
          <w:rFonts w:hint="eastAsia" w:cs="Times New Roman"/>
          <w:color w:val="auto"/>
          <w:highlight w:val="none"/>
          <w:lang w:eastAsia="zh-CN"/>
        </w:rPr>
        <w:t>，共接入</w:t>
      </w:r>
      <w:r>
        <w:rPr>
          <w:rFonts w:hint="eastAsia" w:cs="Times New Roman"/>
          <w:color w:val="auto"/>
          <w:highlight w:val="none"/>
          <w:lang w:val="en-US" w:eastAsia="zh-CN"/>
        </w:rPr>
        <w:t>16台125</w:t>
      </w:r>
      <w:r>
        <w:rPr>
          <w:rFonts w:hint="default" w:ascii="Times New Roman" w:hAnsi="Times New Roman" w:cs="Times New Roman"/>
          <w:color w:val="auto"/>
          <w:highlight w:val="none"/>
        </w:rPr>
        <w:t>kW逆变器</w:t>
      </w:r>
      <w:r>
        <w:rPr>
          <w:rFonts w:hint="eastAsia" w:cs="Times New Roman"/>
          <w:color w:val="auto"/>
          <w:highlight w:val="none"/>
          <w:lang w:eastAsia="zh-CN"/>
        </w:rPr>
        <w:t>；剩余的</w:t>
      </w:r>
      <w:r>
        <w:rPr>
          <w:rFonts w:hint="eastAsia" w:cs="Times New Roman"/>
          <w:color w:val="auto"/>
          <w:highlight w:val="none"/>
          <w:lang w:val="en-US" w:eastAsia="zh-CN"/>
        </w:rPr>
        <w:t>26串420Wp组件，每串组串接入一台8</w:t>
      </w:r>
      <w:r>
        <w:rPr>
          <w:rFonts w:hint="default" w:ascii="Times New Roman" w:hAnsi="Times New Roman" w:cs="Times New Roman"/>
          <w:color w:val="auto"/>
          <w:highlight w:val="none"/>
        </w:rPr>
        <w:t>kW逆变器</w:t>
      </w:r>
      <w:r>
        <w:rPr>
          <w:rFonts w:hint="eastAsia" w:cs="Times New Roman"/>
          <w:color w:val="auto"/>
          <w:highlight w:val="none"/>
          <w:lang w:eastAsia="zh-CN"/>
        </w:rPr>
        <w:t>，共串入</w:t>
      </w:r>
      <w:r>
        <w:rPr>
          <w:rFonts w:hint="eastAsia" w:cs="Times New Roman"/>
          <w:color w:val="auto"/>
          <w:highlight w:val="none"/>
          <w:lang w:val="en-US" w:eastAsia="zh-CN"/>
        </w:rPr>
        <w:t>26台8</w:t>
      </w:r>
      <w:r>
        <w:rPr>
          <w:rFonts w:hint="default" w:ascii="Times New Roman" w:hAnsi="Times New Roman" w:cs="Times New Roman"/>
          <w:color w:val="auto"/>
          <w:highlight w:val="none"/>
        </w:rPr>
        <w:t>kW逆变器</w:t>
      </w:r>
      <w:r>
        <w:rPr>
          <w:rFonts w:hint="eastAsia" w:cs="Times New Roman"/>
          <w:color w:val="auto"/>
          <w:highlight w:val="none"/>
          <w:lang w:eastAsia="zh-CN"/>
        </w:rPr>
        <w:t>。每</w:t>
      </w:r>
      <w:r>
        <w:rPr>
          <w:rFonts w:hint="eastAsia" w:cs="Times New Roman"/>
          <w:color w:val="auto"/>
          <w:highlight w:val="none"/>
          <w:lang w:val="en-US" w:eastAsia="zh-CN"/>
        </w:rPr>
        <w:t>2台125</w:t>
      </w:r>
      <w:r>
        <w:rPr>
          <w:rFonts w:hint="default" w:ascii="Times New Roman" w:hAnsi="Times New Roman" w:cs="Times New Roman"/>
          <w:color w:val="auto"/>
          <w:highlight w:val="none"/>
        </w:rPr>
        <w:t>kW逆变器</w:t>
      </w:r>
      <w:r>
        <w:rPr>
          <w:rFonts w:hint="eastAsia" w:cs="Times New Roman"/>
          <w:color w:val="auto"/>
          <w:highlight w:val="none"/>
          <w:lang w:eastAsia="zh-CN"/>
        </w:rPr>
        <w:t>和每</w:t>
      </w:r>
      <w:r>
        <w:rPr>
          <w:rFonts w:hint="eastAsia" w:cs="Times New Roman"/>
          <w:color w:val="auto"/>
          <w:highlight w:val="none"/>
          <w:lang w:val="en-US" w:eastAsia="zh-CN"/>
        </w:rPr>
        <w:t>3~4台8</w:t>
      </w:r>
      <w:r>
        <w:rPr>
          <w:rFonts w:hint="default" w:ascii="Times New Roman" w:hAnsi="Times New Roman" w:cs="Times New Roman"/>
          <w:color w:val="auto"/>
          <w:highlight w:val="none"/>
        </w:rPr>
        <w:t>kW逆变器</w:t>
      </w:r>
      <w:r>
        <w:rPr>
          <w:rFonts w:hint="eastAsia" w:cs="Times New Roman"/>
          <w:color w:val="auto"/>
          <w:highlight w:val="none"/>
          <w:lang w:eastAsia="zh-CN"/>
        </w:rPr>
        <w:t>接入</w:t>
      </w:r>
      <w:r>
        <w:rPr>
          <w:rFonts w:hint="eastAsia" w:cs="Times New Roman"/>
          <w:color w:val="auto"/>
          <w:highlight w:val="none"/>
          <w:lang w:val="en-US" w:eastAsia="zh-CN"/>
        </w:rPr>
        <w:t>1台1.48MVA</w:t>
      </w:r>
      <w:r>
        <w:rPr>
          <w:rFonts w:hint="default" w:ascii="Times New Roman" w:hAnsi="Times New Roman" w:cs="Times New Roman"/>
          <w:color w:val="auto"/>
          <w:highlight w:val="none"/>
        </w:rPr>
        <w:t>箱变，将逆变器输出的低压交流电升压至35kV。</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w:t>
      </w:r>
      <w:r>
        <w:rPr>
          <w:rFonts w:hint="eastAsia" w:cs="Times New Roman"/>
          <w:color w:val="auto"/>
          <w:highlight w:val="none"/>
          <w:lang w:eastAsia="zh-CN"/>
        </w:rPr>
        <w:t>在项目区南侧中心位置</w:t>
      </w:r>
      <w:r>
        <w:rPr>
          <w:rFonts w:hint="default" w:ascii="Times New Roman" w:hAnsi="Times New Roman" w:cs="Times New Roman"/>
          <w:color w:val="auto"/>
          <w:highlight w:val="none"/>
          <w:lang w:eastAsia="zh-CN"/>
        </w:rPr>
        <w:t>建设</w:t>
      </w:r>
      <w:r>
        <w:rPr>
          <w:rFonts w:hint="eastAsia" w:cs="Times New Roman"/>
          <w:color w:val="auto"/>
          <w:highlight w:val="none"/>
          <w:lang w:eastAsia="zh-CN"/>
        </w:rPr>
        <w:t>一</w:t>
      </w:r>
      <w:r>
        <w:rPr>
          <w:rFonts w:hint="default" w:ascii="Times New Roman" w:hAnsi="Times New Roman" w:cs="Times New Roman"/>
          <w:color w:val="auto"/>
          <w:highlight w:val="none"/>
          <w:lang w:eastAsia="zh-CN"/>
        </w:rPr>
        <w:t>条进场道路</w:t>
      </w:r>
      <w:r>
        <w:rPr>
          <w:rFonts w:hint="eastAsia" w:cs="Times New Roman"/>
          <w:color w:val="auto"/>
          <w:highlight w:val="none"/>
          <w:lang w:eastAsia="zh-CN"/>
        </w:rPr>
        <w:t>，垂直接入石城子光伏园区内已建道路，进场</w:t>
      </w:r>
      <w:r>
        <w:rPr>
          <w:rFonts w:hint="default" w:ascii="Times New Roman" w:hAnsi="Times New Roman" w:cs="Times New Roman"/>
          <w:color w:val="auto"/>
          <w:highlight w:val="none"/>
        </w:rPr>
        <w:t>道路</w:t>
      </w:r>
      <w:r>
        <w:rPr>
          <w:rFonts w:hint="eastAsia" w:cs="Times New Roman"/>
          <w:color w:val="auto"/>
          <w:highlight w:val="none"/>
          <w:lang w:eastAsia="zh-CN"/>
        </w:rPr>
        <w:t>长</w:t>
      </w:r>
      <w:r>
        <w:rPr>
          <w:rFonts w:hint="eastAsia" w:cs="Times New Roman"/>
          <w:color w:val="auto"/>
          <w:highlight w:val="none"/>
          <w:lang w:val="en-US" w:eastAsia="zh-CN"/>
        </w:rPr>
        <w:t>50m，</w:t>
      </w:r>
      <w:r>
        <w:rPr>
          <w:rFonts w:hint="default" w:ascii="Times New Roman" w:hAnsi="Times New Roman" w:cs="Times New Roman"/>
          <w:color w:val="auto"/>
          <w:highlight w:val="none"/>
        </w:rPr>
        <w:t>宽6.0m为</w:t>
      </w:r>
      <w:r>
        <w:rPr>
          <w:rFonts w:hint="eastAsia" w:cs="Times New Roman"/>
          <w:color w:val="auto"/>
          <w:highlight w:val="none"/>
          <w:lang w:eastAsia="zh-CN"/>
        </w:rPr>
        <w:t>混凝土</w:t>
      </w:r>
      <w:r>
        <w:rPr>
          <w:rFonts w:hint="default" w:ascii="Times New Roman" w:hAnsi="Times New Roman" w:cs="Times New Roman"/>
          <w:color w:val="auto"/>
          <w:highlight w:val="none"/>
        </w:rPr>
        <w:t>路面</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占地面积0.</w:t>
      </w:r>
      <w:r>
        <w:rPr>
          <w:rFonts w:hint="eastAsia" w:cs="Times New Roman"/>
          <w:color w:val="auto"/>
          <w:highlight w:val="none"/>
          <w:lang w:val="en-US" w:eastAsia="zh-CN"/>
        </w:rPr>
        <w:t>03</w:t>
      </w:r>
      <w:r>
        <w:rPr>
          <w:rFonts w:hint="default" w:ascii="Times New Roman" w:hAnsi="Times New Roman" w:cs="Times New Roman"/>
          <w:color w:val="auto"/>
          <w:highlight w:val="none"/>
        </w:rPr>
        <w:t>hm²</w:t>
      </w:r>
      <w:r>
        <w:rPr>
          <w:rFonts w:hint="default" w:ascii="Times New Roman" w:hAnsi="Times New Roman" w:cs="Times New Roman"/>
          <w:color w:val="auto"/>
          <w:highlight w:val="none"/>
          <w:lang w:eastAsia="zh-CN"/>
        </w:rPr>
        <w:t>，作为项目区运行期间永久进场道路。</w:t>
      </w:r>
      <w:r>
        <w:rPr>
          <w:rFonts w:hint="default" w:ascii="Times New Roman" w:hAnsi="Times New Roman" w:cs="Times New Roman"/>
          <w:color w:val="auto"/>
          <w:highlight w:val="none"/>
        </w:rPr>
        <w:t>场内道由环道和纵、横向交通道路组成</w:t>
      </w:r>
      <w:r>
        <w:rPr>
          <w:rFonts w:hint="eastAsia" w:cs="Times New Roman"/>
          <w:color w:val="auto"/>
          <w:highlight w:val="none"/>
          <w:lang w:eastAsia="zh-CN"/>
        </w:rPr>
        <w:t>，</w:t>
      </w:r>
      <w:r>
        <w:rPr>
          <w:rFonts w:hint="default" w:ascii="Times New Roman" w:hAnsi="Times New Roman" w:cs="Times New Roman"/>
          <w:color w:val="auto"/>
          <w:highlight w:val="none"/>
        </w:rPr>
        <w:t>站内道路纵向坡度结合地形设计，横向坡度低于</w:t>
      </w:r>
      <w:r>
        <w:rPr>
          <w:rFonts w:hint="eastAsia" w:cs="Times New Roman"/>
          <w:color w:val="auto"/>
          <w:highlight w:val="none"/>
          <w:lang w:val="en-US" w:eastAsia="zh-CN"/>
        </w:rPr>
        <w:t>2</w:t>
      </w:r>
      <w:r>
        <w:rPr>
          <w:rFonts w:hint="default" w:ascii="Times New Roman" w:hAnsi="Times New Roman" w:cs="Times New Roman"/>
          <w:color w:val="auto"/>
          <w:highlight w:val="none"/>
        </w:rPr>
        <w:t>%，站内道路长度</w:t>
      </w:r>
      <w:r>
        <w:rPr>
          <w:rFonts w:hint="eastAsia" w:cs="Times New Roman"/>
          <w:color w:val="auto"/>
          <w:highlight w:val="none"/>
          <w:lang w:val="en-US" w:eastAsia="zh-CN"/>
        </w:rPr>
        <w:t>48</w:t>
      </w:r>
      <w:r>
        <w:rPr>
          <w:rFonts w:hint="default" w:ascii="Times New Roman" w:hAnsi="Times New Roman" w:cs="Times New Roman"/>
          <w:color w:val="auto"/>
          <w:highlight w:val="none"/>
        </w:rPr>
        <w:t>00m，道路宽度4.0m，</w:t>
      </w:r>
      <w:r>
        <w:rPr>
          <w:rFonts w:hint="default" w:ascii="Times New Roman" w:hAnsi="Times New Roman" w:cs="Times New Roman"/>
          <w:color w:val="auto"/>
          <w:highlight w:val="none"/>
          <w:lang w:eastAsia="zh-CN"/>
        </w:rPr>
        <w:t>为砂砾石路面（</w:t>
      </w:r>
      <w:r>
        <w:rPr>
          <w:rFonts w:hint="default" w:ascii="Times New Roman" w:hAnsi="Times New Roman" w:cs="Times New Roman"/>
          <w:color w:val="auto"/>
          <w:highlight w:val="none"/>
          <w:lang w:val="en-US" w:eastAsia="zh-CN"/>
        </w:rPr>
        <w:t>15cm厚砂砾石垫层</w:t>
      </w:r>
      <w:r>
        <w:rPr>
          <w:rFonts w:hint="default" w:ascii="Times New Roman" w:hAnsi="Times New Roman" w:cs="Times New Roman"/>
          <w:color w:val="auto"/>
          <w:highlight w:val="none"/>
          <w:lang w:eastAsia="zh-CN"/>
        </w:rPr>
        <w:t>）道路转弯半径为</w:t>
      </w:r>
      <w:r>
        <w:rPr>
          <w:rFonts w:hint="default" w:ascii="Times New Roman" w:hAnsi="Times New Roman" w:cs="Times New Roman"/>
          <w:color w:val="auto"/>
          <w:highlight w:val="none"/>
          <w:lang w:val="en-US" w:eastAsia="zh-CN"/>
        </w:rPr>
        <w:t>6m，</w:t>
      </w:r>
      <w:r>
        <w:rPr>
          <w:rFonts w:hint="default" w:ascii="Times New Roman" w:hAnsi="Times New Roman" w:cs="Times New Roman"/>
          <w:color w:val="auto"/>
          <w:highlight w:val="none"/>
        </w:rPr>
        <w:t>占地面积</w:t>
      </w:r>
      <w:r>
        <w:rPr>
          <w:rFonts w:hint="eastAsia" w:cs="Times New Roman"/>
          <w:color w:val="auto"/>
          <w:highlight w:val="none"/>
          <w:lang w:val="en-US" w:eastAsia="zh-CN"/>
        </w:rPr>
        <w:t>1.92</w:t>
      </w:r>
      <w:r>
        <w:rPr>
          <w:rFonts w:hint="default" w:ascii="Times New Roman" w:hAnsi="Times New Roman" w:cs="Times New Roman"/>
          <w:color w:val="auto"/>
          <w:highlight w:val="none"/>
        </w:rPr>
        <w:t>hm²。</w:t>
      </w:r>
    </w:p>
    <w:p>
      <w:pPr>
        <w:pStyle w:val="56"/>
        <w:ind w:firstLine="48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管理区位于场址南侧中部，呈梯形布置，占地面积 8315.6m</w:t>
      </w:r>
      <w:r>
        <w:rPr>
          <w:rFonts w:hint="default" w:ascii="Times New Roman" w:hAnsi="Times New Roman" w:cs="Times New Roman"/>
          <w:color w:val="auto"/>
          <w:highlight w:val="none"/>
          <w:vertAlign w:val="superscript"/>
        </w:rPr>
        <w:t>2</w:t>
      </w:r>
      <w:r>
        <w:t>，主体设计采取顺坡布设，坡度</w:t>
      </w:r>
      <w:r>
        <w:rPr>
          <w:rFonts w:hint="eastAsia"/>
          <w:lang w:eastAsia="zh-CN"/>
        </w:rPr>
        <w:t>约</w:t>
      </w:r>
      <w:r>
        <w:rPr>
          <w:rFonts w:hint="eastAsia"/>
          <w:lang w:val="en-US" w:eastAsia="zh-CN"/>
        </w:rPr>
        <w:t>2</w:t>
      </w:r>
      <w:r>
        <w:t>%左右</w:t>
      </w:r>
      <w:r>
        <w:rPr>
          <w:rFonts w:hint="eastAsia"/>
          <w:lang w:eastAsia="zh-CN"/>
        </w:rPr>
        <w:t>。</w:t>
      </w:r>
      <w:r>
        <w:rPr>
          <w:rFonts w:hint="eastAsia" w:cs="Times New Roman"/>
          <w:color w:val="auto"/>
          <w:highlight w:val="none"/>
          <w:lang w:eastAsia="zh-CN"/>
        </w:rPr>
        <w:t>管理区内北侧中心位置布置一幢</w:t>
      </w:r>
      <w:r>
        <w:rPr>
          <w:rFonts w:hint="eastAsia" w:cs="Times New Roman"/>
          <w:color w:val="auto"/>
          <w:highlight w:val="none"/>
          <w:vertAlign w:val="baseline"/>
          <w:lang w:val="en-US" w:eastAsia="zh-CN"/>
        </w:rPr>
        <w:t>L型</w:t>
      </w:r>
      <w:r>
        <w:rPr>
          <w:rFonts w:hint="eastAsia" w:cs="Times New Roman"/>
          <w:color w:val="auto"/>
          <w:highlight w:val="none"/>
          <w:lang w:eastAsia="zh-CN"/>
        </w:rPr>
        <w:t>生产楼，建筑面积 783.81m</w:t>
      </w:r>
      <w:r>
        <w:rPr>
          <w:rFonts w:hint="eastAsia" w:cs="Times New Roman"/>
          <w:color w:val="auto"/>
          <w:highlight w:val="none"/>
          <w:vertAlign w:val="superscript"/>
          <w:lang w:eastAsia="zh-CN"/>
        </w:rPr>
        <w:t>2</w:t>
      </w:r>
      <w:r>
        <w:rPr>
          <w:rFonts w:hint="eastAsia" w:cs="Times New Roman"/>
          <w:color w:val="auto"/>
          <w:highlight w:val="none"/>
          <w:vertAlign w:val="baseline"/>
          <w:lang w:eastAsia="zh-CN"/>
        </w:rPr>
        <w:t>，占地面积</w:t>
      </w:r>
      <w:r>
        <w:rPr>
          <w:rFonts w:hint="eastAsia" w:cs="Times New Roman"/>
          <w:color w:val="auto"/>
          <w:highlight w:val="none"/>
          <w:vertAlign w:val="baseline"/>
          <w:lang w:val="en-US" w:eastAsia="zh-CN"/>
        </w:rPr>
        <w:t>533</w:t>
      </w:r>
      <w:r>
        <w:rPr>
          <w:rFonts w:hint="eastAsia" w:cs="Times New Roman"/>
          <w:color w:val="auto"/>
          <w:highlight w:val="none"/>
          <w:lang w:eastAsia="zh-CN"/>
        </w:rPr>
        <w:t>m</w:t>
      </w:r>
      <w:r>
        <w:rPr>
          <w:rFonts w:hint="eastAsia" w:cs="Times New Roman"/>
          <w:color w:val="auto"/>
          <w:highlight w:val="none"/>
          <w:vertAlign w:val="superscript"/>
          <w:lang w:eastAsia="zh-CN"/>
        </w:rPr>
        <w:t>2</w:t>
      </w:r>
      <w:r>
        <w:rPr>
          <w:rFonts w:hint="eastAsia" w:cs="Times New Roman"/>
          <w:color w:val="auto"/>
          <w:highlight w:val="none"/>
          <w:vertAlign w:val="baseline"/>
          <w:lang w:eastAsia="zh-CN"/>
        </w:rPr>
        <w:t>，</w:t>
      </w:r>
      <w:r>
        <w:rPr>
          <w:rFonts w:hint="eastAsia" w:cs="Times New Roman"/>
          <w:color w:val="auto"/>
          <w:highlight w:val="none"/>
          <w:lang w:val="en-US" w:eastAsia="zh-CN"/>
        </w:rPr>
        <w:t>管理区西侧布置一处SVC补偿装置，尺寸为11m×8m，管理区东侧布置一处</w:t>
      </w:r>
      <w:r>
        <w:rPr>
          <w:rFonts w:hint="eastAsia" w:cs="Times New Roman"/>
          <w:color w:val="auto"/>
          <w:highlight w:val="none"/>
          <w:vertAlign w:val="baseline"/>
          <w:lang w:val="en-US" w:eastAsia="zh-CN"/>
        </w:rPr>
        <w:t>35kv</w:t>
      </w:r>
      <w:r>
        <w:rPr>
          <w:rFonts w:hint="eastAsia" w:cs="Times New Roman"/>
          <w:color w:val="auto"/>
          <w:highlight w:val="none"/>
          <w:lang w:val="en-US" w:eastAsia="zh-CN"/>
        </w:rPr>
        <w:t>接地变压器，尺寸为5m×5m；接地变压器旁布置一处</w:t>
      </w:r>
      <w:r>
        <w:rPr>
          <w:rFonts w:ascii="Times New Roman" w:hAnsi="Times New Roman" w:eastAsia="Times New Roman" w:cs="Times New Roman"/>
          <w:spacing w:val="0"/>
          <w:w w:val="100"/>
          <w:sz w:val="21"/>
          <w:szCs w:val="21"/>
        </w:rPr>
        <w:t>250kV</w:t>
      </w:r>
      <w:r>
        <w:rPr>
          <w:rFonts w:ascii="Times New Roman" w:hAnsi="Times New Roman" w:eastAsia="Times New Roman" w:cs="Times New Roman"/>
          <w:spacing w:val="1"/>
          <w:w w:val="100"/>
          <w:sz w:val="21"/>
          <w:szCs w:val="21"/>
        </w:rPr>
        <w:t>A</w:t>
      </w:r>
      <w:r>
        <w:rPr>
          <w:rFonts w:hint="eastAsia" w:cs="Times New Roman"/>
          <w:color w:val="auto"/>
          <w:highlight w:val="none"/>
          <w:lang w:val="en-US" w:eastAsia="zh-CN"/>
        </w:rPr>
        <w:t>厂用变压器，尺寸为4.2m×4.2m。</w:t>
      </w:r>
      <w:r>
        <w:rPr>
          <w:rFonts w:hint="eastAsia" w:cs="Times New Roman"/>
          <w:color w:val="auto"/>
          <w:highlight w:val="none"/>
          <w:lang w:eastAsia="zh-CN"/>
        </w:rPr>
        <w:t>管理区东北角布置一处篮球场，尺寸为</w:t>
      </w:r>
      <w:r>
        <w:rPr>
          <w:rFonts w:hint="eastAsia" w:cs="Times New Roman"/>
          <w:color w:val="auto"/>
          <w:highlight w:val="none"/>
          <w:lang w:val="en-US" w:eastAsia="zh-CN"/>
        </w:rPr>
        <w:t>15m×14m。</w:t>
      </w:r>
    </w:p>
    <w:p>
      <w:pPr>
        <w:pStyle w:val="56"/>
        <w:ind w:firstLine="480"/>
        <w:rPr>
          <w:rFonts w:hint="eastAsia" w:cs="Times New Roman"/>
          <w:color w:val="auto"/>
          <w:highlight w:val="none"/>
          <w:lang w:val="en-US" w:eastAsia="zh-CN"/>
        </w:rPr>
      </w:pPr>
      <w:r>
        <w:rPr>
          <w:rFonts w:hint="eastAsia" w:cs="Times New Roman"/>
          <w:color w:val="auto"/>
          <w:highlight w:val="none"/>
          <w:lang w:val="en-US" w:eastAsia="zh-CN"/>
        </w:rPr>
        <w:t>此外管理区东南角还建有一些地下构筑物，包括一个地下水泵房和蓄水池，尺寸为12m×11m×3m，一处避雷针，尺寸为4m×4m×2m。</w:t>
      </w:r>
    </w:p>
    <w:p>
      <w:pPr>
        <w:pStyle w:val="56"/>
        <w:ind w:firstLine="480"/>
        <w:jc w:val="left"/>
        <w:rPr>
          <w:rFonts w:hint="default" w:ascii="Times New Roman" w:hAnsi="Times New Roman" w:cs="Times New Roman"/>
          <w:color w:val="auto"/>
          <w:highlight w:val="none"/>
        </w:rPr>
      </w:pPr>
      <w:r>
        <w:drawing>
          <wp:inline distT="0" distB="0" distL="114300" distR="114300">
            <wp:extent cx="5888990" cy="2165350"/>
            <wp:effectExtent l="0" t="0" r="16510" b="6350"/>
            <wp:docPr id="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pic:cNvPicPr>
                      <a:picLocks noChangeAspect="1"/>
                    </pic:cNvPicPr>
                  </pic:nvPicPr>
                  <pic:blipFill>
                    <a:blip r:embed="rId30"/>
                    <a:srcRect t="775" r="3520"/>
                    <a:stretch>
                      <a:fillRect/>
                    </a:stretch>
                  </pic:blipFill>
                  <pic:spPr>
                    <a:xfrm>
                      <a:off x="0" y="0"/>
                      <a:ext cx="5888990" cy="2165350"/>
                    </a:xfrm>
                    <a:prstGeom prst="rect">
                      <a:avLst/>
                    </a:prstGeom>
                    <a:noFill/>
                    <a:ln>
                      <a:noFill/>
                    </a:ln>
                  </pic:spPr>
                </pic:pic>
              </a:graphicData>
            </a:graphic>
          </wp:inline>
        </w:drawing>
      </w:r>
    </w:p>
    <w:p>
      <w:pPr>
        <w:pStyle w:val="75"/>
        <w:spacing w:after="240" w:afterLines="10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图2.1-</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项目区</w:t>
      </w:r>
      <w:r>
        <w:rPr>
          <w:rFonts w:hint="default" w:ascii="Times New Roman" w:hAnsi="Times New Roman" w:cs="Times New Roman"/>
          <w:color w:val="auto"/>
          <w:highlight w:val="none"/>
          <w:lang w:eastAsia="zh-CN"/>
        </w:rPr>
        <w:t>平面布置图</w:t>
      </w:r>
    </w:p>
    <w:p>
      <w:pPr>
        <w:pStyle w:val="75"/>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表2.1-</w:t>
      </w:r>
      <w:r>
        <w:rPr>
          <w:rFonts w:hint="eastAsia"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界址点坐标表</w:t>
      </w:r>
    </w:p>
    <w:tbl>
      <w:tblPr>
        <w:tblStyle w:val="28"/>
        <w:tblW w:w="90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510"/>
        <w:gridCol w:w="1510"/>
        <w:gridCol w:w="1510"/>
        <w:gridCol w:w="1510"/>
        <w:gridCol w:w="15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0" w:type="dxa"/>
            <w:tcBorders>
              <w:tl2br w:val="nil"/>
              <w:tr2bl w:val="nil"/>
            </w:tcBorders>
            <w:vAlign w:val="center"/>
          </w:tcPr>
          <w:p>
            <w:pPr>
              <w:pStyle w:val="75"/>
              <w:spacing w:line="240" w:lineRule="auto"/>
              <w:jc w:val="center"/>
              <w:outlineLvl w:val="9"/>
              <w:rPr>
                <w:rFonts w:hint="eastAsia" w:ascii="Times New Roman" w:hAnsi="Times New Roman" w:eastAsia="仿宋_GB2312" w:cs="Times New Roman"/>
                <w:b w:val="0"/>
                <w:bCs w:val="0"/>
                <w:snapToGrid w:val="0"/>
                <w:color w:val="auto"/>
                <w:kern w:val="24"/>
                <w:sz w:val="21"/>
                <w:szCs w:val="21"/>
                <w:highlight w:val="none"/>
                <w:lang w:val="en-US" w:eastAsia="zh-CN" w:bidi="ar-SA"/>
              </w:rPr>
            </w:pPr>
            <w:r>
              <w:rPr>
                <w:rFonts w:hint="eastAsia" w:cs="Times New Roman"/>
                <w:b w:val="0"/>
                <w:bCs w:val="0"/>
                <w:snapToGrid w:val="0"/>
                <w:color w:val="auto"/>
                <w:kern w:val="24"/>
                <w:sz w:val="21"/>
                <w:szCs w:val="21"/>
                <w:highlight w:val="none"/>
                <w:lang w:val="en-US" w:eastAsia="zh-CN" w:bidi="ar-SA"/>
              </w:rPr>
              <w:t>位置</w:t>
            </w:r>
          </w:p>
        </w:tc>
        <w:tc>
          <w:tcPr>
            <w:tcW w:w="1510" w:type="dxa"/>
            <w:tcBorders>
              <w:tl2br w:val="nil"/>
              <w:tr2bl w:val="nil"/>
            </w:tcBorders>
            <w:vAlign w:val="center"/>
          </w:tcPr>
          <w:p>
            <w:pPr>
              <w:pStyle w:val="75"/>
              <w:spacing w:line="240" w:lineRule="auto"/>
              <w:jc w:val="center"/>
              <w:outlineLvl w:val="9"/>
              <w:rPr>
                <w:rFonts w:hint="default" w:ascii="Times New Roman" w:hAnsi="Times New Roman" w:eastAsia="仿宋_GB2312" w:cs="Times New Roman"/>
                <w:b w:val="0"/>
                <w:bCs w:val="0"/>
                <w:snapToGrid w:val="0"/>
                <w:color w:val="auto"/>
                <w:kern w:val="24"/>
                <w:sz w:val="21"/>
                <w:szCs w:val="21"/>
                <w:highlight w:val="none"/>
                <w:lang w:val="en-US" w:eastAsia="zh-CN" w:bidi="ar-SA"/>
              </w:rPr>
            </w:pPr>
            <w:r>
              <w:rPr>
                <w:rFonts w:hint="eastAsia" w:cs="Times New Roman"/>
                <w:b w:val="0"/>
                <w:bCs w:val="0"/>
                <w:color w:val="auto"/>
                <w:sz w:val="21"/>
                <w:szCs w:val="21"/>
                <w:highlight w:val="none"/>
                <w:lang w:val="en-US" w:eastAsia="zh-CN"/>
              </w:rPr>
              <w:t>1980西安坐标系</w:t>
            </w:r>
            <w:r>
              <w:rPr>
                <w:rFonts w:hint="default" w:ascii="Times New Roman" w:hAnsi="Times New Roman" w:eastAsia="仿宋_GB2312" w:cs="Times New Roman"/>
                <w:b w:val="0"/>
                <w:bCs w:val="0"/>
                <w:snapToGrid w:val="0"/>
                <w:color w:val="auto"/>
                <w:kern w:val="24"/>
                <w:sz w:val="21"/>
                <w:szCs w:val="21"/>
                <w:highlight w:val="none"/>
                <w:lang w:val="en-US" w:eastAsia="zh-CN" w:bidi="ar-SA"/>
              </w:rPr>
              <w:t>X</w:t>
            </w:r>
          </w:p>
        </w:tc>
        <w:tc>
          <w:tcPr>
            <w:tcW w:w="1510" w:type="dxa"/>
            <w:tcBorders>
              <w:tl2br w:val="nil"/>
              <w:tr2bl w:val="nil"/>
            </w:tcBorders>
            <w:vAlign w:val="center"/>
          </w:tcPr>
          <w:p>
            <w:pPr>
              <w:pStyle w:val="75"/>
              <w:spacing w:line="240" w:lineRule="auto"/>
              <w:jc w:val="center"/>
              <w:outlineLvl w:val="9"/>
              <w:rPr>
                <w:rFonts w:hint="default" w:ascii="Times New Roman" w:hAnsi="Times New Roman" w:eastAsia="仿宋_GB2312" w:cs="Times New Roman"/>
                <w:b w:val="0"/>
                <w:bCs w:val="0"/>
                <w:snapToGrid w:val="0"/>
                <w:color w:val="auto"/>
                <w:kern w:val="24"/>
                <w:sz w:val="21"/>
                <w:szCs w:val="21"/>
                <w:highlight w:val="none"/>
                <w:lang w:val="en-US" w:eastAsia="zh-CN" w:bidi="ar-SA"/>
              </w:rPr>
            </w:pPr>
            <w:r>
              <w:rPr>
                <w:rFonts w:hint="eastAsia" w:cs="Times New Roman"/>
                <w:b w:val="0"/>
                <w:bCs w:val="0"/>
                <w:color w:val="auto"/>
                <w:sz w:val="21"/>
                <w:szCs w:val="21"/>
                <w:highlight w:val="none"/>
                <w:lang w:val="en-US" w:eastAsia="zh-CN"/>
              </w:rPr>
              <w:t>1980西安坐标系</w:t>
            </w:r>
            <w:r>
              <w:rPr>
                <w:rFonts w:hint="default" w:ascii="Times New Roman" w:hAnsi="Times New Roman" w:eastAsia="仿宋_GB2312" w:cs="Times New Roman"/>
                <w:b w:val="0"/>
                <w:bCs w:val="0"/>
                <w:snapToGrid w:val="0"/>
                <w:color w:val="auto"/>
                <w:kern w:val="24"/>
                <w:sz w:val="21"/>
                <w:szCs w:val="21"/>
                <w:highlight w:val="none"/>
                <w:lang w:val="en-US" w:eastAsia="zh-CN" w:bidi="ar-SA"/>
              </w:rPr>
              <w:t>Y</w:t>
            </w:r>
          </w:p>
        </w:tc>
        <w:tc>
          <w:tcPr>
            <w:tcW w:w="1510" w:type="dxa"/>
            <w:tcBorders>
              <w:tl2br w:val="nil"/>
              <w:tr2bl w:val="nil"/>
            </w:tcBorders>
            <w:vAlign w:val="center"/>
          </w:tcPr>
          <w:p>
            <w:pPr>
              <w:pStyle w:val="75"/>
              <w:spacing w:line="240" w:lineRule="auto"/>
              <w:jc w:val="center"/>
              <w:outlineLvl w:val="9"/>
              <w:rPr>
                <w:rFonts w:hint="default" w:ascii="Times New Roman" w:hAnsi="Times New Roman" w:eastAsia="仿宋_GB2312" w:cs="Times New Roman"/>
                <w:b w:val="0"/>
                <w:bCs w:val="0"/>
                <w:snapToGrid w:val="0"/>
                <w:color w:val="auto"/>
                <w:kern w:val="24"/>
                <w:sz w:val="21"/>
                <w:szCs w:val="21"/>
                <w:highlight w:val="none"/>
                <w:lang w:val="en-US" w:eastAsia="zh-CN" w:bidi="ar-SA"/>
              </w:rPr>
            </w:pPr>
            <w:r>
              <w:rPr>
                <w:rFonts w:hint="eastAsia" w:cs="Times New Roman"/>
                <w:b w:val="0"/>
                <w:bCs w:val="0"/>
                <w:snapToGrid w:val="0"/>
                <w:color w:val="auto"/>
                <w:kern w:val="24"/>
                <w:sz w:val="21"/>
                <w:szCs w:val="21"/>
                <w:highlight w:val="none"/>
                <w:lang w:val="en-US" w:eastAsia="zh-CN" w:bidi="ar-SA"/>
              </w:rPr>
              <w:t>位置</w:t>
            </w:r>
          </w:p>
        </w:tc>
        <w:tc>
          <w:tcPr>
            <w:tcW w:w="1510" w:type="dxa"/>
            <w:tcBorders>
              <w:tl2br w:val="nil"/>
              <w:tr2bl w:val="nil"/>
            </w:tcBorders>
            <w:vAlign w:val="center"/>
          </w:tcPr>
          <w:p>
            <w:pPr>
              <w:pStyle w:val="75"/>
              <w:spacing w:line="240" w:lineRule="auto"/>
              <w:ind w:firstLine="0" w:firstLineChars="0"/>
              <w:jc w:val="center"/>
              <w:outlineLvl w:val="9"/>
              <w:rPr>
                <w:rFonts w:hint="default" w:ascii="Times New Roman" w:hAnsi="Times New Roman" w:eastAsia="仿宋_GB2312" w:cs="Times New Roman"/>
                <w:b w:val="0"/>
                <w:bCs w:val="0"/>
                <w:snapToGrid w:val="0"/>
                <w:color w:val="auto"/>
                <w:kern w:val="24"/>
                <w:sz w:val="21"/>
                <w:szCs w:val="21"/>
                <w:highlight w:val="none"/>
                <w:lang w:val="en-US" w:eastAsia="zh-CN" w:bidi="ar-SA"/>
              </w:rPr>
            </w:pPr>
            <w:r>
              <w:rPr>
                <w:rFonts w:hint="eastAsia" w:cs="Times New Roman"/>
                <w:b w:val="0"/>
                <w:bCs w:val="0"/>
                <w:color w:val="auto"/>
                <w:sz w:val="21"/>
                <w:szCs w:val="21"/>
                <w:highlight w:val="none"/>
                <w:lang w:val="en-US" w:eastAsia="zh-CN"/>
              </w:rPr>
              <w:t>1980西安坐标系</w:t>
            </w:r>
            <w:r>
              <w:rPr>
                <w:rFonts w:hint="default" w:ascii="Times New Roman" w:hAnsi="Times New Roman" w:eastAsia="仿宋_GB2312" w:cs="Times New Roman"/>
                <w:b w:val="0"/>
                <w:bCs w:val="0"/>
                <w:snapToGrid w:val="0"/>
                <w:color w:val="auto"/>
                <w:kern w:val="24"/>
                <w:sz w:val="21"/>
                <w:szCs w:val="21"/>
                <w:highlight w:val="none"/>
                <w:lang w:val="en-US" w:eastAsia="zh-CN" w:bidi="ar-SA"/>
              </w:rPr>
              <w:t>X</w:t>
            </w:r>
          </w:p>
        </w:tc>
        <w:tc>
          <w:tcPr>
            <w:tcW w:w="1510" w:type="dxa"/>
            <w:tcBorders>
              <w:tl2br w:val="nil"/>
              <w:tr2bl w:val="nil"/>
            </w:tcBorders>
            <w:vAlign w:val="center"/>
          </w:tcPr>
          <w:p>
            <w:pPr>
              <w:pStyle w:val="75"/>
              <w:spacing w:line="240" w:lineRule="auto"/>
              <w:ind w:firstLine="0" w:firstLineChars="0"/>
              <w:jc w:val="center"/>
              <w:outlineLvl w:val="9"/>
              <w:rPr>
                <w:rFonts w:hint="default" w:ascii="Times New Roman" w:hAnsi="Times New Roman" w:eastAsia="仿宋_GB2312" w:cs="Times New Roman"/>
                <w:b w:val="0"/>
                <w:bCs w:val="0"/>
                <w:snapToGrid w:val="0"/>
                <w:color w:val="auto"/>
                <w:kern w:val="24"/>
                <w:sz w:val="21"/>
                <w:szCs w:val="21"/>
                <w:highlight w:val="none"/>
                <w:lang w:val="en-US" w:eastAsia="zh-CN" w:bidi="ar-SA"/>
              </w:rPr>
            </w:pPr>
            <w:r>
              <w:rPr>
                <w:rFonts w:hint="eastAsia" w:cs="Times New Roman"/>
                <w:b w:val="0"/>
                <w:bCs w:val="0"/>
                <w:color w:val="auto"/>
                <w:sz w:val="21"/>
                <w:szCs w:val="21"/>
                <w:highlight w:val="none"/>
                <w:lang w:val="en-US" w:eastAsia="zh-CN"/>
              </w:rPr>
              <w:t>1980西安坐标系</w:t>
            </w:r>
            <w:r>
              <w:rPr>
                <w:rFonts w:hint="default" w:ascii="Times New Roman" w:hAnsi="Times New Roman" w:eastAsia="仿宋_GB2312" w:cs="Times New Roman"/>
                <w:b w:val="0"/>
                <w:bCs w:val="0"/>
                <w:snapToGrid w:val="0"/>
                <w:color w:val="auto"/>
                <w:kern w:val="24"/>
                <w:sz w:val="21"/>
                <w:szCs w:val="21"/>
                <w:highlight w:val="none"/>
                <w:lang w:val="en-US" w:eastAsia="zh-CN" w:bidi="ar-SA"/>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0"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b w:val="0"/>
                <w:bCs w:val="0"/>
                <w:snapToGrid w:val="0"/>
                <w:color w:val="auto"/>
                <w:kern w:val="24"/>
                <w:sz w:val="21"/>
                <w:szCs w:val="21"/>
                <w:highlight w:val="none"/>
                <w:lang w:val="en-US" w:eastAsia="zh-CN" w:bidi="ar-SA"/>
              </w:rPr>
            </w:pPr>
            <w:r>
              <w:rPr>
                <w:rFonts w:hint="eastAsia" w:eastAsia="仿宋_GB2312" w:cs="Times New Roman"/>
                <w:b w:val="0"/>
                <w:bCs w:val="0"/>
                <w:snapToGrid w:val="0"/>
                <w:color w:val="auto"/>
                <w:kern w:val="24"/>
                <w:sz w:val="21"/>
                <w:szCs w:val="21"/>
                <w:highlight w:val="none"/>
                <w:lang w:val="en-US" w:eastAsia="zh-CN" w:bidi="ar-SA"/>
              </w:rPr>
              <w:t>西北A</w:t>
            </w:r>
          </w:p>
        </w:tc>
        <w:tc>
          <w:tcPr>
            <w:tcW w:w="1510"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b w:val="0"/>
                <w:bCs w:val="0"/>
                <w:snapToGrid w:val="0"/>
                <w:color w:val="auto"/>
                <w:kern w:val="24"/>
                <w:sz w:val="21"/>
                <w:szCs w:val="21"/>
                <w:highlight w:val="none"/>
                <w:lang w:val="en-US" w:eastAsia="zh-CN" w:bidi="ar-SA"/>
              </w:rPr>
            </w:pPr>
            <w:r>
              <w:rPr>
                <w:rFonts w:hint="eastAsia" w:eastAsia="仿宋_GB2312" w:cs="Times New Roman"/>
                <w:b w:val="0"/>
                <w:bCs w:val="0"/>
                <w:snapToGrid w:val="0"/>
                <w:color w:val="auto"/>
                <w:kern w:val="24"/>
                <w:sz w:val="21"/>
                <w:szCs w:val="21"/>
                <w:highlight w:val="none"/>
                <w:lang w:val="en-US" w:eastAsia="zh-CN" w:bidi="ar-SA"/>
              </w:rPr>
              <w:t>4765686.506</w:t>
            </w:r>
          </w:p>
        </w:tc>
        <w:tc>
          <w:tcPr>
            <w:tcW w:w="1510"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b w:val="0"/>
                <w:bCs w:val="0"/>
                <w:snapToGrid w:val="0"/>
                <w:color w:val="auto"/>
                <w:kern w:val="24"/>
                <w:sz w:val="21"/>
                <w:szCs w:val="21"/>
                <w:highlight w:val="none"/>
                <w:lang w:val="en-US" w:eastAsia="zh-CN" w:bidi="ar-SA"/>
              </w:rPr>
            </w:pPr>
            <w:r>
              <w:rPr>
                <w:rFonts w:hint="eastAsia" w:eastAsia="仿宋_GB2312" w:cs="Times New Roman"/>
                <w:b w:val="0"/>
                <w:bCs w:val="0"/>
                <w:snapToGrid w:val="0"/>
                <w:color w:val="auto"/>
                <w:kern w:val="24"/>
                <w:sz w:val="21"/>
                <w:szCs w:val="21"/>
                <w:highlight w:val="none"/>
                <w:lang w:val="en-US" w:eastAsia="zh-CN" w:bidi="ar-SA"/>
              </w:rPr>
              <w:t>548639.819</w:t>
            </w:r>
          </w:p>
        </w:tc>
        <w:tc>
          <w:tcPr>
            <w:tcW w:w="1510"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b w:val="0"/>
                <w:bCs w:val="0"/>
                <w:snapToGrid w:val="0"/>
                <w:color w:val="auto"/>
                <w:kern w:val="24"/>
                <w:sz w:val="21"/>
                <w:szCs w:val="21"/>
                <w:highlight w:val="none"/>
                <w:lang w:val="en-US" w:eastAsia="zh-CN" w:bidi="ar-SA"/>
              </w:rPr>
            </w:pPr>
            <w:r>
              <w:rPr>
                <w:rFonts w:hint="eastAsia" w:eastAsia="仿宋_GB2312" w:cs="Times New Roman"/>
                <w:b w:val="0"/>
                <w:bCs w:val="0"/>
                <w:snapToGrid w:val="0"/>
                <w:color w:val="auto"/>
                <w:kern w:val="24"/>
                <w:sz w:val="21"/>
                <w:szCs w:val="21"/>
                <w:highlight w:val="none"/>
                <w:lang w:val="en-US" w:eastAsia="zh-CN" w:bidi="ar-SA"/>
              </w:rPr>
              <w:t>东北B</w:t>
            </w:r>
          </w:p>
        </w:tc>
        <w:tc>
          <w:tcPr>
            <w:tcW w:w="1510"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b w:val="0"/>
                <w:bCs w:val="0"/>
                <w:snapToGrid w:val="0"/>
                <w:color w:val="auto"/>
                <w:kern w:val="24"/>
                <w:sz w:val="21"/>
                <w:szCs w:val="21"/>
                <w:highlight w:val="none"/>
                <w:lang w:val="en-US" w:eastAsia="zh-CN" w:bidi="ar-SA"/>
              </w:rPr>
            </w:pPr>
            <w:r>
              <w:rPr>
                <w:rFonts w:hint="eastAsia" w:eastAsia="仿宋_GB2312" w:cs="Times New Roman"/>
                <w:b w:val="0"/>
                <w:bCs w:val="0"/>
                <w:snapToGrid w:val="0"/>
                <w:color w:val="auto"/>
                <w:kern w:val="24"/>
                <w:sz w:val="21"/>
                <w:szCs w:val="21"/>
                <w:highlight w:val="none"/>
                <w:lang w:val="en-US" w:eastAsia="zh-CN" w:bidi="ar-SA"/>
              </w:rPr>
              <w:t>4765686.506</w:t>
            </w:r>
          </w:p>
        </w:tc>
        <w:tc>
          <w:tcPr>
            <w:tcW w:w="1510"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b w:val="0"/>
                <w:bCs w:val="0"/>
                <w:snapToGrid w:val="0"/>
                <w:color w:val="auto"/>
                <w:kern w:val="24"/>
                <w:sz w:val="21"/>
                <w:szCs w:val="21"/>
                <w:highlight w:val="none"/>
                <w:lang w:val="en-US" w:eastAsia="zh-CN" w:bidi="ar-SA"/>
              </w:rPr>
            </w:pPr>
            <w:r>
              <w:rPr>
                <w:rFonts w:hint="eastAsia" w:eastAsia="仿宋_GB2312" w:cs="Times New Roman"/>
                <w:b w:val="0"/>
                <w:bCs w:val="0"/>
                <w:snapToGrid w:val="0"/>
                <w:color w:val="auto"/>
                <w:kern w:val="24"/>
                <w:sz w:val="21"/>
                <w:szCs w:val="21"/>
                <w:highlight w:val="none"/>
                <w:lang w:val="en-US" w:eastAsia="zh-CN" w:bidi="ar-SA"/>
              </w:rPr>
              <w:t>550403.819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0"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eastAsia="仿宋_GB2312" w:cs="Times New Roman"/>
                <w:b w:val="0"/>
                <w:bCs w:val="0"/>
                <w:snapToGrid w:val="0"/>
                <w:color w:val="auto"/>
                <w:kern w:val="24"/>
                <w:sz w:val="21"/>
                <w:szCs w:val="21"/>
                <w:highlight w:val="none"/>
                <w:lang w:val="en-US" w:eastAsia="zh-CN" w:bidi="ar-SA"/>
              </w:rPr>
            </w:pPr>
            <w:r>
              <w:rPr>
                <w:rFonts w:hint="eastAsia" w:eastAsia="仿宋_GB2312" w:cs="Times New Roman"/>
                <w:b w:val="0"/>
                <w:bCs w:val="0"/>
                <w:snapToGrid w:val="0"/>
                <w:color w:val="auto"/>
                <w:kern w:val="24"/>
                <w:sz w:val="21"/>
                <w:szCs w:val="21"/>
                <w:highlight w:val="none"/>
                <w:lang w:val="en-US" w:eastAsia="zh-CN" w:bidi="ar-SA"/>
              </w:rPr>
              <w:t>西南C</w:t>
            </w:r>
          </w:p>
        </w:tc>
        <w:tc>
          <w:tcPr>
            <w:tcW w:w="1510"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eastAsia" w:eastAsia="仿宋_GB2312" w:cs="Times New Roman"/>
                <w:b w:val="0"/>
                <w:bCs w:val="0"/>
                <w:snapToGrid w:val="0"/>
                <w:color w:val="auto"/>
                <w:kern w:val="24"/>
                <w:sz w:val="21"/>
                <w:szCs w:val="21"/>
                <w:highlight w:val="none"/>
                <w:lang w:val="en-US" w:eastAsia="zh-CN" w:bidi="ar-SA"/>
              </w:rPr>
            </w:pPr>
            <w:r>
              <w:rPr>
                <w:rFonts w:hint="eastAsia" w:eastAsia="仿宋_GB2312" w:cs="Times New Roman"/>
                <w:b w:val="0"/>
                <w:bCs w:val="0"/>
                <w:snapToGrid w:val="0"/>
                <w:color w:val="auto"/>
                <w:kern w:val="24"/>
                <w:sz w:val="21"/>
                <w:szCs w:val="21"/>
                <w:highlight w:val="none"/>
                <w:lang w:val="en-US" w:eastAsia="zh-CN" w:bidi="ar-SA"/>
              </w:rPr>
              <w:t>4765294.677</w:t>
            </w:r>
          </w:p>
        </w:tc>
        <w:tc>
          <w:tcPr>
            <w:tcW w:w="1510"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eastAsia" w:eastAsia="仿宋_GB2312" w:cs="Times New Roman"/>
                <w:b w:val="0"/>
                <w:bCs w:val="0"/>
                <w:snapToGrid w:val="0"/>
                <w:color w:val="auto"/>
                <w:kern w:val="24"/>
                <w:sz w:val="21"/>
                <w:szCs w:val="21"/>
                <w:highlight w:val="none"/>
                <w:lang w:val="en-US" w:eastAsia="zh-CN" w:bidi="ar-SA"/>
              </w:rPr>
            </w:pPr>
            <w:r>
              <w:rPr>
                <w:rFonts w:hint="eastAsia" w:eastAsia="仿宋_GB2312" w:cs="Times New Roman"/>
                <w:b w:val="0"/>
                <w:bCs w:val="0"/>
                <w:snapToGrid w:val="0"/>
                <w:color w:val="auto"/>
                <w:kern w:val="24"/>
                <w:sz w:val="21"/>
                <w:szCs w:val="21"/>
                <w:highlight w:val="none"/>
                <w:lang w:val="en-US" w:eastAsia="zh-CN" w:bidi="ar-SA"/>
              </w:rPr>
              <w:t>548639.819</w:t>
            </w:r>
          </w:p>
        </w:tc>
        <w:tc>
          <w:tcPr>
            <w:tcW w:w="1510"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default" w:eastAsia="仿宋_GB2312" w:cs="Times New Roman"/>
                <w:b w:val="0"/>
                <w:bCs w:val="0"/>
                <w:snapToGrid w:val="0"/>
                <w:color w:val="auto"/>
                <w:kern w:val="24"/>
                <w:sz w:val="21"/>
                <w:szCs w:val="21"/>
                <w:highlight w:val="none"/>
                <w:lang w:val="en-US" w:eastAsia="zh-CN" w:bidi="ar-SA"/>
              </w:rPr>
            </w:pPr>
            <w:r>
              <w:rPr>
                <w:rFonts w:hint="eastAsia" w:eastAsia="仿宋_GB2312" w:cs="Times New Roman"/>
                <w:b w:val="0"/>
                <w:bCs w:val="0"/>
                <w:snapToGrid w:val="0"/>
                <w:color w:val="auto"/>
                <w:kern w:val="24"/>
                <w:sz w:val="21"/>
                <w:szCs w:val="21"/>
                <w:highlight w:val="none"/>
                <w:lang w:val="en-US" w:eastAsia="zh-CN" w:bidi="ar-SA"/>
              </w:rPr>
              <w:t>东南D</w:t>
            </w:r>
          </w:p>
        </w:tc>
        <w:tc>
          <w:tcPr>
            <w:tcW w:w="1510"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eastAsia" w:eastAsia="仿宋_GB2312" w:cs="Times New Roman"/>
                <w:b w:val="0"/>
                <w:bCs w:val="0"/>
                <w:snapToGrid w:val="0"/>
                <w:color w:val="auto"/>
                <w:kern w:val="24"/>
                <w:sz w:val="21"/>
                <w:szCs w:val="21"/>
                <w:highlight w:val="none"/>
                <w:lang w:val="en-US" w:eastAsia="zh-CN" w:bidi="ar-SA"/>
              </w:rPr>
            </w:pPr>
            <w:r>
              <w:rPr>
                <w:rFonts w:hint="eastAsia" w:eastAsia="仿宋_GB2312" w:cs="Times New Roman"/>
                <w:b w:val="0"/>
                <w:bCs w:val="0"/>
                <w:snapToGrid w:val="0"/>
                <w:color w:val="auto"/>
                <w:kern w:val="24"/>
                <w:sz w:val="21"/>
                <w:szCs w:val="21"/>
                <w:highlight w:val="none"/>
                <w:lang w:val="en-US" w:eastAsia="zh-CN" w:bidi="ar-SA"/>
              </w:rPr>
              <w:t>4765294.677</w:t>
            </w:r>
          </w:p>
        </w:tc>
        <w:tc>
          <w:tcPr>
            <w:tcW w:w="1510" w:type="dxa"/>
            <w:tcBorders>
              <w:tl2br w:val="nil"/>
              <w:tr2bl w:val="nil"/>
            </w:tcBorders>
            <w:vAlign w:val="center"/>
          </w:tcPr>
          <w:p>
            <w:pPr>
              <w:keepNext w:val="0"/>
              <w:keepLines w:val="0"/>
              <w:widowControl/>
              <w:suppressLineNumbers w:val="0"/>
              <w:spacing w:line="240" w:lineRule="auto"/>
              <w:ind w:left="0" w:leftChars="0" w:firstLine="0" w:firstLineChars="0"/>
              <w:jc w:val="center"/>
              <w:textAlignment w:val="center"/>
              <w:rPr>
                <w:rFonts w:hint="eastAsia" w:eastAsia="仿宋_GB2312" w:cs="Times New Roman"/>
                <w:b w:val="0"/>
                <w:bCs w:val="0"/>
                <w:snapToGrid w:val="0"/>
                <w:color w:val="auto"/>
                <w:kern w:val="24"/>
                <w:sz w:val="21"/>
                <w:szCs w:val="21"/>
                <w:highlight w:val="none"/>
                <w:lang w:val="en-US" w:eastAsia="zh-CN" w:bidi="ar-SA"/>
              </w:rPr>
            </w:pPr>
            <w:r>
              <w:rPr>
                <w:rFonts w:hint="eastAsia" w:eastAsia="仿宋_GB2312" w:cs="Times New Roman"/>
                <w:b w:val="0"/>
                <w:bCs w:val="0"/>
                <w:snapToGrid w:val="0"/>
                <w:color w:val="auto"/>
                <w:kern w:val="24"/>
                <w:sz w:val="21"/>
                <w:szCs w:val="21"/>
                <w:highlight w:val="none"/>
                <w:lang w:val="en-US" w:eastAsia="zh-CN" w:bidi="ar-SA"/>
              </w:rPr>
              <w:t>550403.819</w:t>
            </w:r>
          </w:p>
        </w:tc>
      </w:tr>
    </w:tbl>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2.1.2.2 竖向布置</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总图竖向布置的原则：尽量利用自然地形，减少土石方工程，并且在满足设计要求的同时，与后期周边规划场地标高一致。结合工程场地的实际情况和总平面布置，在满足作为生产生活后期使用要求的情况下，达到一定的平整要求。项目区</w:t>
      </w:r>
      <w:r>
        <w:rPr>
          <w:rFonts w:hint="eastAsia" w:cs="Times New Roman"/>
          <w:color w:val="auto"/>
          <w:highlight w:val="none"/>
          <w:lang w:eastAsia="zh-CN"/>
        </w:rPr>
        <w:t>地貌单元属于</w:t>
      </w:r>
      <w:r>
        <w:rPr>
          <w:rFonts w:hint="default" w:ascii="Times New Roman" w:hAnsi="Times New Roman" w:cs="Times New Roman"/>
          <w:color w:val="auto"/>
          <w:highlight w:val="none"/>
        </w:rPr>
        <w:t>博格达山山前冲洪积平原，距博格达山相对较远，总体地势</w:t>
      </w:r>
      <w:r>
        <w:rPr>
          <w:rFonts w:hint="eastAsia" w:cs="Times New Roman"/>
          <w:color w:val="auto"/>
          <w:highlight w:val="none"/>
          <w:lang w:eastAsia="zh-CN"/>
        </w:rPr>
        <w:t>平坦</w:t>
      </w:r>
      <w:r>
        <w:rPr>
          <w:rFonts w:hint="default" w:ascii="Times New Roman" w:hAnsi="Times New Roman" w:cs="Times New Roman"/>
          <w:color w:val="auto"/>
          <w:highlight w:val="none"/>
        </w:rPr>
        <w:t>、开阔</w:t>
      </w:r>
      <w:r>
        <w:rPr>
          <w:rFonts w:hint="eastAsia" w:cs="Times New Roman"/>
          <w:color w:val="auto"/>
          <w:highlight w:val="none"/>
          <w:lang w:eastAsia="zh-CN"/>
        </w:rPr>
        <w:t>，</w:t>
      </w:r>
      <w:r>
        <w:rPr>
          <w:rFonts w:hint="default" w:ascii="Times New Roman" w:hAnsi="Times New Roman" w:cs="Times New Roman"/>
          <w:color w:val="auto"/>
          <w:highlight w:val="none"/>
        </w:rPr>
        <w:t>地面高程 1100m～1130m，场址东北高，西南低，地形坡度小于 1°。局部发育宽浅冲沟，冲沟方向基本为由</w:t>
      </w:r>
      <w:r>
        <w:rPr>
          <w:rFonts w:hint="eastAsia" w:cs="Times New Roman"/>
          <w:color w:val="auto"/>
          <w:highlight w:val="none"/>
          <w:lang w:eastAsia="zh-CN"/>
        </w:rPr>
        <w:t>北</w:t>
      </w:r>
      <w:r>
        <w:rPr>
          <w:rFonts w:hint="default" w:ascii="Times New Roman" w:hAnsi="Times New Roman" w:cs="Times New Roman"/>
          <w:color w:val="auto"/>
          <w:highlight w:val="none"/>
        </w:rPr>
        <w:t>向</w:t>
      </w:r>
      <w:r>
        <w:rPr>
          <w:rFonts w:hint="eastAsia" w:cs="Times New Roman"/>
          <w:color w:val="auto"/>
          <w:highlight w:val="none"/>
          <w:lang w:eastAsia="zh-CN"/>
        </w:rPr>
        <w:t>南</w:t>
      </w:r>
      <w:r>
        <w:rPr>
          <w:rFonts w:hint="default" w:ascii="Times New Roman" w:hAnsi="Times New Roman" w:cs="Times New Roman"/>
          <w:color w:val="auto"/>
          <w:highlight w:val="none"/>
          <w:lang w:eastAsia="zh-CN"/>
        </w:rPr>
        <w:t>，建设时对冲沟进行避让，不采取其他措施</w:t>
      </w:r>
      <w:r>
        <w:rPr>
          <w:rFonts w:hint="default" w:ascii="Times New Roman" w:hAnsi="Times New Roman" w:cs="Times New Roman"/>
          <w:color w:val="auto"/>
          <w:highlight w:val="none"/>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构）筑物设计标高与自然地形相协调，采取平坡式布置形式，利用了项目区地势顺直平缓的优势再根据工艺需要合理布设建（构）筑物，仅在建（构）筑物基础区域以及地形起伏和光伏发电区细沟分布区域做地形微整。这种布置形式能够极大限度地降低土石方工程量，减少工程投资，同时保证了原地形地貌的完整性。</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2.1.3 项目组成</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本项目主要由光伏发电区、道路工程区、</w:t>
      </w:r>
      <w:r>
        <w:rPr>
          <w:rFonts w:hint="eastAsia" w:cs="Times New Roman"/>
          <w:color w:val="auto"/>
          <w:highlight w:val="none"/>
          <w:lang w:eastAsia="zh-CN"/>
        </w:rPr>
        <w:t>运行管理</w:t>
      </w:r>
      <w:r>
        <w:rPr>
          <w:rFonts w:hint="default" w:ascii="Times New Roman" w:hAnsi="Times New Roman" w:cs="Times New Roman"/>
          <w:color w:val="auto"/>
          <w:highlight w:val="none"/>
        </w:rPr>
        <w:t>区以及</w:t>
      </w:r>
      <w:r>
        <w:rPr>
          <w:rFonts w:hint="eastAsia" w:cs="Times New Roman"/>
          <w:color w:val="auto"/>
          <w:highlight w:val="none"/>
          <w:lang w:eastAsia="zh-CN"/>
        </w:rPr>
        <w:t>施工生产生活区</w:t>
      </w:r>
      <w:r>
        <w:rPr>
          <w:rFonts w:hint="default" w:ascii="Times New Roman" w:hAnsi="Times New Roman" w:cs="Times New Roman"/>
          <w:color w:val="auto"/>
          <w:highlight w:val="none"/>
        </w:rPr>
        <w:t>组成。其中主体工程包括光伏发电区、道路工程区、</w:t>
      </w:r>
      <w:r>
        <w:rPr>
          <w:rFonts w:hint="eastAsia" w:cs="Times New Roman"/>
          <w:color w:val="auto"/>
          <w:highlight w:val="none"/>
          <w:lang w:eastAsia="zh-CN"/>
        </w:rPr>
        <w:t>运行管理</w:t>
      </w:r>
      <w:r>
        <w:rPr>
          <w:rFonts w:hint="default" w:ascii="Times New Roman" w:hAnsi="Times New Roman" w:cs="Times New Roman"/>
          <w:color w:val="auto"/>
          <w:highlight w:val="none"/>
        </w:rPr>
        <w:t>区。</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表2.1-</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主体工程项目组成及主要建设内容</w:t>
      </w:r>
    </w:p>
    <w:tbl>
      <w:tblPr>
        <w:tblStyle w:val="27"/>
        <w:tblW w:w="910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34"/>
        <w:gridCol w:w="75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1534"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分区名称</w:t>
            </w:r>
          </w:p>
        </w:tc>
        <w:tc>
          <w:tcPr>
            <w:tcW w:w="7575"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项目组成（为主体工程包括内容）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1534" w:type="dxa"/>
            <w:vMerge w:val="restart"/>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光伏发电区</w:t>
            </w:r>
          </w:p>
        </w:tc>
        <w:tc>
          <w:tcPr>
            <w:tcW w:w="7575" w:type="dxa"/>
            <w:vAlign w:val="center"/>
          </w:tcPr>
          <w:p>
            <w:pPr>
              <w:pStyle w:val="84"/>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rPr>
              <w:t>光伏阵列区</w:t>
            </w:r>
            <w:r>
              <w:rPr>
                <w:rFonts w:hint="eastAsia" w:cs="Times New Roman"/>
                <w:color w:val="auto"/>
                <w:highlight w:val="none"/>
                <w:lang w:eastAsia="zh-CN"/>
              </w:rPr>
              <w:t>：</w:t>
            </w:r>
            <w:r>
              <w:rPr>
                <w:rFonts w:hint="default" w:ascii="Times New Roman" w:hAnsi="Times New Roman" w:cs="Times New Roman"/>
                <w:color w:val="auto"/>
                <w:highlight w:val="none"/>
              </w:rPr>
              <w:t>本项目</w:t>
            </w:r>
            <w:r>
              <w:rPr>
                <w:rFonts w:hint="eastAsia" w:cs="Times New Roman"/>
                <w:color w:val="auto"/>
                <w:highlight w:val="none"/>
                <w:lang w:eastAsia="zh-CN"/>
              </w:rPr>
              <w:t>实际</w:t>
            </w:r>
            <w:r>
              <w:rPr>
                <w:rFonts w:hint="default" w:ascii="Times New Roman" w:hAnsi="Times New Roman" w:cs="Times New Roman"/>
                <w:color w:val="auto"/>
                <w:highlight w:val="none"/>
              </w:rPr>
              <w:t>装机容量</w:t>
            </w:r>
            <w:r>
              <w:rPr>
                <w:rFonts w:hint="eastAsia" w:cs="Times New Roman"/>
                <w:color w:val="auto"/>
                <w:highlight w:val="none"/>
                <w:lang w:val="en-US" w:eastAsia="zh-CN"/>
              </w:rPr>
              <w:t>11.7644</w:t>
            </w:r>
            <w:r>
              <w:rPr>
                <w:rFonts w:hint="default" w:ascii="Times New Roman" w:hAnsi="Times New Roman" w:cs="Times New Roman"/>
                <w:color w:val="auto"/>
                <w:highlight w:val="none"/>
                <w:lang w:eastAsia="zh-CN"/>
              </w:rPr>
              <w:t>MWp</w:t>
            </w:r>
            <w:r>
              <w:rPr>
                <w:rFonts w:hint="default" w:ascii="Times New Roman" w:hAnsi="Times New Roman" w:cs="Times New Roman"/>
                <w:color w:val="auto"/>
                <w:highlight w:val="none"/>
              </w:rPr>
              <w:t>，每</w:t>
            </w:r>
            <w:r>
              <w:rPr>
                <w:rFonts w:hint="eastAsia" w:cs="Times New Roman"/>
                <w:color w:val="auto"/>
                <w:highlight w:val="none"/>
                <w:lang w:val="en-US" w:eastAsia="zh-CN"/>
              </w:rPr>
              <w:t>1.47055</w:t>
            </w:r>
            <w:r>
              <w:rPr>
                <w:rFonts w:hint="default" w:ascii="Times New Roman" w:hAnsi="Times New Roman" w:cs="Times New Roman"/>
                <w:color w:val="auto"/>
                <w:highlight w:val="none"/>
                <w:lang w:eastAsia="zh-CN"/>
              </w:rPr>
              <w:t>MWp</w:t>
            </w:r>
            <w:r>
              <w:rPr>
                <w:rFonts w:hint="default" w:ascii="Times New Roman" w:hAnsi="Times New Roman" w:cs="Times New Roman"/>
                <w:color w:val="auto"/>
                <w:highlight w:val="none"/>
              </w:rPr>
              <w:t>组件和</w:t>
            </w:r>
            <w:r>
              <w:rPr>
                <w:rFonts w:hint="eastAsia" w:cs="Times New Roman"/>
                <w:color w:val="auto"/>
                <w:highlight w:val="none"/>
                <w:lang w:val="en-US" w:eastAsia="zh-CN"/>
              </w:rPr>
              <w:t>1.48MVA</w:t>
            </w:r>
            <w:r>
              <w:rPr>
                <w:rFonts w:hint="default" w:ascii="Times New Roman" w:hAnsi="Times New Roman" w:cs="Times New Roman"/>
                <w:color w:val="auto"/>
                <w:highlight w:val="none"/>
              </w:rPr>
              <w:t>箱变为1个子阵，共</w:t>
            </w:r>
            <w:r>
              <w:rPr>
                <w:rFonts w:hint="eastAsia" w:cs="Times New Roman"/>
                <w:color w:val="auto"/>
                <w:highlight w:val="none"/>
                <w:lang w:val="en-US" w:eastAsia="zh-CN"/>
              </w:rPr>
              <w:t>8</w:t>
            </w:r>
            <w:r>
              <w:rPr>
                <w:rFonts w:hint="default" w:ascii="Times New Roman" w:hAnsi="Times New Roman" w:cs="Times New Roman"/>
                <w:color w:val="auto"/>
                <w:highlight w:val="none"/>
              </w:rPr>
              <w:t>个子阵；</w:t>
            </w:r>
            <w:r>
              <w:rPr>
                <w:rFonts w:hint="eastAsia" w:cs="Times New Roman"/>
                <w:color w:val="auto"/>
                <w:highlight w:val="none"/>
                <w:lang w:eastAsia="zh-CN"/>
              </w:rPr>
              <w:t>本项目共安装</w:t>
            </w:r>
            <w:r>
              <w:rPr>
                <w:rFonts w:hint="eastAsia" w:cs="Times New Roman"/>
                <w:color w:val="auto"/>
                <w:highlight w:val="none"/>
                <w:lang w:val="en-US" w:eastAsia="zh-CN"/>
              </w:rPr>
              <w:t>1.48MVA</w:t>
            </w:r>
            <w:r>
              <w:rPr>
                <w:rFonts w:hint="default" w:ascii="Times New Roman" w:hAnsi="Times New Roman" w:cs="Times New Roman"/>
                <w:color w:val="auto"/>
                <w:highlight w:val="none"/>
              </w:rPr>
              <w:t>箱变</w:t>
            </w:r>
            <w:r>
              <w:rPr>
                <w:rFonts w:hint="eastAsia" w:cs="Times New Roman"/>
                <w:color w:val="auto"/>
                <w:highlight w:val="none"/>
                <w:lang w:val="en-US" w:eastAsia="zh-CN"/>
              </w:rPr>
              <w:t>8个；安装逆变器共计630台，分别为：20</w:t>
            </w:r>
            <w:r>
              <w:rPr>
                <w:rFonts w:hint="default" w:ascii="Times New Roman" w:hAnsi="Times New Roman" w:cs="Times New Roman"/>
                <w:color w:val="auto"/>
                <w:highlight w:val="none"/>
              </w:rPr>
              <w:t>kW</w:t>
            </w:r>
            <w:r>
              <w:rPr>
                <w:rFonts w:hint="eastAsia" w:cs="Times New Roman"/>
                <w:color w:val="auto"/>
                <w:highlight w:val="none"/>
                <w:lang w:eastAsia="zh-CN"/>
              </w:rPr>
              <w:t>逆变器</w:t>
            </w:r>
            <w:r>
              <w:rPr>
                <w:rFonts w:hint="eastAsia" w:cs="Times New Roman"/>
                <w:color w:val="auto"/>
                <w:highlight w:val="none"/>
                <w:lang w:val="en-US" w:eastAsia="zh-CN"/>
              </w:rPr>
              <w:t>396台，8</w:t>
            </w:r>
            <w:r>
              <w:rPr>
                <w:rFonts w:hint="default" w:ascii="Times New Roman" w:hAnsi="Times New Roman" w:cs="Times New Roman"/>
                <w:color w:val="auto"/>
                <w:highlight w:val="none"/>
              </w:rPr>
              <w:t>kW</w:t>
            </w:r>
            <w:r>
              <w:rPr>
                <w:rFonts w:hint="eastAsia" w:cs="Times New Roman"/>
                <w:color w:val="auto"/>
                <w:highlight w:val="none"/>
                <w:lang w:eastAsia="zh-CN"/>
              </w:rPr>
              <w:t>逆变器</w:t>
            </w:r>
            <w:r>
              <w:rPr>
                <w:rFonts w:hint="eastAsia" w:cs="Times New Roman"/>
                <w:color w:val="auto"/>
                <w:highlight w:val="none"/>
                <w:lang w:val="en-US" w:eastAsia="zh-CN"/>
              </w:rPr>
              <w:t>202台，125</w:t>
            </w:r>
            <w:r>
              <w:rPr>
                <w:rFonts w:hint="default" w:ascii="Times New Roman" w:hAnsi="Times New Roman" w:cs="Times New Roman"/>
                <w:color w:val="auto"/>
                <w:highlight w:val="none"/>
              </w:rPr>
              <w:t>kW</w:t>
            </w:r>
            <w:r>
              <w:rPr>
                <w:rFonts w:hint="eastAsia" w:cs="Times New Roman"/>
                <w:color w:val="auto"/>
                <w:highlight w:val="none"/>
                <w:lang w:eastAsia="zh-CN"/>
              </w:rPr>
              <w:t>逆变器</w:t>
            </w:r>
            <w:r>
              <w:rPr>
                <w:rFonts w:hint="eastAsia" w:cs="Times New Roman"/>
                <w:color w:val="auto"/>
                <w:highlight w:val="none"/>
                <w:lang w:val="en-US" w:eastAsia="zh-CN"/>
              </w:rPr>
              <w:t>32台。本项目</w:t>
            </w:r>
            <w:r>
              <w:rPr>
                <w:rFonts w:hint="eastAsia" w:cs="Times New Roman"/>
                <w:color w:val="auto"/>
                <w:highlight w:val="none"/>
                <w:lang w:eastAsia="zh-CN"/>
              </w:rPr>
              <w:t>安装</w:t>
            </w:r>
            <w:r>
              <w:rPr>
                <w:rFonts w:hint="eastAsia" w:cs="Times New Roman"/>
                <w:color w:val="auto"/>
                <w:highlight w:val="none"/>
                <w:lang w:val="en-US" w:eastAsia="zh-CN"/>
              </w:rPr>
              <w:t>4种型号光伏组件共26820片，分别为：单晶单面2040Wp组件3168块；单晶单面75Wp组件13500块；多晶单面425Wp组件5076块；多晶单面420Wp组件5076块</w:t>
            </w:r>
            <w:r>
              <w:rPr>
                <w:rFonts w:hint="default" w:ascii="Times New Roman" w:hAnsi="Times New Roman"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1534" w:type="dxa"/>
            <w:vMerge w:val="continue"/>
            <w:vAlign w:val="center"/>
          </w:tcPr>
          <w:p>
            <w:pPr>
              <w:pStyle w:val="84"/>
              <w:rPr>
                <w:rFonts w:hint="default" w:ascii="Times New Roman" w:hAnsi="Times New Roman" w:cs="Times New Roman"/>
                <w:color w:val="auto"/>
                <w:highlight w:val="none"/>
              </w:rPr>
            </w:pPr>
          </w:p>
        </w:tc>
        <w:tc>
          <w:tcPr>
            <w:tcW w:w="7575" w:type="dxa"/>
            <w:vAlign w:val="center"/>
          </w:tcPr>
          <w:p>
            <w:pPr>
              <w:pStyle w:val="84"/>
              <w:jc w:val="left"/>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集电线路区：站内集电电缆采用电缆沟直埋方式，电缆上下均铺设筛分过后细土，过路及出入户时均设保护套管。电缆沟开挖横断面为矩形断面，电缆沟开挖总长度约4.6km，电缆沟尺寸为宽0.6m，深度1.20m，开挖机堆土作业带按6.0m计算，集电线路区占地面积2.76hm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1534"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道路工程区</w:t>
            </w:r>
          </w:p>
        </w:tc>
        <w:tc>
          <w:tcPr>
            <w:tcW w:w="7575"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包括进场道路和场内道路，项目区建成进场道路长</w:t>
            </w:r>
            <w:r>
              <w:rPr>
                <w:rFonts w:hint="eastAsia" w:cs="Times New Roman"/>
                <w:color w:val="auto"/>
                <w:highlight w:val="none"/>
                <w:lang w:val="en-US" w:eastAsia="zh-CN"/>
              </w:rPr>
              <w:t>5</w:t>
            </w:r>
            <w:r>
              <w:rPr>
                <w:rFonts w:hint="default" w:ascii="Times New Roman" w:hAnsi="Times New Roman" w:cs="Times New Roman"/>
                <w:color w:val="auto"/>
                <w:highlight w:val="none"/>
              </w:rPr>
              <w:t>0m，宽6.0m</w:t>
            </w:r>
            <w:r>
              <w:rPr>
                <w:rFonts w:hint="eastAsia" w:cs="Times New Roman"/>
                <w:color w:val="auto"/>
                <w:highlight w:val="none"/>
                <w:lang w:eastAsia="zh-CN"/>
              </w:rPr>
              <w:t>，混凝土路面</w:t>
            </w:r>
            <w:r>
              <w:rPr>
                <w:rFonts w:hint="default" w:ascii="Times New Roman" w:hAnsi="Times New Roman" w:cs="Times New Roman"/>
                <w:color w:val="auto"/>
                <w:highlight w:val="none"/>
              </w:rPr>
              <w:t>；场内道路长</w:t>
            </w:r>
            <w:r>
              <w:rPr>
                <w:rFonts w:hint="eastAsia" w:cs="Times New Roman"/>
                <w:color w:val="auto"/>
                <w:highlight w:val="none"/>
                <w:lang w:val="en-US" w:eastAsia="zh-CN"/>
              </w:rPr>
              <w:t>4800</w:t>
            </w:r>
            <w:r>
              <w:rPr>
                <w:rFonts w:hint="default" w:ascii="Times New Roman" w:hAnsi="Times New Roman" w:cs="Times New Roman"/>
                <w:color w:val="auto"/>
                <w:highlight w:val="none"/>
              </w:rPr>
              <w:t>m，宽4.0m</w:t>
            </w:r>
            <w:r>
              <w:rPr>
                <w:rFonts w:hint="eastAsia" w:cs="Times New Roman"/>
                <w:color w:val="auto"/>
                <w:highlight w:val="none"/>
                <w:lang w:eastAsia="zh-CN"/>
              </w:rPr>
              <w:t>。砂砾石路面</w:t>
            </w:r>
            <w:r>
              <w:rPr>
                <w:rFonts w:hint="default" w:ascii="Times New Roman" w:hAnsi="Times New Roman"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1534" w:type="dxa"/>
            <w:vAlign w:val="center"/>
          </w:tcPr>
          <w:p>
            <w:pPr>
              <w:pStyle w:val="84"/>
              <w:rPr>
                <w:rFonts w:hint="default" w:ascii="Times New Roman" w:hAnsi="Times New Roman" w:cs="Times New Roman"/>
                <w:color w:val="auto"/>
                <w:highlight w:val="none"/>
              </w:rPr>
            </w:pPr>
            <w:r>
              <w:rPr>
                <w:rFonts w:hint="eastAsia" w:cs="Times New Roman"/>
                <w:color w:val="auto"/>
                <w:highlight w:val="none"/>
                <w:lang w:eastAsia="zh-CN"/>
              </w:rPr>
              <w:t>运行管理</w:t>
            </w:r>
            <w:r>
              <w:rPr>
                <w:rFonts w:hint="default" w:ascii="Times New Roman" w:hAnsi="Times New Roman" w:cs="Times New Roman"/>
                <w:color w:val="auto"/>
                <w:highlight w:val="none"/>
              </w:rPr>
              <w:t>区</w:t>
            </w:r>
          </w:p>
        </w:tc>
        <w:tc>
          <w:tcPr>
            <w:tcW w:w="7575" w:type="dxa"/>
            <w:vAlign w:val="center"/>
          </w:tcPr>
          <w:p>
            <w:pPr>
              <w:pStyle w:val="84"/>
              <w:rPr>
                <w:rFonts w:hint="default" w:ascii="Times New Roman" w:hAnsi="Times New Roman" w:cs="Times New Roman"/>
                <w:color w:val="auto"/>
                <w:highlight w:val="none"/>
              </w:rPr>
            </w:pPr>
            <w:r>
              <w:rPr>
                <w:rFonts w:hint="eastAsia" w:cs="Times New Roman"/>
                <w:color w:val="auto"/>
                <w:highlight w:val="none"/>
                <w:vertAlign w:val="baseline"/>
                <w:lang w:val="en-US" w:eastAsia="zh-CN"/>
              </w:rPr>
              <w:t>生生产楼一座（</w:t>
            </w:r>
            <w:r>
              <w:rPr>
                <w:rFonts w:hint="eastAsia" w:cs="Times New Roman"/>
                <w:color w:val="auto"/>
                <w:highlight w:val="none"/>
                <w:lang w:eastAsia="zh-CN"/>
              </w:rPr>
              <w:t>建筑面积 783.81m</w:t>
            </w:r>
            <w:r>
              <w:rPr>
                <w:rFonts w:hint="eastAsia" w:cs="Times New Roman"/>
                <w:color w:val="auto"/>
                <w:highlight w:val="none"/>
                <w:vertAlign w:val="superscript"/>
                <w:lang w:eastAsia="zh-CN"/>
              </w:rPr>
              <w:t>2</w:t>
            </w:r>
            <w:r>
              <w:rPr>
                <w:rFonts w:hint="eastAsia" w:cs="Times New Roman"/>
                <w:color w:val="auto"/>
                <w:highlight w:val="none"/>
                <w:vertAlign w:val="baseline"/>
                <w:lang w:eastAsia="zh-CN"/>
              </w:rPr>
              <w:t>）、一个</w:t>
            </w:r>
            <w:r>
              <w:rPr>
                <w:rFonts w:ascii="宋体" w:hAnsi="宋体" w:eastAsia="宋体" w:cs="宋体"/>
                <w:spacing w:val="-60"/>
                <w:w w:val="100"/>
                <w:sz w:val="21"/>
                <w:szCs w:val="21"/>
              </w:rPr>
              <w:t xml:space="preserve"> </w:t>
            </w:r>
            <w:r>
              <w:rPr>
                <w:rFonts w:ascii="Times New Roman" w:hAnsi="Times New Roman" w:eastAsia="Times New Roman" w:cs="Times New Roman"/>
                <w:spacing w:val="0"/>
                <w:w w:val="100"/>
                <w:sz w:val="21"/>
                <w:szCs w:val="21"/>
              </w:rPr>
              <w:t>250kV</w:t>
            </w:r>
            <w:r>
              <w:rPr>
                <w:rFonts w:ascii="Times New Roman" w:hAnsi="Times New Roman" w:eastAsia="Times New Roman" w:cs="Times New Roman"/>
                <w:spacing w:val="1"/>
                <w:w w:val="100"/>
                <w:sz w:val="21"/>
                <w:szCs w:val="21"/>
              </w:rPr>
              <w:t>A</w:t>
            </w:r>
            <w:r>
              <w:rPr>
                <w:rFonts w:hint="eastAsia" w:cs="Times New Roman"/>
                <w:color w:val="auto"/>
                <w:highlight w:val="none"/>
                <w:vertAlign w:val="baseline"/>
                <w:lang w:eastAsia="zh-CN"/>
              </w:rPr>
              <w:t>厂用变压器、一个</w:t>
            </w:r>
            <w:r>
              <w:rPr>
                <w:rFonts w:hint="eastAsia" w:cs="Times New Roman"/>
                <w:color w:val="auto"/>
                <w:highlight w:val="none"/>
                <w:vertAlign w:val="baseline"/>
                <w:lang w:val="en-US" w:eastAsia="zh-CN"/>
              </w:rPr>
              <w:t>35kv</w:t>
            </w:r>
            <w:r>
              <w:rPr>
                <w:rFonts w:hint="eastAsia" w:cs="Times New Roman"/>
                <w:color w:val="auto"/>
                <w:highlight w:val="none"/>
                <w:vertAlign w:val="baseline"/>
                <w:lang w:eastAsia="zh-CN"/>
              </w:rPr>
              <w:t>接地变压器、一个</w:t>
            </w:r>
            <w:r>
              <w:rPr>
                <w:rFonts w:hint="eastAsia" w:cs="Times New Roman"/>
                <w:color w:val="auto"/>
                <w:highlight w:val="none"/>
                <w:vertAlign w:val="baseline"/>
                <w:lang w:val="en-US" w:eastAsia="zh-CN"/>
              </w:rPr>
              <w:t>SVC补偿装置；此外还建有水泵房、蓄水池、避雷针</w:t>
            </w:r>
            <w:r>
              <w:rPr>
                <w:rFonts w:hint="eastAsia" w:cs="Times New Roman"/>
                <w:color w:val="auto"/>
                <w:highlight w:val="none"/>
                <w:vertAlign w:val="baseline"/>
                <w:lang w:eastAsia="zh-CN"/>
              </w:rPr>
              <w:t>各一个。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1534" w:type="dxa"/>
            <w:vAlign w:val="center"/>
          </w:tcPr>
          <w:p>
            <w:pPr>
              <w:pStyle w:val="84"/>
              <w:rPr>
                <w:rFonts w:hint="eastAsia" w:cs="Times New Roman"/>
                <w:color w:val="auto"/>
                <w:highlight w:val="none"/>
                <w:lang w:eastAsia="zh-CN"/>
              </w:rPr>
            </w:pPr>
            <w:r>
              <w:rPr>
                <w:rFonts w:hint="eastAsia" w:cs="Times New Roman"/>
                <w:color w:val="auto"/>
                <w:highlight w:val="none"/>
                <w:lang w:eastAsia="zh-CN"/>
              </w:rPr>
              <w:t>施工生产生活区（临时占地）</w:t>
            </w:r>
          </w:p>
        </w:tc>
        <w:tc>
          <w:tcPr>
            <w:tcW w:w="7575" w:type="dxa"/>
            <w:vAlign w:val="center"/>
          </w:tcPr>
          <w:p>
            <w:pPr>
              <w:pStyle w:val="84"/>
              <w:rPr>
                <w:rFonts w:hint="eastAsia" w:cs="Times New Roman"/>
                <w:color w:val="auto"/>
                <w:highlight w:val="none"/>
                <w:vertAlign w:val="baseline"/>
                <w:lang w:val="en-US" w:eastAsia="zh-CN"/>
              </w:rPr>
            </w:pPr>
            <w:r>
              <w:rPr>
                <w:rFonts w:hint="eastAsia" w:cs="Times New Roman"/>
                <w:color w:val="auto"/>
                <w:highlight w:val="none"/>
                <w:lang w:val="en-US" w:eastAsia="zh-CN"/>
              </w:rPr>
              <w:t>总占地 4600m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，建筑面积 2550m</w:t>
            </w:r>
            <w:r>
              <w:rPr>
                <w:rFonts w:hint="eastAsia" w:cs="Times New Roman"/>
                <w:color w:val="auto"/>
                <w:highlight w:val="none"/>
                <w:vertAlign w:val="superscript"/>
                <w:lang w:val="en-US" w:eastAsia="zh-CN"/>
              </w:rPr>
              <w:t>2</w:t>
            </w:r>
            <w:r>
              <w:rPr>
                <w:rFonts w:hint="eastAsia" w:cs="Times New Roman"/>
                <w:color w:val="auto"/>
                <w:highlight w:val="none"/>
                <w:vertAlign w:val="baseline"/>
                <w:lang w:val="en-US" w:eastAsia="zh-CN"/>
              </w:rPr>
              <w:t>，所有建筑物均为一层临时集装箱房。施工生产生活区内南侧布置生活区，北侧布置生产区，</w:t>
            </w:r>
            <w:r>
              <w:rPr>
                <w:rFonts w:hint="eastAsia" w:cs="Times New Roman"/>
                <w:color w:val="auto"/>
                <w:highlight w:val="none"/>
                <w:lang w:val="en-US" w:eastAsia="zh-CN"/>
              </w:rPr>
              <w:t>生活区靠近仓库，远离混凝土搅拌站。</w:t>
            </w:r>
          </w:p>
        </w:tc>
      </w:tr>
    </w:tbl>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2.1.3.1 光伏发电区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光伏发电区主要由光伏阵列区和集电线路区组成，占地面积共计</w:t>
      </w:r>
      <w:r>
        <w:rPr>
          <w:rFonts w:hint="eastAsia" w:cs="Times New Roman"/>
          <w:color w:val="auto"/>
          <w:highlight w:val="none"/>
          <w:lang w:val="en-US" w:eastAsia="zh-CN"/>
        </w:rPr>
        <w:t>46.22</w:t>
      </w:r>
      <w:r>
        <w:rPr>
          <w:rFonts w:hint="default" w:ascii="Times New Roman" w:hAnsi="Times New Roman" w:cs="Times New Roman"/>
          <w:color w:val="auto"/>
          <w:highlight w:val="none"/>
        </w:rPr>
        <w:t>hm²，占地性质永久占地，占地类型</w:t>
      </w:r>
      <w:r>
        <w:rPr>
          <w:rFonts w:hint="eastAsia" w:cs="Times New Roman"/>
          <w:color w:val="auto"/>
          <w:highlight w:val="none"/>
          <w:lang w:eastAsia="zh-CN"/>
        </w:rPr>
        <w:t>公共设施用地</w:t>
      </w:r>
      <w:r>
        <w:rPr>
          <w:rFonts w:hint="default" w:ascii="Times New Roman" w:hAnsi="Times New Roman" w:cs="Times New Roman"/>
          <w:color w:val="auto"/>
          <w:highlight w:val="none"/>
        </w:rPr>
        <w:t>。其中光伏阵列区占地面积</w:t>
      </w:r>
      <w:r>
        <w:rPr>
          <w:rFonts w:hint="eastAsia" w:cs="Times New Roman" w:eastAsiaTheme="minorEastAsia"/>
          <w:color w:val="auto"/>
          <w:highlight w:val="none"/>
          <w:lang w:val="en-US" w:eastAsia="zh-CN"/>
        </w:rPr>
        <w:t>43.46</w:t>
      </w:r>
      <w:r>
        <w:rPr>
          <w:rFonts w:hint="default" w:ascii="Times New Roman" w:hAnsi="Times New Roman" w:eastAsia="Times New Roman" w:cs="Times New Roman"/>
          <w:color w:val="auto"/>
          <w:highlight w:val="none"/>
        </w:rPr>
        <w:t>hm²</w:t>
      </w:r>
      <w:r>
        <w:rPr>
          <w:rFonts w:hint="default" w:ascii="Times New Roman" w:hAnsi="Times New Roman" w:cs="Times New Roman"/>
          <w:color w:val="auto"/>
          <w:highlight w:val="none"/>
        </w:rPr>
        <w:t>，集电线路区占地面积</w:t>
      </w:r>
      <w:r>
        <w:rPr>
          <w:rFonts w:hint="eastAsia" w:cs="Times New Roman" w:eastAsiaTheme="minorEastAsia"/>
          <w:color w:val="auto"/>
          <w:highlight w:val="none"/>
          <w:lang w:val="en-US" w:eastAsia="zh-CN"/>
        </w:rPr>
        <w:t>2.76</w:t>
      </w:r>
      <w:r>
        <w:rPr>
          <w:rFonts w:hint="default" w:ascii="Times New Roman" w:hAnsi="Times New Roman" w:eastAsia="Times New Roman" w:cs="Times New Roman"/>
          <w:color w:val="auto"/>
          <w:highlight w:val="none"/>
        </w:rPr>
        <w:t>hm²</w:t>
      </w:r>
      <w:r>
        <w:rPr>
          <w:rFonts w:hint="default" w:ascii="Times New Roman" w:hAnsi="Times New Roman" w:cs="Times New Roman"/>
          <w:color w:val="auto"/>
          <w:highlight w:val="none"/>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（1）光伏阵列区</w:t>
      </w:r>
    </w:p>
    <w:p>
      <w:pPr>
        <w:pStyle w:val="56"/>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光伏阵列区主要由光伏板和支架以及箱变和</w:t>
      </w:r>
      <w:r>
        <w:rPr>
          <w:rFonts w:hint="eastAsia" w:cs="Times New Roman"/>
          <w:color w:val="auto"/>
          <w:highlight w:val="none"/>
          <w:lang w:eastAsia="zh-CN"/>
        </w:rPr>
        <w:t>汇控</w:t>
      </w:r>
      <w:r>
        <w:rPr>
          <w:rFonts w:hint="default" w:ascii="Times New Roman" w:hAnsi="Times New Roman" w:cs="Times New Roman"/>
          <w:color w:val="auto"/>
          <w:highlight w:val="none"/>
        </w:rPr>
        <w:t>室组成，占地面积</w:t>
      </w:r>
      <w:r>
        <w:rPr>
          <w:rFonts w:hint="eastAsia" w:cs="Times New Roman"/>
          <w:color w:val="auto"/>
          <w:highlight w:val="none"/>
          <w:lang w:val="en-US" w:eastAsia="zh-CN"/>
        </w:rPr>
        <w:t>43.46</w:t>
      </w:r>
      <w:r>
        <w:rPr>
          <w:rFonts w:hint="default" w:ascii="Times New Roman" w:hAnsi="Times New Roman" w:cs="Times New Roman"/>
          <w:color w:val="auto"/>
          <w:highlight w:val="none"/>
        </w:rPr>
        <w:t>hm²。</w:t>
      </w:r>
      <w:r>
        <w:rPr>
          <w:rFonts w:hint="default" w:ascii="Times New Roman" w:hAnsi="Times New Roman" w:cs="Times New Roman"/>
          <w:color w:val="auto"/>
          <w:highlight w:val="none"/>
          <w:lang w:eastAsia="zh-CN"/>
        </w:rPr>
        <w:t>工程建设期间</w:t>
      </w:r>
      <w:r>
        <w:rPr>
          <w:rFonts w:hint="default" w:ascii="Times New Roman" w:hAnsi="Times New Roman" w:cs="Times New Roman"/>
          <w:color w:val="auto"/>
          <w:highlight w:val="none"/>
        </w:rPr>
        <w:t>开挖的土石方临时堆存于基坑周边，</w:t>
      </w:r>
      <w:r>
        <w:rPr>
          <w:rFonts w:hint="default" w:ascii="Times New Roman" w:hAnsi="Times New Roman" w:cs="Times New Roman"/>
          <w:color w:val="auto"/>
          <w:highlight w:val="none"/>
          <w:lang w:eastAsia="zh-CN"/>
        </w:rPr>
        <w:t>不进行集中堆放，</w:t>
      </w:r>
      <w:r>
        <w:rPr>
          <w:rFonts w:hint="default" w:ascii="Times New Roman" w:hAnsi="Times New Roman" w:cs="Times New Roman"/>
          <w:color w:val="auto"/>
          <w:highlight w:val="none"/>
        </w:rPr>
        <w:t>基础施工完成后，用于基础回填和基础周边施工场地的土地平整</w:t>
      </w:r>
      <w:r>
        <w:rPr>
          <w:rFonts w:hint="default" w:ascii="Times New Roman" w:hAnsi="Times New Roman" w:cs="Times New Roman"/>
          <w:color w:val="auto"/>
          <w:highlight w:val="none"/>
          <w:lang w:eastAsia="zh-CN"/>
        </w:rPr>
        <w:t>。搭建光伏板所需材料等均临时堆放于作业带及基坑周边，不进行集中堆放，有利于施工。</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1）光伏板及支架</w:t>
      </w:r>
    </w:p>
    <w:p>
      <w:pPr>
        <w:pStyle w:val="56"/>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①</w:t>
      </w:r>
      <w:r>
        <w:rPr>
          <w:rFonts w:hint="default" w:ascii="Times New Roman" w:hAnsi="Times New Roman" w:cs="Times New Roman"/>
          <w:color w:val="auto"/>
          <w:highlight w:val="none"/>
        </w:rPr>
        <w:t>光伏板</w:t>
      </w:r>
    </w:p>
    <w:p>
      <w:pPr>
        <w:pStyle w:val="56"/>
        <w:ind w:firstLine="480"/>
        <w:rPr>
          <w:rFonts w:hint="default" w:cs="Times New Roman"/>
          <w:color w:val="auto"/>
          <w:highlight w:val="none"/>
          <w:lang w:val="en-US" w:eastAsia="zh-CN"/>
        </w:rPr>
      </w:pPr>
      <w:r>
        <w:rPr>
          <w:rFonts w:hint="eastAsia" w:cs="Times New Roman"/>
          <w:color w:val="auto"/>
          <w:highlight w:val="none"/>
          <w:lang w:eastAsia="zh-CN"/>
        </w:rPr>
        <w:t>本</w:t>
      </w:r>
      <w:r>
        <w:rPr>
          <w:rFonts w:hint="default" w:ascii="Times New Roman" w:hAnsi="Times New Roman" w:cs="Times New Roman"/>
          <w:color w:val="auto"/>
          <w:highlight w:val="none"/>
        </w:rPr>
        <w:t>项目固定式阵列布置方式以</w:t>
      </w:r>
      <w:r>
        <w:rPr>
          <w:rFonts w:hint="eastAsia" w:cs="Times New Roman"/>
          <w:color w:val="auto"/>
          <w:highlight w:val="none"/>
          <w:lang w:val="en-US" w:eastAsia="zh-CN"/>
        </w:rPr>
        <w:t>1.47055</w:t>
      </w:r>
      <w:r>
        <w:rPr>
          <w:rFonts w:hint="default" w:ascii="Times New Roman" w:hAnsi="Times New Roman" w:cs="Times New Roman"/>
          <w:color w:val="auto"/>
          <w:highlight w:val="none"/>
          <w:lang w:eastAsia="zh-CN"/>
        </w:rPr>
        <w:t>MWp</w:t>
      </w:r>
      <w:r>
        <w:rPr>
          <w:rFonts w:hint="default" w:ascii="Times New Roman" w:hAnsi="Times New Roman" w:cs="Times New Roman"/>
          <w:color w:val="auto"/>
          <w:highlight w:val="none"/>
        </w:rPr>
        <w:t>级别为一个基本发电单元，</w:t>
      </w:r>
      <w:r>
        <w:rPr>
          <w:rFonts w:hint="eastAsia" w:cs="Times New Roman"/>
          <w:color w:val="auto"/>
          <w:highlight w:val="none"/>
          <w:lang w:eastAsia="zh-CN"/>
        </w:rPr>
        <w:t>构成一个发电子阵，共有</w:t>
      </w:r>
      <w:r>
        <w:rPr>
          <w:rFonts w:hint="eastAsia" w:cs="Times New Roman"/>
          <w:color w:val="auto"/>
          <w:highlight w:val="none"/>
          <w:lang w:val="en-US" w:eastAsia="zh-CN"/>
        </w:rPr>
        <w:t>8个子阵。</w:t>
      </w:r>
      <w:r>
        <w:rPr>
          <w:rFonts w:hint="eastAsia" w:cs="Times New Roman"/>
          <w:color w:val="auto"/>
          <w:highlight w:val="none"/>
          <w:lang w:eastAsia="zh-CN"/>
        </w:rPr>
        <w:t>项目区安装的</w:t>
      </w:r>
      <w:r>
        <w:rPr>
          <w:rFonts w:hint="default" w:ascii="Times New Roman" w:hAnsi="Times New Roman" w:cs="Times New Roman"/>
          <w:color w:val="auto"/>
          <w:highlight w:val="none"/>
        </w:rPr>
        <w:t>太阳能光伏组件</w:t>
      </w:r>
      <w:r>
        <w:rPr>
          <w:rFonts w:hint="eastAsia" w:cs="Times New Roman"/>
          <w:color w:val="auto"/>
          <w:highlight w:val="none"/>
          <w:lang w:eastAsia="zh-CN"/>
        </w:rPr>
        <w:t>有</w:t>
      </w:r>
      <w:r>
        <w:rPr>
          <w:rFonts w:hint="eastAsia" w:cs="Times New Roman"/>
          <w:color w:val="auto"/>
          <w:highlight w:val="none"/>
          <w:lang w:val="en-US" w:eastAsia="zh-CN"/>
        </w:rPr>
        <w:t>4种型号，共计26820片，分别为：单晶单面2040Wp组件3168块；单晶单面75Wp组件13500块；多晶单面425Wp组件5076块；多晶单面420Wp组件5076块，均为固定倾角式组件支架安装（倾斜角40°，方位角0°）。每一个发电子阵接入396块单晶单面2040Wp组件，接入1620或1710块单晶单面75Wp组件，接入630或648块多晶单面425Wp组件和630或648块多晶单面420Wp组件。</w:t>
      </w:r>
    </w:p>
    <w:p>
      <w:pPr>
        <w:pStyle w:val="56"/>
        <w:ind w:firstLine="480"/>
        <w:rPr>
          <w:rFonts w:hint="eastAsia" w:cs="Times New Roman"/>
          <w:color w:val="auto"/>
          <w:highlight w:val="none"/>
          <w:lang w:val="en-US" w:eastAsia="zh-CN"/>
        </w:rPr>
      </w:pPr>
      <w:r>
        <w:rPr>
          <w:rFonts w:hint="eastAsia" w:cs="Times New Roman"/>
          <w:color w:val="auto"/>
          <w:highlight w:val="none"/>
          <w:lang w:val="en-US" w:eastAsia="zh-CN"/>
        </w:rPr>
        <w:t>组件安装形式：</w:t>
      </w:r>
    </w:p>
    <w:p>
      <w:pPr>
        <w:pStyle w:val="56"/>
        <w:ind w:firstLine="480"/>
        <w:rPr>
          <w:rFonts w:hint="eastAsia" w:cs="Times New Roman"/>
          <w:color w:val="auto"/>
          <w:highlight w:val="none"/>
          <w:lang w:val="en-US" w:eastAsia="zh-CN"/>
        </w:rPr>
      </w:pPr>
      <w:r>
        <w:rPr>
          <w:rFonts w:hint="eastAsia" w:cs="Times New Roman"/>
          <w:color w:val="auto"/>
          <w:highlight w:val="none"/>
          <w:lang w:val="en-US" w:eastAsia="zh-CN"/>
        </w:rPr>
        <w:t>（1）单晶单面2040Wp组件共3168块，安装形式如下：</w:t>
      </w:r>
    </w:p>
    <w:p>
      <w:pPr>
        <w:pStyle w:val="56"/>
        <w:ind w:firstLine="480"/>
        <w:rPr>
          <w:rFonts w:hint="default" w:ascii="Times New Roman" w:hAnsi="Times New Roman" w:cs="Times New Roman"/>
          <w:color w:val="auto"/>
          <w:highlight w:val="none"/>
        </w:rPr>
      </w:pPr>
      <w:r>
        <w:rPr>
          <w:rFonts w:hint="eastAsia" w:cs="Times New Roman"/>
          <w:color w:val="auto"/>
          <w:highlight w:val="none"/>
          <w:lang w:eastAsia="zh-CN"/>
        </w:rPr>
        <w:t>光伏组件采用横</w:t>
      </w:r>
      <w:r>
        <w:rPr>
          <w:rFonts w:hint="eastAsia" w:cs="Times New Roman"/>
          <w:color w:val="auto"/>
          <w:highlight w:val="none"/>
          <w:lang w:val="en-US" w:eastAsia="zh-CN"/>
        </w:rPr>
        <w:t>2行，纵4列的形式安装布置。每4块2040Wp组件串联为1个光伏组串，每2串安装在一个光伏支架上，并串入一台20</w:t>
      </w:r>
      <w:r>
        <w:rPr>
          <w:rFonts w:hint="default" w:ascii="Times New Roman" w:hAnsi="Times New Roman" w:cs="Times New Roman"/>
          <w:color w:val="auto"/>
          <w:highlight w:val="none"/>
        </w:rPr>
        <w:t>kW逆变器</w:t>
      </w:r>
      <w:r>
        <w:rPr>
          <w:rFonts w:hint="eastAsia" w:cs="Times New Roman"/>
          <w:color w:val="auto"/>
          <w:highlight w:val="none"/>
          <w:lang w:eastAsia="zh-CN"/>
        </w:rPr>
        <w:t>，每</w:t>
      </w:r>
      <w:r>
        <w:rPr>
          <w:rFonts w:hint="eastAsia" w:cs="Times New Roman"/>
          <w:color w:val="auto"/>
          <w:highlight w:val="none"/>
          <w:lang w:val="en-US" w:eastAsia="zh-CN"/>
        </w:rPr>
        <w:t>49或50台20</w:t>
      </w:r>
      <w:r>
        <w:rPr>
          <w:rFonts w:hint="default" w:ascii="Times New Roman" w:hAnsi="Times New Roman" w:cs="Times New Roman"/>
          <w:color w:val="auto"/>
          <w:highlight w:val="none"/>
        </w:rPr>
        <w:t>kW</w:t>
      </w:r>
      <w:r>
        <w:rPr>
          <w:rFonts w:hint="eastAsia" w:cs="Times New Roman"/>
          <w:color w:val="auto"/>
          <w:highlight w:val="none"/>
          <w:lang w:val="en-US" w:eastAsia="zh-CN"/>
        </w:rPr>
        <w:t>逆变器接入1台1.48MVA</w:t>
      </w:r>
      <w:r>
        <w:rPr>
          <w:rFonts w:hint="default" w:ascii="Times New Roman" w:hAnsi="Times New Roman" w:cs="Times New Roman"/>
          <w:color w:val="auto"/>
          <w:highlight w:val="none"/>
        </w:rPr>
        <w:t>箱变，将逆变器输出的低压交流电升压至35kV。</w:t>
      </w:r>
    </w:p>
    <w:p>
      <w:pPr>
        <w:pStyle w:val="56"/>
        <w:ind w:firstLine="480"/>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(2)单晶单面75Wp组件共13500块，安装形式如下：</w:t>
      </w:r>
    </w:p>
    <w:p>
      <w:pPr>
        <w:pStyle w:val="56"/>
        <w:ind w:firstLine="480"/>
        <w:rPr>
          <w:rFonts w:hint="default" w:ascii="Times New Roman" w:hAnsi="Times New Roman" w:cs="Times New Roman"/>
          <w:color w:val="auto"/>
          <w:highlight w:val="none"/>
        </w:rPr>
      </w:pPr>
      <w:r>
        <w:rPr>
          <w:rFonts w:hint="eastAsia" w:cs="Times New Roman"/>
          <w:color w:val="auto"/>
          <w:highlight w:val="none"/>
          <w:lang w:eastAsia="zh-CN"/>
        </w:rPr>
        <w:t>光伏组件采用采用横</w:t>
      </w:r>
      <w:r>
        <w:rPr>
          <w:rFonts w:hint="eastAsia" w:cs="Times New Roman"/>
          <w:color w:val="auto"/>
          <w:highlight w:val="none"/>
          <w:lang w:val="en-US" w:eastAsia="zh-CN"/>
        </w:rPr>
        <w:t>5行，纵18列的形式安装布置。</w:t>
      </w:r>
      <w:r>
        <w:rPr>
          <w:rFonts w:hint="eastAsia" w:cs="Times New Roman"/>
          <w:color w:val="auto"/>
          <w:highlight w:val="none"/>
          <w:lang w:eastAsia="zh-CN"/>
        </w:rPr>
        <w:t>每</w:t>
      </w:r>
      <w:r>
        <w:rPr>
          <w:rFonts w:hint="eastAsia" w:cs="Times New Roman"/>
          <w:color w:val="auto"/>
          <w:highlight w:val="none"/>
          <w:lang w:val="en-US" w:eastAsia="zh-CN"/>
        </w:rPr>
        <w:t>18块75Wp组件为1个光伏组串，每5串安装在一个光伏支架上，并串入一台8</w:t>
      </w:r>
      <w:r>
        <w:rPr>
          <w:rFonts w:hint="default" w:ascii="Times New Roman" w:hAnsi="Times New Roman" w:cs="Times New Roman"/>
          <w:color w:val="auto"/>
          <w:highlight w:val="none"/>
        </w:rPr>
        <w:t>kW逆变器</w:t>
      </w:r>
      <w:r>
        <w:rPr>
          <w:rFonts w:hint="eastAsia" w:cs="Times New Roman"/>
          <w:color w:val="auto"/>
          <w:highlight w:val="none"/>
          <w:lang w:eastAsia="zh-CN"/>
        </w:rPr>
        <w:t>，每</w:t>
      </w:r>
      <w:r>
        <w:rPr>
          <w:rFonts w:hint="eastAsia" w:cs="Times New Roman"/>
          <w:color w:val="auto"/>
          <w:highlight w:val="none"/>
          <w:lang w:val="en-US" w:eastAsia="zh-CN"/>
        </w:rPr>
        <w:t>18~19台8</w:t>
      </w:r>
      <w:r>
        <w:rPr>
          <w:rFonts w:hint="default" w:ascii="Times New Roman" w:hAnsi="Times New Roman" w:cs="Times New Roman"/>
          <w:color w:val="auto"/>
          <w:highlight w:val="none"/>
        </w:rPr>
        <w:t>kW</w:t>
      </w:r>
      <w:r>
        <w:rPr>
          <w:rFonts w:hint="eastAsia" w:cs="Times New Roman"/>
          <w:color w:val="auto"/>
          <w:highlight w:val="none"/>
          <w:lang w:val="en-US" w:eastAsia="zh-CN"/>
        </w:rPr>
        <w:t>逆变器接入1台1.48MVA</w:t>
      </w:r>
      <w:r>
        <w:rPr>
          <w:rFonts w:hint="default" w:ascii="Times New Roman" w:hAnsi="Times New Roman" w:cs="Times New Roman"/>
          <w:color w:val="auto"/>
          <w:highlight w:val="none"/>
        </w:rPr>
        <w:t>箱变，将逆变器输出的低压交流电升压至35kV。</w:t>
      </w:r>
    </w:p>
    <w:p>
      <w:pPr>
        <w:pStyle w:val="56"/>
        <w:ind w:firstLine="480"/>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3）多晶单面425Wp组件共5076块，安装形式如下：</w:t>
      </w:r>
    </w:p>
    <w:p>
      <w:pPr>
        <w:pStyle w:val="56"/>
        <w:ind w:firstLine="480"/>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eastAsia="zh-CN"/>
        </w:rPr>
        <w:t>光伏组件采用采用横</w:t>
      </w:r>
      <w:r>
        <w:rPr>
          <w:rFonts w:hint="eastAsia" w:cs="Times New Roman"/>
          <w:color w:val="auto"/>
          <w:highlight w:val="none"/>
          <w:lang w:val="en-US" w:eastAsia="zh-CN"/>
        </w:rPr>
        <w:t>2行，纵18列的形式安装布置。</w:t>
      </w:r>
      <w:r>
        <w:rPr>
          <w:rFonts w:hint="eastAsia" w:cs="Times New Roman"/>
          <w:color w:val="auto"/>
          <w:highlight w:val="none"/>
          <w:lang w:eastAsia="zh-CN"/>
        </w:rPr>
        <w:t>每</w:t>
      </w:r>
      <w:r>
        <w:rPr>
          <w:rFonts w:hint="eastAsia" w:cs="Times New Roman"/>
          <w:color w:val="auto"/>
          <w:highlight w:val="none"/>
          <w:lang w:val="en-US" w:eastAsia="zh-CN"/>
        </w:rPr>
        <w:t>18块425Wp组件为1个光伏组串，每2串安装在一个光伏支架上，每16路组串接入一台125</w:t>
      </w:r>
      <w:r>
        <w:rPr>
          <w:rFonts w:hint="default" w:ascii="Times New Roman" w:hAnsi="Times New Roman" w:cs="Times New Roman"/>
          <w:color w:val="auto"/>
          <w:highlight w:val="none"/>
        </w:rPr>
        <w:t>kW逆变器</w:t>
      </w:r>
      <w:r>
        <w:rPr>
          <w:rFonts w:hint="eastAsia" w:cs="Times New Roman"/>
          <w:color w:val="auto"/>
          <w:highlight w:val="none"/>
          <w:lang w:eastAsia="zh-CN"/>
        </w:rPr>
        <w:t>，共接入</w:t>
      </w:r>
      <w:r>
        <w:rPr>
          <w:rFonts w:hint="eastAsia" w:cs="Times New Roman"/>
          <w:color w:val="auto"/>
          <w:highlight w:val="none"/>
          <w:lang w:val="en-US" w:eastAsia="zh-CN"/>
        </w:rPr>
        <w:t>16台125</w:t>
      </w:r>
      <w:r>
        <w:rPr>
          <w:rFonts w:hint="default" w:ascii="Times New Roman" w:hAnsi="Times New Roman" w:cs="Times New Roman"/>
          <w:color w:val="auto"/>
          <w:highlight w:val="none"/>
        </w:rPr>
        <w:t>kW逆变器</w:t>
      </w:r>
      <w:r>
        <w:rPr>
          <w:rFonts w:hint="eastAsia" w:cs="Times New Roman"/>
          <w:color w:val="auto"/>
          <w:highlight w:val="none"/>
          <w:lang w:eastAsia="zh-CN"/>
        </w:rPr>
        <w:t>；剩余的</w:t>
      </w:r>
      <w:r>
        <w:rPr>
          <w:rFonts w:hint="eastAsia" w:cs="Times New Roman"/>
          <w:color w:val="auto"/>
          <w:highlight w:val="none"/>
          <w:lang w:val="en-US" w:eastAsia="zh-CN"/>
        </w:rPr>
        <w:t>26串425Wp组件，每串组串接入一台8</w:t>
      </w:r>
      <w:r>
        <w:rPr>
          <w:rFonts w:hint="default" w:ascii="Times New Roman" w:hAnsi="Times New Roman" w:cs="Times New Roman"/>
          <w:color w:val="auto"/>
          <w:highlight w:val="none"/>
        </w:rPr>
        <w:t>kW逆变器</w:t>
      </w:r>
      <w:r>
        <w:rPr>
          <w:rFonts w:hint="eastAsia" w:cs="Times New Roman"/>
          <w:color w:val="auto"/>
          <w:highlight w:val="none"/>
          <w:lang w:eastAsia="zh-CN"/>
        </w:rPr>
        <w:t>，共串入</w:t>
      </w:r>
      <w:r>
        <w:rPr>
          <w:rFonts w:hint="eastAsia" w:cs="Times New Roman"/>
          <w:color w:val="auto"/>
          <w:highlight w:val="none"/>
          <w:lang w:val="en-US" w:eastAsia="zh-CN"/>
        </w:rPr>
        <w:t>26台8</w:t>
      </w:r>
      <w:r>
        <w:rPr>
          <w:rFonts w:hint="default" w:ascii="Times New Roman" w:hAnsi="Times New Roman" w:cs="Times New Roman"/>
          <w:color w:val="auto"/>
          <w:highlight w:val="none"/>
        </w:rPr>
        <w:t>kW逆变器</w:t>
      </w:r>
      <w:r>
        <w:rPr>
          <w:rFonts w:hint="eastAsia" w:cs="Times New Roman"/>
          <w:color w:val="auto"/>
          <w:highlight w:val="none"/>
          <w:lang w:eastAsia="zh-CN"/>
        </w:rPr>
        <w:t>。每</w:t>
      </w:r>
      <w:r>
        <w:rPr>
          <w:rFonts w:hint="eastAsia" w:cs="Times New Roman"/>
          <w:color w:val="auto"/>
          <w:highlight w:val="none"/>
          <w:lang w:val="en-US" w:eastAsia="zh-CN"/>
        </w:rPr>
        <w:t>2台125</w:t>
      </w:r>
      <w:r>
        <w:rPr>
          <w:rFonts w:hint="default" w:ascii="Times New Roman" w:hAnsi="Times New Roman" w:cs="Times New Roman"/>
          <w:color w:val="auto"/>
          <w:highlight w:val="none"/>
        </w:rPr>
        <w:t>kW逆变器</w:t>
      </w:r>
      <w:r>
        <w:rPr>
          <w:rFonts w:hint="eastAsia" w:cs="Times New Roman"/>
          <w:color w:val="auto"/>
          <w:highlight w:val="none"/>
          <w:lang w:eastAsia="zh-CN"/>
        </w:rPr>
        <w:t>和每</w:t>
      </w:r>
      <w:r>
        <w:rPr>
          <w:rFonts w:hint="eastAsia" w:cs="Times New Roman"/>
          <w:color w:val="auto"/>
          <w:highlight w:val="none"/>
          <w:lang w:val="en-US" w:eastAsia="zh-CN"/>
        </w:rPr>
        <w:t>3~4台8</w:t>
      </w:r>
      <w:r>
        <w:rPr>
          <w:rFonts w:hint="default" w:ascii="Times New Roman" w:hAnsi="Times New Roman" w:cs="Times New Roman"/>
          <w:color w:val="auto"/>
          <w:highlight w:val="none"/>
        </w:rPr>
        <w:t>kW逆变器</w:t>
      </w:r>
      <w:r>
        <w:rPr>
          <w:rFonts w:hint="eastAsia" w:cs="Times New Roman"/>
          <w:color w:val="auto"/>
          <w:highlight w:val="none"/>
          <w:lang w:eastAsia="zh-CN"/>
        </w:rPr>
        <w:t>接入</w:t>
      </w:r>
      <w:r>
        <w:rPr>
          <w:rFonts w:hint="eastAsia" w:cs="Times New Roman"/>
          <w:color w:val="auto"/>
          <w:highlight w:val="none"/>
          <w:lang w:val="en-US" w:eastAsia="zh-CN"/>
        </w:rPr>
        <w:t>1台1.48MVA</w:t>
      </w:r>
      <w:r>
        <w:rPr>
          <w:rFonts w:hint="default" w:ascii="Times New Roman" w:hAnsi="Times New Roman" w:cs="Times New Roman"/>
          <w:color w:val="auto"/>
          <w:highlight w:val="none"/>
        </w:rPr>
        <w:t>箱变，将逆变器输出的低压交流电升压至35kV。</w:t>
      </w:r>
    </w:p>
    <w:p>
      <w:pPr>
        <w:pStyle w:val="56"/>
        <w:ind w:firstLine="480"/>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4）多晶单面420Wp组件共5076块，安装形式如下：</w:t>
      </w:r>
    </w:p>
    <w:p>
      <w:pPr>
        <w:pStyle w:val="56"/>
        <w:ind w:firstLine="480"/>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eastAsia="zh-CN"/>
        </w:rPr>
        <w:t>光伏组件采用采用横</w:t>
      </w:r>
      <w:r>
        <w:rPr>
          <w:rFonts w:hint="eastAsia" w:cs="Times New Roman"/>
          <w:color w:val="auto"/>
          <w:highlight w:val="none"/>
          <w:lang w:val="en-US" w:eastAsia="zh-CN"/>
        </w:rPr>
        <w:t>2行，纵18列的形式安装布置。</w:t>
      </w:r>
      <w:r>
        <w:rPr>
          <w:rFonts w:hint="eastAsia" w:cs="Times New Roman"/>
          <w:color w:val="auto"/>
          <w:highlight w:val="none"/>
          <w:lang w:eastAsia="zh-CN"/>
        </w:rPr>
        <w:t>每</w:t>
      </w:r>
      <w:r>
        <w:rPr>
          <w:rFonts w:hint="eastAsia" w:cs="Times New Roman"/>
          <w:color w:val="auto"/>
          <w:highlight w:val="none"/>
          <w:lang w:val="en-US" w:eastAsia="zh-CN"/>
        </w:rPr>
        <w:t>18块420Wp组件为1个光伏组串，每2串安装在一个光伏支架上，每16路组串接入一台125</w:t>
      </w:r>
      <w:r>
        <w:rPr>
          <w:rFonts w:hint="default" w:ascii="Times New Roman" w:hAnsi="Times New Roman" w:cs="Times New Roman"/>
          <w:color w:val="auto"/>
          <w:highlight w:val="none"/>
        </w:rPr>
        <w:t>kW逆变器</w:t>
      </w:r>
      <w:r>
        <w:rPr>
          <w:rFonts w:hint="eastAsia" w:cs="Times New Roman"/>
          <w:color w:val="auto"/>
          <w:highlight w:val="none"/>
          <w:lang w:eastAsia="zh-CN"/>
        </w:rPr>
        <w:t>，共接入</w:t>
      </w:r>
      <w:r>
        <w:rPr>
          <w:rFonts w:hint="eastAsia" w:cs="Times New Roman"/>
          <w:color w:val="auto"/>
          <w:highlight w:val="none"/>
          <w:lang w:val="en-US" w:eastAsia="zh-CN"/>
        </w:rPr>
        <w:t>16台125</w:t>
      </w:r>
      <w:r>
        <w:rPr>
          <w:rFonts w:hint="default" w:ascii="Times New Roman" w:hAnsi="Times New Roman" w:cs="Times New Roman"/>
          <w:color w:val="auto"/>
          <w:highlight w:val="none"/>
        </w:rPr>
        <w:t>kW逆变器</w:t>
      </w:r>
      <w:r>
        <w:rPr>
          <w:rFonts w:hint="eastAsia" w:cs="Times New Roman"/>
          <w:color w:val="auto"/>
          <w:highlight w:val="none"/>
          <w:lang w:eastAsia="zh-CN"/>
        </w:rPr>
        <w:t>；剩余的</w:t>
      </w:r>
      <w:r>
        <w:rPr>
          <w:rFonts w:hint="eastAsia" w:cs="Times New Roman"/>
          <w:color w:val="auto"/>
          <w:highlight w:val="none"/>
          <w:lang w:val="en-US" w:eastAsia="zh-CN"/>
        </w:rPr>
        <w:t>26串420Wp组件，每串组串接入一台8</w:t>
      </w:r>
      <w:r>
        <w:rPr>
          <w:rFonts w:hint="default" w:ascii="Times New Roman" w:hAnsi="Times New Roman" w:cs="Times New Roman"/>
          <w:color w:val="auto"/>
          <w:highlight w:val="none"/>
        </w:rPr>
        <w:t>kW逆变器</w:t>
      </w:r>
      <w:r>
        <w:rPr>
          <w:rFonts w:hint="eastAsia" w:cs="Times New Roman"/>
          <w:color w:val="auto"/>
          <w:highlight w:val="none"/>
          <w:lang w:eastAsia="zh-CN"/>
        </w:rPr>
        <w:t>，共串入</w:t>
      </w:r>
      <w:r>
        <w:rPr>
          <w:rFonts w:hint="eastAsia" w:cs="Times New Roman"/>
          <w:color w:val="auto"/>
          <w:highlight w:val="none"/>
          <w:lang w:val="en-US" w:eastAsia="zh-CN"/>
        </w:rPr>
        <w:t>26台8</w:t>
      </w:r>
      <w:r>
        <w:rPr>
          <w:rFonts w:hint="default" w:ascii="Times New Roman" w:hAnsi="Times New Roman" w:cs="Times New Roman"/>
          <w:color w:val="auto"/>
          <w:highlight w:val="none"/>
        </w:rPr>
        <w:t>kW逆变器</w:t>
      </w:r>
      <w:r>
        <w:rPr>
          <w:rFonts w:hint="eastAsia" w:cs="Times New Roman"/>
          <w:color w:val="auto"/>
          <w:highlight w:val="none"/>
          <w:lang w:eastAsia="zh-CN"/>
        </w:rPr>
        <w:t>。每</w:t>
      </w:r>
      <w:r>
        <w:rPr>
          <w:rFonts w:hint="eastAsia" w:cs="Times New Roman"/>
          <w:color w:val="auto"/>
          <w:highlight w:val="none"/>
          <w:lang w:val="en-US" w:eastAsia="zh-CN"/>
        </w:rPr>
        <w:t>2台125</w:t>
      </w:r>
      <w:r>
        <w:rPr>
          <w:rFonts w:hint="default" w:ascii="Times New Roman" w:hAnsi="Times New Roman" w:cs="Times New Roman"/>
          <w:color w:val="auto"/>
          <w:highlight w:val="none"/>
        </w:rPr>
        <w:t>kW逆变器</w:t>
      </w:r>
      <w:r>
        <w:rPr>
          <w:rFonts w:hint="eastAsia" w:cs="Times New Roman"/>
          <w:color w:val="auto"/>
          <w:highlight w:val="none"/>
          <w:lang w:eastAsia="zh-CN"/>
        </w:rPr>
        <w:t>和每</w:t>
      </w:r>
      <w:r>
        <w:rPr>
          <w:rFonts w:hint="eastAsia" w:cs="Times New Roman"/>
          <w:color w:val="auto"/>
          <w:highlight w:val="none"/>
          <w:lang w:val="en-US" w:eastAsia="zh-CN"/>
        </w:rPr>
        <w:t>3~4台8</w:t>
      </w:r>
      <w:r>
        <w:rPr>
          <w:rFonts w:hint="default" w:ascii="Times New Roman" w:hAnsi="Times New Roman" w:cs="Times New Roman"/>
          <w:color w:val="auto"/>
          <w:highlight w:val="none"/>
        </w:rPr>
        <w:t>kW逆变器</w:t>
      </w:r>
      <w:r>
        <w:rPr>
          <w:rFonts w:hint="eastAsia" w:cs="Times New Roman"/>
          <w:color w:val="auto"/>
          <w:highlight w:val="none"/>
          <w:lang w:eastAsia="zh-CN"/>
        </w:rPr>
        <w:t>接入</w:t>
      </w:r>
      <w:r>
        <w:rPr>
          <w:rFonts w:hint="eastAsia" w:cs="Times New Roman"/>
          <w:color w:val="auto"/>
          <w:highlight w:val="none"/>
          <w:lang w:val="en-US" w:eastAsia="zh-CN"/>
        </w:rPr>
        <w:t>1台1.48MVA</w:t>
      </w:r>
      <w:r>
        <w:rPr>
          <w:rFonts w:hint="default" w:ascii="Times New Roman" w:hAnsi="Times New Roman" w:cs="Times New Roman"/>
          <w:color w:val="auto"/>
          <w:highlight w:val="none"/>
        </w:rPr>
        <w:t>箱变，将逆变器输出的低压交流电升压至35kV。</w:t>
      </w:r>
    </w:p>
    <w:p>
      <w:pPr>
        <w:pStyle w:val="56"/>
        <w:keepNext w:val="0"/>
        <w:keepLines w:val="0"/>
        <w:pageBreakBefore w:val="0"/>
        <w:widowControl w:val="0"/>
        <w:kinsoku/>
        <w:wordWrap/>
        <w:overflowPunct/>
        <w:topLinePunct w:val="0"/>
        <w:autoSpaceDE/>
        <w:autoSpaceDN/>
        <w:bidi w:val="0"/>
        <w:adjustRightInd w:val="0"/>
        <w:snapToGrid w:val="0"/>
        <w:ind w:firstLine="480"/>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光伏组件方阵的运行方式采用</w:t>
      </w:r>
      <w:r>
        <w:rPr>
          <w:rFonts w:hint="eastAsia" w:cs="Times New Roman"/>
          <w:color w:val="auto"/>
          <w:highlight w:val="none"/>
          <w:lang w:val="en-US" w:eastAsia="zh-CN"/>
        </w:rPr>
        <w:t>固定倾角式组架安装（倾斜角40°，方位角0°）</w:t>
      </w:r>
      <w:r>
        <w:rPr>
          <w:rFonts w:hint="default" w:ascii="Times New Roman" w:hAnsi="Times New Roman" w:cs="Times New Roman"/>
          <w:color w:val="auto"/>
          <w:highlight w:val="none"/>
        </w:rPr>
        <w:t>，方阵南、北向基础中心间距最小值为</w:t>
      </w:r>
      <w:r>
        <w:rPr>
          <w:rFonts w:hint="eastAsia" w:cs="Times New Roman"/>
          <w:color w:val="auto"/>
          <w:highlight w:val="none"/>
          <w:lang w:val="en-US" w:eastAsia="zh-CN"/>
        </w:rPr>
        <w:t>16</w:t>
      </w:r>
      <w:r>
        <w:rPr>
          <w:rFonts w:hint="default" w:ascii="Times New Roman" w:hAnsi="Times New Roman" w:cs="Times New Roman"/>
          <w:color w:val="auto"/>
          <w:highlight w:val="none"/>
        </w:rPr>
        <w:t>m，东西向光伏组件支架间距保留有可以过人的检修通道，取1.0m</w:t>
      </w:r>
      <w:r>
        <w:rPr>
          <w:rFonts w:hint="eastAsia" w:cs="Times New Roman"/>
          <w:color w:val="auto"/>
          <w:highlight w:val="none"/>
          <w:lang w:eastAsia="zh-CN"/>
        </w:rPr>
        <w:t>，东西向</w:t>
      </w:r>
      <w:r>
        <w:rPr>
          <w:rFonts w:hint="default" w:ascii="Times New Roman" w:hAnsi="Times New Roman" w:cs="Times New Roman"/>
          <w:color w:val="auto"/>
          <w:highlight w:val="none"/>
        </w:rPr>
        <w:t>基础中心间距</w:t>
      </w:r>
      <w:r>
        <w:rPr>
          <w:rFonts w:hint="eastAsia" w:cs="Times New Roman"/>
          <w:color w:val="auto"/>
          <w:highlight w:val="none"/>
          <w:lang w:val="en-US" w:eastAsia="zh-CN"/>
        </w:rPr>
        <w:t>20m</w:t>
      </w:r>
      <w:r>
        <w:rPr>
          <w:rFonts w:hint="default" w:ascii="Times New Roman" w:hAnsi="Times New Roman" w:cs="Times New Roman"/>
          <w:color w:val="auto"/>
          <w:highlight w:val="none"/>
        </w:rPr>
        <w:t>。</w:t>
      </w:r>
    </w:p>
    <w:p>
      <w:pPr>
        <w:pStyle w:val="56"/>
        <w:ind w:firstLine="480"/>
        <w:jc w:val="center"/>
      </w:pPr>
      <w:r>
        <w:drawing>
          <wp:inline distT="0" distB="0" distL="114300" distR="114300">
            <wp:extent cx="3126740" cy="2621915"/>
            <wp:effectExtent l="0" t="0" r="16510" b="698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31"/>
                    <a:stretch>
                      <a:fillRect/>
                    </a:stretch>
                  </pic:blipFill>
                  <pic:spPr>
                    <a:xfrm>
                      <a:off x="0" y="0"/>
                      <a:ext cx="3126740" cy="2621915"/>
                    </a:xfrm>
                    <a:prstGeom prst="rect">
                      <a:avLst/>
                    </a:prstGeom>
                    <a:noFill/>
                    <a:ln>
                      <a:noFill/>
                    </a:ln>
                  </pic:spPr>
                </pic:pic>
              </a:graphicData>
            </a:graphic>
          </wp:inline>
        </w:drawing>
      </w:r>
    </w:p>
    <w:p>
      <w:pPr>
        <w:pStyle w:val="7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图2.1-</w:t>
      </w:r>
      <w:r>
        <w:rPr>
          <w:rFonts w:hint="eastAsia" w:cs="Times New Roman"/>
          <w:color w:val="auto"/>
          <w:highlight w:val="none"/>
          <w:lang w:val="en-US" w:eastAsia="zh-CN"/>
        </w:rPr>
        <w:t>3</w:t>
      </w:r>
      <w:r>
        <w:rPr>
          <w:rFonts w:hint="default" w:ascii="Times New Roman" w:hAnsi="Times New Roman" w:cs="Times New Roman"/>
          <w:color w:val="auto"/>
          <w:highlight w:val="none"/>
        </w:rPr>
        <w:t xml:space="preserve">    光伏面板支架</w:t>
      </w:r>
      <w:r>
        <w:rPr>
          <w:rFonts w:hint="eastAsia" w:cs="Times New Roman"/>
          <w:color w:val="auto"/>
          <w:highlight w:val="none"/>
          <w:lang w:eastAsia="zh-CN"/>
        </w:rPr>
        <w:t>结构详图</w:t>
      </w:r>
    </w:p>
    <w:p>
      <w:pPr>
        <w:pStyle w:val="56"/>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②</w:t>
      </w:r>
      <w:r>
        <w:rPr>
          <w:rFonts w:hint="default" w:ascii="Times New Roman" w:hAnsi="Times New Roman" w:cs="Times New Roman"/>
          <w:color w:val="auto"/>
          <w:highlight w:val="none"/>
        </w:rPr>
        <w:t>支架及基础</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本工程电池组件全部采用</w:t>
      </w:r>
      <w:r>
        <w:rPr>
          <w:rFonts w:hint="eastAsia" w:cs="Times New Roman"/>
          <w:color w:val="auto"/>
          <w:highlight w:val="none"/>
          <w:lang w:val="en-US" w:eastAsia="zh-CN"/>
        </w:rPr>
        <w:t>固定倾角式组件支架安装方式（倾斜角40°，方位角0°），每套固定</w:t>
      </w:r>
      <w:r>
        <w:rPr>
          <w:rFonts w:hint="default" w:ascii="Times New Roman" w:hAnsi="Times New Roman" w:cs="Times New Roman"/>
          <w:color w:val="auto"/>
          <w:highlight w:val="none"/>
        </w:rPr>
        <w:t>支架</w:t>
      </w:r>
      <w:r>
        <w:rPr>
          <w:rFonts w:hint="eastAsia" w:cs="Times New Roman"/>
          <w:color w:val="auto"/>
          <w:highlight w:val="none"/>
          <w:lang w:eastAsia="zh-CN"/>
        </w:rPr>
        <w:t>下做</w:t>
      </w:r>
      <w:r>
        <w:rPr>
          <w:rFonts w:hint="eastAsia" w:cs="Times New Roman"/>
          <w:color w:val="auto"/>
          <w:highlight w:val="none"/>
          <w:lang w:val="en-US" w:eastAsia="zh-CN"/>
        </w:rPr>
        <w:t>1根混凝土灌注桩基础，项目区共埋入828根桩基础。</w:t>
      </w:r>
      <w:r>
        <w:rPr>
          <w:rFonts w:hint="default" w:ascii="Times New Roman" w:hAnsi="Times New Roman" w:cs="Times New Roman"/>
          <w:color w:val="auto"/>
          <w:highlight w:val="none"/>
        </w:rPr>
        <w:t>基础采用C35混凝土圆形灌注桩基础，直径</w:t>
      </w:r>
      <w:r>
        <w:rPr>
          <w:rFonts w:hint="eastAsia" w:cs="Times New Roman"/>
          <w:color w:val="auto"/>
          <w:highlight w:val="none"/>
          <w:lang w:val="en-US" w:eastAsia="zh-CN"/>
        </w:rPr>
        <w:t>12</w:t>
      </w:r>
      <w:r>
        <w:rPr>
          <w:rFonts w:hint="default" w:ascii="Times New Roman" w:hAnsi="Times New Roman" w:cs="Times New Roman"/>
          <w:color w:val="auto"/>
          <w:highlight w:val="none"/>
        </w:rPr>
        <w:t>00mm，埋深入砂卵砾石层持力层</w:t>
      </w:r>
      <w:r>
        <w:rPr>
          <w:rFonts w:hint="eastAsia" w:cs="Times New Roman"/>
          <w:color w:val="auto"/>
          <w:highlight w:val="none"/>
          <w:lang w:val="en-US" w:eastAsia="zh-CN"/>
        </w:rPr>
        <w:t>2</w:t>
      </w:r>
      <w:r>
        <w:rPr>
          <w:rFonts w:hint="default" w:ascii="Times New Roman" w:hAnsi="Times New Roman" w:cs="Times New Roman"/>
          <w:color w:val="auto"/>
          <w:highlight w:val="none"/>
        </w:rPr>
        <w:t>.0m，基础的顶面</w:t>
      </w:r>
      <w:r>
        <w:rPr>
          <w:rFonts w:hint="eastAsia" w:cs="Times New Roman"/>
          <w:color w:val="auto"/>
          <w:highlight w:val="none"/>
          <w:lang w:eastAsia="zh-CN"/>
        </w:rPr>
        <w:t>与室外地面向平</w:t>
      </w:r>
      <w:r>
        <w:rPr>
          <w:rFonts w:hint="default" w:ascii="Times New Roman" w:hAnsi="Times New Roman" w:cs="Times New Roman"/>
          <w:color w:val="auto"/>
          <w:highlight w:val="none"/>
        </w:rPr>
        <w:t>。灌注桩主筋保护层厚度不应小于35mm。根据主体设计资料，支架基础地基土为砂卵砾石层，力学性质良好，无须进行地基处理。基础的绝对沉降量控制在0.5cm以内。</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支架立柱为一个长 5m，直径 400mm 钢管，直接插入混凝土基础中，立柱埋 入地面下 1.5m，露出地面 3.5m。灌注桩基础抗腐蚀年限25年，钢构件材质规格Q235-B。</w:t>
      </w:r>
    </w:p>
    <w:p>
      <w:pPr>
        <w:pStyle w:val="56"/>
        <w:ind w:firstLine="480"/>
        <w:rPr>
          <w:rFonts w:hint="default" w:ascii="Times New Roman" w:hAnsi="Times New Roman" w:cs="Times New Roman"/>
          <w:color w:val="auto"/>
          <w:highlight w:val="none"/>
        </w:rPr>
      </w:pPr>
      <w:r>
        <w:rPr>
          <w:rFonts w:hint="eastAsia" w:cs="Times New Roman"/>
          <w:color w:val="auto"/>
          <w:highlight w:val="none"/>
          <w:lang w:eastAsia="zh-CN"/>
        </w:rPr>
        <w:t>本项目共计</w:t>
      </w:r>
      <w:r>
        <w:rPr>
          <w:rFonts w:hint="eastAsia" w:cs="Times New Roman"/>
          <w:color w:val="auto"/>
          <w:highlight w:val="none"/>
          <w:lang w:val="en-US" w:eastAsia="zh-CN"/>
        </w:rPr>
        <w:t>828根混凝土灌注桩基础，</w:t>
      </w:r>
      <w:r>
        <w:rPr>
          <w:rFonts w:hint="default" w:ascii="Times New Roman" w:hAnsi="Times New Roman" w:cs="Times New Roman"/>
          <w:color w:val="auto"/>
          <w:highlight w:val="none"/>
        </w:rPr>
        <w:t>单个灌注桩基础</w:t>
      </w:r>
      <w:r>
        <w:rPr>
          <w:rFonts w:hint="eastAsia" w:cs="Times New Roman"/>
          <w:color w:val="auto"/>
          <w:highlight w:val="none"/>
          <w:lang w:eastAsia="zh-CN"/>
        </w:rPr>
        <w:t>直径</w:t>
      </w:r>
      <w:r>
        <w:rPr>
          <w:rFonts w:hint="eastAsia" w:cs="Times New Roman"/>
          <w:color w:val="auto"/>
          <w:highlight w:val="none"/>
          <w:lang w:val="en-US" w:eastAsia="zh-CN"/>
        </w:rPr>
        <w:t>1.2m，单个灌注桩</w:t>
      </w:r>
      <w:r>
        <w:rPr>
          <w:rFonts w:hint="default" w:ascii="Times New Roman" w:hAnsi="Times New Roman" w:cs="Times New Roman"/>
          <w:color w:val="auto"/>
          <w:highlight w:val="none"/>
        </w:rPr>
        <w:t>土石方开挖量</w:t>
      </w:r>
      <w:r>
        <w:rPr>
          <w:rFonts w:hint="eastAsia" w:cs="Times New Roman"/>
          <w:color w:val="auto"/>
          <w:highlight w:val="none"/>
          <w:lang w:val="en-US" w:eastAsia="zh-CN"/>
        </w:rPr>
        <w:t>2.26</w:t>
      </w:r>
      <w:r>
        <w:rPr>
          <w:rFonts w:hint="default" w:ascii="Times New Roman" w:hAnsi="Times New Roman" w:cs="Times New Roman"/>
          <w:color w:val="auto"/>
          <w:highlight w:val="none"/>
        </w:rPr>
        <w:t>m</w:t>
      </w:r>
      <w:r>
        <w:rPr>
          <w:rFonts w:hint="default" w:ascii="Times New Roman" w:hAnsi="Times New Roman" w:eastAsia="宋体" w:cs="Times New Roman"/>
          <w:color w:val="auto"/>
          <w:highlight w:val="none"/>
        </w:rPr>
        <w:t>³</w:t>
      </w:r>
      <w:r>
        <w:rPr>
          <w:rFonts w:hint="default" w:ascii="Times New Roman" w:hAnsi="Times New Roman" w:cs="Times New Roman"/>
          <w:color w:val="auto"/>
          <w:highlight w:val="none"/>
        </w:rPr>
        <w:t>，土石方开挖总量0.</w:t>
      </w:r>
      <w:r>
        <w:rPr>
          <w:rFonts w:hint="eastAsia" w:cs="Times New Roman"/>
          <w:color w:val="auto"/>
          <w:highlight w:val="none"/>
          <w:lang w:val="en-US" w:eastAsia="zh-CN"/>
        </w:rPr>
        <w:t>187</w:t>
      </w:r>
      <w:r>
        <w:rPr>
          <w:rFonts w:hint="default" w:ascii="Times New Roman" w:hAnsi="Times New Roman" w:cs="Times New Roman"/>
          <w:color w:val="auto"/>
          <w:highlight w:val="none"/>
        </w:rPr>
        <w:t>万m</w:t>
      </w:r>
      <w:r>
        <w:rPr>
          <w:rFonts w:hint="default" w:ascii="Times New Roman" w:hAnsi="Times New Roman" w:eastAsia="宋体" w:cs="Times New Roman"/>
          <w:color w:val="auto"/>
          <w:highlight w:val="none"/>
        </w:rPr>
        <w:t>³</w:t>
      </w:r>
      <w:r>
        <w:rPr>
          <w:rFonts w:hint="default" w:ascii="Times New Roman" w:hAnsi="Times New Roman" w:cs="Times New Roman"/>
          <w:color w:val="auto"/>
          <w:highlight w:val="none"/>
        </w:rPr>
        <w:t>。开挖的土石方临时堆存于基坑周边，基础浇筑完成后，用于基础回填和基础周边施工场地的土地平整。</w:t>
      </w:r>
    </w:p>
    <w:p>
      <w:pPr>
        <w:pStyle w:val="56"/>
        <w:ind w:firstLine="0" w:firstLineChars="0"/>
        <w:jc w:val="center"/>
        <w:rPr>
          <w:rFonts w:hint="default" w:ascii="Times New Roman" w:hAnsi="Times New Roman" w:cs="Times New Roman"/>
          <w:color w:val="auto"/>
          <w:highlight w:val="none"/>
        </w:rPr>
      </w:pPr>
      <w:r>
        <w:drawing>
          <wp:inline distT="0" distB="0" distL="114300" distR="114300">
            <wp:extent cx="1714500" cy="3456940"/>
            <wp:effectExtent l="0" t="0" r="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1714500" cy="34569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76500" cy="1504950"/>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33"/>
                    <a:stretch>
                      <a:fillRect/>
                    </a:stretch>
                  </pic:blipFill>
                  <pic:spPr>
                    <a:xfrm>
                      <a:off x="0" y="0"/>
                      <a:ext cx="2476500" cy="1504950"/>
                    </a:xfrm>
                    <a:prstGeom prst="rect">
                      <a:avLst/>
                    </a:prstGeom>
                    <a:noFill/>
                    <a:ln>
                      <a:noFill/>
                    </a:ln>
                  </pic:spPr>
                </pic:pic>
              </a:graphicData>
            </a:graphic>
          </wp:inline>
        </w:drawing>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图2.1-</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 xml:space="preserve">    光伏面板支架灌注桩基础竖向布置图</w:t>
      </w:r>
    </w:p>
    <w:p>
      <w:pPr>
        <w:pStyle w:val="56"/>
        <w:ind w:firstLine="480"/>
        <w:rPr>
          <w:rFonts w:hint="eastAsia" w:ascii="Times New Roman" w:hAnsi="Times New Roman" w:eastAsia="仿宋_GB2312" w:cs="Times New Roman"/>
          <w:color w:val="auto"/>
          <w:highlight w:val="none"/>
          <w:lang w:eastAsia="zh-CN"/>
        </w:rPr>
      </w:pPr>
      <w:r>
        <w:rPr>
          <w:rFonts w:hint="default" w:ascii="Times New Roman" w:hAnsi="Times New Roman" w:eastAsia="宋体" w:cs="Times New Roman"/>
          <w:color w:val="auto"/>
          <w:highlight w:val="none"/>
        </w:rPr>
        <w:t>③</w:t>
      </w:r>
      <w:r>
        <w:rPr>
          <w:rFonts w:hint="default" w:ascii="Times New Roman" w:hAnsi="Times New Roman" w:cs="Times New Roman"/>
          <w:color w:val="auto"/>
          <w:highlight w:val="none"/>
        </w:rPr>
        <w:t>逆变器</w:t>
      </w:r>
      <w:r>
        <w:rPr>
          <w:rFonts w:hint="eastAsia" w:cs="Times New Roman"/>
          <w:color w:val="auto"/>
          <w:highlight w:val="none"/>
          <w:lang w:eastAsia="zh-CN"/>
        </w:rPr>
        <w:t>及</w:t>
      </w:r>
      <w:r>
        <w:rPr>
          <w:rFonts w:hint="default" w:ascii="Times New Roman" w:hAnsi="Times New Roman" w:cs="Times New Roman"/>
          <w:color w:val="auto"/>
          <w:highlight w:val="none"/>
        </w:rPr>
        <w:t>箱变</w:t>
      </w:r>
    </w:p>
    <w:p>
      <w:pPr>
        <w:pStyle w:val="56"/>
        <w:ind w:firstLine="480"/>
        <w:rPr>
          <w:rFonts w:hint="eastAsia" w:cs="Times New Roman"/>
          <w:color w:val="auto"/>
          <w:highlight w:val="none"/>
          <w:lang w:eastAsia="zh-CN"/>
        </w:rPr>
      </w:pPr>
      <w:r>
        <w:rPr>
          <w:rFonts w:hint="default" w:ascii="Times New Roman" w:hAnsi="Times New Roman" w:cs="Times New Roman"/>
          <w:color w:val="auto"/>
          <w:highlight w:val="none"/>
        </w:rPr>
        <w:t>本项目</w:t>
      </w:r>
      <w:r>
        <w:rPr>
          <w:rFonts w:hint="eastAsia" w:cs="Times New Roman"/>
          <w:color w:val="auto"/>
          <w:highlight w:val="none"/>
          <w:lang w:eastAsia="zh-CN"/>
        </w:rPr>
        <w:t>实际</w:t>
      </w:r>
      <w:r>
        <w:rPr>
          <w:rFonts w:hint="default" w:ascii="Times New Roman" w:hAnsi="Times New Roman" w:cs="Times New Roman"/>
          <w:color w:val="auto"/>
          <w:highlight w:val="none"/>
        </w:rPr>
        <w:t>机容量</w:t>
      </w:r>
      <w:r>
        <w:rPr>
          <w:rFonts w:hint="eastAsia" w:cs="Times New Roman"/>
          <w:color w:val="auto"/>
          <w:highlight w:val="none"/>
          <w:lang w:val="en-US" w:eastAsia="zh-CN"/>
        </w:rPr>
        <w:t>11.7644</w:t>
      </w:r>
      <w:r>
        <w:rPr>
          <w:rFonts w:hint="default" w:ascii="Times New Roman" w:hAnsi="Times New Roman" w:cs="Times New Roman"/>
          <w:color w:val="auto"/>
          <w:highlight w:val="none"/>
          <w:lang w:eastAsia="zh-CN"/>
        </w:rPr>
        <w:t>MWp</w:t>
      </w:r>
      <w:r>
        <w:rPr>
          <w:rFonts w:hint="default" w:ascii="Times New Roman" w:hAnsi="Times New Roman" w:cs="Times New Roman"/>
          <w:color w:val="auto"/>
          <w:highlight w:val="none"/>
        </w:rPr>
        <w:t>，每</w:t>
      </w:r>
      <w:r>
        <w:rPr>
          <w:rFonts w:hint="eastAsia" w:cs="Times New Roman"/>
          <w:color w:val="auto"/>
          <w:highlight w:val="none"/>
          <w:lang w:val="en-US" w:eastAsia="zh-CN"/>
        </w:rPr>
        <w:t>1.47055</w:t>
      </w:r>
      <w:r>
        <w:rPr>
          <w:rFonts w:hint="default" w:ascii="Times New Roman" w:hAnsi="Times New Roman" w:cs="Times New Roman"/>
          <w:color w:val="auto"/>
          <w:highlight w:val="none"/>
          <w:lang w:eastAsia="zh-CN"/>
        </w:rPr>
        <w:t>MWp</w:t>
      </w:r>
      <w:r>
        <w:rPr>
          <w:rFonts w:hint="default" w:ascii="Times New Roman" w:hAnsi="Times New Roman" w:cs="Times New Roman"/>
          <w:color w:val="auto"/>
          <w:highlight w:val="none"/>
        </w:rPr>
        <w:t>组件和</w:t>
      </w:r>
      <w:r>
        <w:rPr>
          <w:rFonts w:hint="eastAsia" w:cs="Times New Roman"/>
          <w:color w:val="auto"/>
          <w:highlight w:val="none"/>
          <w:lang w:val="en-US" w:eastAsia="zh-CN"/>
        </w:rPr>
        <w:t>1.48MVA</w:t>
      </w:r>
      <w:r>
        <w:rPr>
          <w:rFonts w:hint="default" w:ascii="Times New Roman" w:hAnsi="Times New Roman" w:cs="Times New Roman"/>
          <w:color w:val="auto"/>
          <w:highlight w:val="none"/>
        </w:rPr>
        <w:t>箱变为1个子阵，共</w:t>
      </w:r>
      <w:r>
        <w:rPr>
          <w:rFonts w:hint="eastAsia" w:cs="Times New Roman"/>
          <w:color w:val="auto"/>
          <w:highlight w:val="none"/>
          <w:lang w:val="en-US" w:eastAsia="zh-CN"/>
        </w:rPr>
        <w:t>8</w:t>
      </w:r>
      <w:r>
        <w:rPr>
          <w:rFonts w:hint="default" w:ascii="Times New Roman" w:hAnsi="Times New Roman" w:cs="Times New Roman"/>
          <w:color w:val="auto"/>
          <w:highlight w:val="none"/>
        </w:rPr>
        <w:t>个子阵</w:t>
      </w:r>
      <w:r>
        <w:rPr>
          <w:rFonts w:hint="eastAsia" w:cs="Times New Roman"/>
          <w:color w:val="auto"/>
          <w:highlight w:val="none"/>
          <w:lang w:eastAsia="zh-CN"/>
        </w:rPr>
        <w:t>。每</w:t>
      </w:r>
      <w:r>
        <w:rPr>
          <w:rFonts w:hint="default" w:ascii="Times New Roman" w:hAnsi="Times New Roman" w:cs="Times New Roman"/>
          <w:color w:val="auto"/>
          <w:highlight w:val="none"/>
        </w:rPr>
        <w:t>1台</w:t>
      </w:r>
      <w:r>
        <w:rPr>
          <w:rFonts w:hint="eastAsia" w:cs="Times New Roman"/>
          <w:color w:val="auto"/>
          <w:highlight w:val="none"/>
          <w:lang w:val="en-US" w:eastAsia="zh-CN"/>
        </w:rPr>
        <w:t>1.48MVA</w:t>
      </w:r>
      <w:r>
        <w:rPr>
          <w:rFonts w:hint="default" w:ascii="Times New Roman" w:hAnsi="Times New Roman" w:cs="Times New Roman"/>
          <w:color w:val="auto"/>
          <w:highlight w:val="none"/>
        </w:rPr>
        <w:t>箱变</w:t>
      </w:r>
      <w:r>
        <w:rPr>
          <w:rFonts w:hint="eastAsia" w:cs="Times New Roman"/>
          <w:color w:val="auto"/>
          <w:highlight w:val="none"/>
          <w:lang w:eastAsia="zh-CN"/>
        </w:rPr>
        <w:t>接入</w:t>
      </w:r>
      <w:r>
        <w:rPr>
          <w:rFonts w:hint="eastAsia" w:cs="Times New Roman"/>
          <w:color w:val="auto"/>
          <w:highlight w:val="none"/>
          <w:lang w:val="en-US" w:eastAsia="zh-CN"/>
        </w:rPr>
        <w:t>49或50台20</w:t>
      </w:r>
      <w:r>
        <w:rPr>
          <w:rFonts w:hint="default" w:ascii="Times New Roman" w:hAnsi="Times New Roman" w:cs="Times New Roman"/>
          <w:color w:val="auto"/>
          <w:highlight w:val="none"/>
        </w:rPr>
        <w:t>kW逆变器</w:t>
      </w:r>
      <w:r>
        <w:rPr>
          <w:rFonts w:hint="eastAsia" w:cs="Times New Roman"/>
          <w:color w:val="auto"/>
          <w:highlight w:val="none"/>
          <w:lang w:eastAsia="zh-CN"/>
        </w:rPr>
        <w:t>，接入</w:t>
      </w:r>
      <w:r>
        <w:rPr>
          <w:rFonts w:hint="eastAsia" w:cs="Times New Roman"/>
          <w:color w:val="auto"/>
          <w:highlight w:val="none"/>
          <w:lang w:val="en-US" w:eastAsia="zh-CN"/>
        </w:rPr>
        <w:t>25或26台8</w:t>
      </w:r>
      <w:r>
        <w:rPr>
          <w:rFonts w:hint="default" w:ascii="Times New Roman" w:hAnsi="Times New Roman" w:cs="Times New Roman"/>
          <w:color w:val="auto"/>
          <w:highlight w:val="none"/>
        </w:rPr>
        <w:t>kW</w:t>
      </w:r>
      <w:r>
        <w:rPr>
          <w:rFonts w:hint="eastAsia" w:cs="Times New Roman"/>
          <w:color w:val="auto"/>
          <w:highlight w:val="none"/>
          <w:lang w:eastAsia="zh-CN"/>
        </w:rPr>
        <w:t>逆变器，接入</w:t>
      </w:r>
      <w:r>
        <w:rPr>
          <w:rFonts w:hint="eastAsia" w:cs="Times New Roman"/>
          <w:color w:val="auto"/>
          <w:highlight w:val="none"/>
          <w:lang w:val="en-US" w:eastAsia="zh-CN"/>
        </w:rPr>
        <w:t>4台125</w:t>
      </w:r>
      <w:r>
        <w:rPr>
          <w:rFonts w:hint="default" w:ascii="Times New Roman" w:hAnsi="Times New Roman" w:cs="Times New Roman"/>
          <w:color w:val="auto"/>
          <w:highlight w:val="none"/>
        </w:rPr>
        <w:t>kW</w:t>
      </w:r>
      <w:r>
        <w:rPr>
          <w:rFonts w:hint="eastAsia" w:cs="Times New Roman"/>
          <w:color w:val="auto"/>
          <w:highlight w:val="none"/>
          <w:lang w:eastAsia="zh-CN"/>
        </w:rPr>
        <w:t>逆变器，</w:t>
      </w:r>
      <w:r>
        <w:rPr>
          <w:rFonts w:hint="default" w:ascii="Times New Roman" w:hAnsi="Times New Roman" w:cs="Times New Roman"/>
          <w:color w:val="auto"/>
          <w:highlight w:val="none"/>
        </w:rPr>
        <w:t>将逆变器输出的低压交流电升压至35kV。</w:t>
      </w:r>
      <w:r>
        <w:rPr>
          <w:rFonts w:hint="eastAsia" w:cs="Times New Roman"/>
          <w:color w:val="auto"/>
          <w:highlight w:val="none"/>
          <w:lang w:eastAsia="zh-CN"/>
        </w:rPr>
        <w:t>本项目共安装</w:t>
      </w:r>
      <w:r>
        <w:rPr>
          <w:rFonts w:hint="eastAsia" w:cs="Times New Roman"/>
          <w:color w:val="auto"/>
          <w:highlight w:val="none"/>
          <w:lang w:val="en-US" w:eastAsia="zh-CN"/>
        </w:rPr>
        <w:t>1.48MVA</w:t>
      </w:r>
      <w:r>
        <w:rPr>
          <w:rFonts w:hint="default" w:ascii="Times New Roman" w:hAnsi="Times New Roman" w:cs="Times New Roman"/>
          <w:color w:val="auto"/>
          <w:highlight w:val="none"/>
        </w:rPr>
        <w:t>箱变</w:t>
      </w:r>
      <w:r>
        <w:rPr>
          <w:rFonts w:hint="eastAsia" w:cs="Times New Roman"/>
          <w:color w:val="auto"/>
          <w:highlight w:val="none"/>
          <w:lang w:val="en-US" w:eastAsia="zh-CN"/>
        </w:rPr>
        <w:t>8台，安装逆变器共计630台，分别为：20</w:t>
      </w:r>
      <w:r>
        <w:rPr>
          <w:rFonts w:hint="default" w:ascii="Times New Roman" w:hAnsi="Times New Roman" w:cs="Times New Roman"/>
          <w:color w:val="auto"/>
          <w:highlight w:val="none"/>
        </w:rPr>
        <w:t>kW</w:t>
      </w:r>
      <w:r>
        <w:rPr>
          <w:rFonts w:hint="eastAsia" w:cs="Times New Roman"/>
          <w:color w:val="auto"/>
          <w:highlight w:val="none"/>
          <w:lang w:eastAsia="zh-CN"/>
        </w:rPr>
        <w:t>逆变器</w:t>
      </w:r>
      <w:r>
        <w:rPr>
          <w:rFonts w:hint="eastAsia" w:cs="Times New Roman"/>
          <w:color w:val="auto"/>
          <w:highlight w:val="none"/>
          <w:lang w:val="en-US" w:eastAsia="zh-CN"/>
        </w:rPr>
        <w:t>396台，8</w:t>
      </w:r>
      <w:r>
        <w:rPr>
          <w:rFonts w:hint="default" w:ascii="Times New Roman" w:hAnsi="Times New Roman" w:cs="Times New Roman"/>
          <w:color w:val="auto"/>
          <w:highlight w:val="none"/>
        </w:rPr>
        <w:t>kW</w:t>
      </w:r>
      <w:r>
        <w:rPr>
          <w:rFonts w:hint="eastAsia" w:cs="Times New Roman"/>
          <w:color w:val="auto"/>
          <w:highlight w:val="none"/>
          <w:lang w:eastAsia="zh-CN"/>
        </w:rPr>
        <w:t>逆变器</w:t>
      </w:r>
      <w:r>
        <w:rPr>
          <w:rFonts w:hint="eastAsia" w:cs="Times New Roman"/>
          <w:color w:val="auto"/>
          <w:highlight w:val="none"/>
          <w:lang w:val="en-US" w:eastAsia="zh-CN"/>
        </w:rPr>
        <w:t>202台，125</w:t>
      </w:r>
      <w:r>
        <w:rPr>
          <w:rFonts w:hint="default" w:ascii="Times New Roman" w:hAnsi="Times New Roman" w:cs="Times New Roman"/>
          <w:color w:val="auto"/>
          <w:highlight w:val="none"/>
        </w:rPr>
        <w:t>kW</w:t>
      </w:r>
      <w:r>
        <w:rPr>
          <w:rFonts w:hint="eastAsia" w:cs="Times New Roman"/>
          <w:color w:val="auto"/>
          <w:highlight w:val="none"/>
          <w:lang w:eastAsia="zh-CN"/>
        </w:rPr>
        <w:t>逆变器</w:t>
      </w:r>
      <w:r>
        <w:rPr>
          <w:rFonts w:hint="eastAsia" w:cs="Times New Roman"/>
          <w:color w:val="auto"/>
          <w:highlight w:val="none"/>
          <w:lang w:val="en-US" w:eastAsia="zh-CN"/>
        </w:rPr>
        <w:t>32台。</w:t>
      </w:r>
    </w:p>
    <w:p>
      <w:pPr>
        <w:pStyle w:val="56"/>
        <w:ind w:firstLine="480"/>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rPr>
        <w:t>本工程采用组串逆变器支架可安装在支架立柱上，采用抱箍固定横梁与立柱，设备与横梁采用螺栓固定。</w:t>
      </w:r>
      <w:r>
        <w:rPr>
          <w:rFonts w:hint="eastAsia" w:cs="Times New Roman"/>
          <w:color w:val="auto"/>
          <w:highlight w:val="none"/>
          <w:lang w:eastAsia="zh-CN"/>
        </w:rPr>
        <w:t>逆变器安装大样图见图</w:t>
      </w:r>
      <w:r>
        <w:rPr>
          <w:rFonts w:hint="eastAsia" w:cs="Times New Roman"/>
          <w:color w:val="auto"/>
          <w:highlight w:val="none"/>
          <w:lang w:val="en-US" w:eastAsia="zh-CN"/>
        </w:rPr>
        <w:t>2.1-5。</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拟选用户外箱式升压变压器，升压变长约4.6m，宽约3.8m。箱变基础拟采用钢筋混凝土箱式基础。采用混凝土盖板上覆盖250厚鹅卵石，垫层采用C40钢筋混凝土。基础持力层为砂卵砾石层，力学性质良好，无须进行地基处理。基础埋深约1.5m，基础顶面高出地面0.3m。</w:t>
      </w:r>
    </w:p>
    <w:p>
      <w:pPr>
        <w:pStyle w:val="56"/>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本项目箱式升压变压器基础开挖深度1.50m，共建设箱变</w:t>
      </w:r>
      <w:r>
        <w:rPr>
          <w:rFonts w:hint="eastAsia" w:cs="Times New Roman"/>
          <w:color w:val="auto"/>
          <w:highlight w:val="none"/>
          <w:lang w:val="en-US" w:eastAsia="zh-CN"/>
        </w:rPr>
        <w:t>8</w:t>
      </w:r>
      <w:r>
        <w:rPr>
          <w:rFonts w:hint="default" w:ascii="Times New Roman" w:hAnsi="Times New Roman" w:cs="Times New Roman"/>
          <w:color w:val="auto"/>
          <w:highlight w:val="none"/>
        </w:rPr>
        <w:t>座。单座箱式升压变压器土石方开挖量26.22m</w:t>
      </w:r>
      <w:r>
        <w:rPr>
          <w:rFonts w:hint="default" w:ascii="Times New Roman" w:hAnsi="Times New Roman" w:eastAsia="宋体" w:cs="Times New Roman"/>
          <w:color w:val="auto"/>
          <w:highlight w:val="none"/>
        </w:rPr>
        <w:t>³</w:t>
      </w:r>
      <w:r>
        <w:rPr>
          <w:rFonts w:hint="default" w:ascii="Times New Roman" w:hAnsi="Times New Roman" w:cs="Times New Roman"/>
          <w:color w:val="auto"/>
          <w:highlight w:val="none"/>
        </w:rPr>
        <w:t>，土石方开挖总量0.02</w:t>
      </w:r>
      <w:r>
        <w:rPr>
          <w:rFonts w:hint="eastAsia" w:cs="Times New Roman"/>
          <w:color w:val="auto"/>
          <w:highlight w:val="none"/>
          <w:lang w:val="en-US" w:eastAsia="zh-CN"/>
        </w:rPr>
        <w:t>0</w:t>
      </w:r>
      <w:r>
        <w:rPr>
          <w:rFonts w:hint="default" w:ascii="Times New Roman" w:hAnsi="Times New Roman" w:cs="Times New Roman"/>
          <w:color w:val="auto"/>
          <w:highlight w:val="none"/>
        </w:rPr>
        <w:t>万m</w:t>
      </w:r>
      <w:r>
        <w:rPr>
          <w:rFonts w:hint="default" w:ascii="Times New Roman" w:hAnsi="Times New Roman" w:eastAsia="宋体" w:cs="Times New Roman"/>
          <w:color w:val="auto"/>
          <w:highlight w:val="none"/>
        </w:rPr>
        <w:t>³</w:t>
      </w:r>
      <w:r>
        <w:rPr>
          <w:rFonts w:hint="default" w:ascii="Times New Roman" w:hAnsi="Times New Roman" w:cs="Times New Roman"/>
          <w:color w:val="auto"/>
          <w:highlight w:val="none"/>
        </w:rPr>
        <w:t>。开挖的土石方临时堆存于基坑周边，</w:t>
      </w:r>
      <w:r>
        <w:rPr>
          <w:rFonts w:hint="default" w:ascii="Times New Roman" w:hAnsi="Times New Roman" w:cs="Times New Roman"/>
          <w:color w:val="auto"/>
          <w:highlight w:val="none"/>
          <w:lang w:eastAsia="zh-CN"/>
        </w:rPr>
        <w:t>不进行集中堆放，</w:t>
      </w:r>
      <w:r>
        <w:rPr>
          <w:rFonts w:hint="default" w:ascii="Times New Roman" w:hAnsi="Times New Roman" w:cs="Times New Roman"/>
          <w:color w:val="auto"/>
          <w:highlight w:val="none"/>
        </w:rPr>
        <w:t>基础施工完成后，用于基础回填和基础周边施工场地的土地平整</w:t>
      </w:r>
      <w:r>
        <w:rPr>
          <w:rFonts w:hint="default" w:ascii="Times New Roman" w:hAnsi="Times New Roman" w:cs="Times New Roman"/>
          <w:color w:val="auto"/>
          <w:highlight w:val="none"/>
          <w:lang w:eastAsia="zh-CN"/>
        </w:rPr>
        <w:t>。</w:t>
      </w:r>
    </w:p>
    <w:p>
      <w:pPr>
        <w:pStyle w:val="56"/>
        <w:ind w:firstLine="480"/>
        <w:jc w:val="center"/>
      </w:pPr>
      <w:r>
        <w:drawing>
          <wp:inline distT="0" distB="0" distL="114300" distR="114300">
            <wp:extent cx="2715895" cy="2230120"/>
            <wp:effectExtent l="0" t="0" r="8255" b="1778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34"/>
                    <a:stretch>
                      <a:fillRect/>
                    </a:stretch>
                  </pic:blipFill>
                  <pic:spPr>
                    <a:xfrm>
                      <a:off x="0" y="0"/>
                      <a:ext cx="2715895" cy="2230120"/>
                    </a:xfrm>
                    <a:prstGeom prst="rect">
                      <a:avLst/>
                    </a:prstGeom>
                    <a:noFill/>
                    <a:ln>
                      <a:noFill/>
                    </a:ln>
                  </pic:spPr>
                </pic:pic>
              </a:graphicData>
            </a:graphic>
          </wp:inline>
        </w:drawing>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图2.1-</w:t>
      </w:r>
      <w:r>
        <w:rPr>
          <w:rFonts w:hint="eastAsia" w:cs="Times New Roman"/>
          <w:color w:val="auto"/>
          <w:highlight w:val="none"/>
          <w:lang w:val="en-US" w:eastAsia="zh-CN"/>
        </w:rPr>
        <w:t>5</w:t>
      </w:r>
      <w:r>
        <w:rPr>
          <w:rFonts w:hint="default" w:ascii="Times New Roman" w:hAnsi="Times New Roman" w:cs="Times New Roman"/>
          <w:color w:val="auto"/>
          <w:highlight w:val="none"/>
        </w:rPr>
        <w:t xml:space="preserve">    </w:t>
      </w:r>
      <w:r>
        <w:rPr>
          <w:rFonts w:hint="eastAsia" w:cs="Times New Roman"/>
          <w:color w:val="auto"/>
          <w:highlight w:val="none"/>
          <w:lang w:eastAsia="zh-CN"/>
        </w:rPr>
        <w:t>逆变器安装大样</w:t>
      </w:r>
      <w:r>
        <w:rPr>
          <w:rFonts w:hint="default" w:ascii="Times New Roman" w:hAnsi="Times New Roman" w:cs="Times New Roman"/>
          <w:color w:val="auto"/>
          <w:highlight w:val="none"/>
        </w:rPr>
        <w:t>图</w:t>
      </w:r>
    </w:p>
    <w:p>
      <w:pPr>
        <w:pStyle w:val="56"/>
        <w:ind w:firstLine="480"/>
        <w:jc w:val="center"/>
        <w:rPr>
          <w:rFonts w:hint="default"/>
          <w:lang w:eastAsia="zh-CN"/>
        </w:rPr>
      </w:pPr>
    </w:p>
    <w:p>
      <w:pPr>
        <w:pStyle w:val="56"/>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④光伏区围栏</w:t>
      </w:r>
    </w:p>
    <w:p>
      <w:pPr>
        <w:pStyle w:val="56"/>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光伏阵列区四周进行围栏网拦挡，总长约</w:t>
      </w:r>
      <w:r>
        <w:rPr>
          <w:rFonts w:hint="eastAsia" w:cs="Times New Roman"/>
          <w:color w:val="auto"/>
          <w:highlight w:val="none"/>
          <w:lang w:val="en-US" w:eastAsia="zh-CN"/>
        </w:rPr>
        <w:t>4.3</w:t>
      </w:r>
      <w:r>
        <w:rPr>
          <w:rFonts w:hint="default" w:ascii="Times New Roman" w:hAnsi="Times New Roman" w:cs="Times New Roman"/>
          <w:color w:val="auto"/>
          <w:highlight w:val="none"/>
          <w:lang w:val="en-US" w:eastAsia="zh-CN"/>
        </w:rPr>
        <w:t>km，基础埋深约70cm，围栏网立柱基础采用C30混凝土基础，框架采用30×20×2.5矩形管。</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603240" cy="1823085"/>
            <wp:effectExtent l="0" t="0" r="16510" b="571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5"/>
                    <a:stretch>
                      <a:fillRect/>
                    </a:stretch>
                  </pic:blipFill>
                  <pic:spPr>
                    <a:xfrm>
                      <a:off x="0" y="0"/>
                      <a:ext cx="5603240" cy="1823085"/>
                    </a:xfrm>
                    <a:prstGeom prst="rect">
                      <a:avLst/>
                    </a:prstGeom>
                    <a:noFill/>
                    <a:ln>
                      <a:noFill/>
                    </a:ln>
                  </pic:spPr>
                </pic:pic>
              </a:graphicData>
            </a:graphic>
          </wp:inline>
        </w:drawing>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图2.1-</w:t>
      </w:r>
      <w:r>
        <w:rPr>
          <w:rFonts w:hint="eastAsia" w:cs="Times New Roman"/>
          <w:color w:val="auto"/>
          <w:highlight w:val="none"/>
          <w:lang w:val="en-US" w:eastAsia="zh-CN"/>
        </w:rPr>
        <w:t>6</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围栏网立面图</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（2）集电线路区</w:t>
      </w:r>
    </w:p>
    <w:p>
      <w:pPr>
        <w:pStyle w:val="56"/>
        <w:keepNext w:val="0"/>
        <w:keepLines w:val="0"/>
        <w:pageBreakBefore w:val="0"/>
        <w:widowControl/>
        <w:numPr>
          <w:ilvl w:val="0"/>
          <w:numId w:val="0"/>
        </w:numPr>
        <w:kinsoku/>
        <w:wordWrap/>
        <w:overflowPunct/>
        <w:topLinePunct w:val="0"/>
        <w:autoSpaceDE/>
        <w:autoSpaceDN/>
        <w:bidi w:val="0"/>
        <w:adjustRightInd w:val="0"/>
        <w:snapToGrid w:val="0"/>
        <w:ind w:leftChars="0" w:firstLine="480" w:firstLineChars="200"/>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根据光伏阵列的布置位置情况，</w:t>
      </w:r>
      <w:r>
        <w:rPr>
          <w:rFonts w:hint="eastAsia" w:cs="Times New Roman"/>
          <w:color w:val="auto"/>
          <w:highlight w:val="none"/>
          <w:lang w:eastAsia="zh-CN"/>
        </w:rPr>
        <w:t>弗光哈密一期20MWp光伏并网发电项目可分为</w:t>
      </w:r>
      <w:r>
        <w:rPr>
          <w:rFonts w:hint="eastAsia" w:cs="Times New Roman"/>
          <w:color w:val="auto"/>
          <w:highlight w:val="none"/>
          <w:lang w:val="en-US" w:eastAsia="zh-CN"/>
        </w:rPr>
        <w:t>8个发电子阵，</w:t>
      </w:r>
      <w:r>
        <w:rPr>
          <w:rFonts w:hint="eastAsia" w:cs="Times New Roman"/>
          <w:color w:val="auto"/>
          <w:highlight w:val="none"/>
          <w:lang w:eastAsia="zh-CN"/>
        </w:rPr>
        <w:t>共布置</w:t>
      </w:r>
      <w:r>
        <w:rPr>
          <w:rFonts w:hint="eastAsia" w:cs="Times New Roman"/>
          <w:color w:val="auto"/>
          <w:highlight w:val="none"/>
          <w:lang w:val="en-US" w:eastAsia="zh-CN"/>
        </w:rPr>
        <w:t>8</w:t>
      </w:r>
      <w:r>
        <w:rPr>
          <w:rFonts w:hint="default" w:ascii="Times New Roman" w:hAnsi="Times New Roman" w:cs="Times New Roman"/>
          <w:color w:val="auto"/>
          <w:highlight w:val="none"/>
        </w:rPr>
        <w:t>台</w:t>
      </w:r>
      <w:r>
        <w:rPr>
          <w:rFonts w:hint="eastAsia" w:cs="Times New Roman"/>
          <w:color w:val="auto"/>
          <w:highlight w:val="none"/>
          <w:lang w:val="en-US" w:eastAsia="zh-CN"/>
        </w:rPr>
        <w:t>1.48MVA</w:t>
      </w:r>
      <w:r>
        <w:rPr>
          <w:rFonts w:hint="default" w:ascii="Times New Roman" w:hAnsi="Times New Roman" w:cs="Times New Roman"/>
          <w:color w:val="auto"/>
          <w:highlight w:val="none"/>
        </w:rPr>
        <w:t>箱变</w:t>
      </w:r>
      <w:r>
        <w:rPr>
          <w:rFonts w:hint="eastAsia" w:cs="Times New Roman"/>
          <w:color w:val="auto"/>
          <w:highlight w:val="none"/>
          <w:lang w:eastAsia="zh-CN"/>
        </w:rPr>
        <w:t>和</w:t>
      </w:r>
      <w:r>
        <w:rPr>
          <w:rFonts w:hint="eastAsia" w:cs="Times New Roman"/>
          <w:color w:val="auto"/>
          <w:highlight w:val="none"/>
          <w:lang w:val="en-US" w:eastAsia="zh-CN"/>
        </w:rPr>
        <w:t>8台</w:t>
      </w:r>
      <w:r>
        <w:rPr>
          <w:rFonts w:hint="default" w:ascii="Times New Roman" w:hAnsi="Times New Roman" w:cs="Times New Roman"/>
          <w:color w:val="auto"/>
          <w:highlight w:val="none"/>
        </w:rPr>
        <w:t>35kV 箱变</w:t>
      </w:r>
      <w:r>
        <w:rPr>
          <w:rFonts w:hint="eastAsia" w:cs="Times New Roman"/>
          <w:color w:val="auto"/>
          <w:highlight w:val="none"/>
          <w:lang w:val="en-US" w:eastAsia="zh-CN"/>
        </w:rPr>
        <w:t>，</w:t>
      </w:r>
      <w:r>
        <w:rPr>
          <w:rFonts w:hint="eastAsia" w:cs="Times New Roman"/>
          <w:color w:val="auto"/>
          <w:highlight w:val="none"/>
          <w:lang w:eastAsia="zh-CN"/>
        </w:rPr>
        <w:t>每</w:t>
      </w:r>
      <w:r>
        <w:rPr>
          <w:rFonts w:hint="default" w:ascii="Times New Roman" w:hAnsi="Times New Roman" w:cs="Times New Roman"/>
          <w:color w:val="auto"/>
          <w:highlight w:val="none"/>
        </w:rPr>
        <w:t>4 台 35kV 双绕组箱式变在高压侧并联为</w:t>
      </w:r>
      <w:r>
        <w:rPr>
          <w:rFonts w:hint="eastAsia" w:cs="Times New Roman"/>
          <w:color w:val="auto"/>
          <w:highlight w:val="none"/>
          <w:lang w:val="en-US" w:eastAsia="zh-CN"/>
        </w:rPr>
        <w:t>1回集电线路，</w:t>
      </w:r>
      <w:r>
        <w:t>2回集电线路</w:t>
      </w:r>
      <w:r>
        <w:rPr>
          <w:rFonts w:hint="eastAsia"/>
          <w:lang w:eastAsia="zh-CN"/>
        </w:rPr>
        <w:t>分别接入</w:t>
      </w:r>
      <w:r>
        <w:t>本工程运行管理区110kV升压汇集站的35kV配电室</w:t>
      </w:r>
      <w:r>
        <w:rPr>
          <w:rFonts w:hint="eastAsia"/>
          <w:lang w:eastAsia="zh-CN"/>
        </w:rPr>
        <w:t>，</w:t>
      </w:r>
      <w:r>
        <w:rPr>
          <w:rFonts w:hint="default" w:ascii="Times New Roman" w:hAnsi="Times New Roman" w:cs="Times New Roman"/>
          <w:color w:val="auto"/>
          <w:highlight w:val="none"/>
        </w:rPr>
        <w:t>汇流为1回35kV出线接入园区汇集站，电站采用单母线接线，</w:t>
      </w:r>
      <w:r>
        <w:rPr>
          <w:rFonts w:hint="eastAsia" w:cs="Times New Roman"/>
          <w:color w:val="auto"/>
          <w:highlight w:val="none"/>
          <w:lang w:val="en-US" w:eastAsia="zh-CN"/>
        </w:rPr>
        <w:t>2</w:t>
      </w:r>
      <w:r>
        <w:rPr>
          <w:rFonts w:hint="default" w:ascii="Times New Roman" w:hAnsi="Times New Roman" w:cs="Times New Roman"/>
          <w:color w:val="auto"/>
          <w:highlight w:val="none"/>
        </w:rPr>
        <w:t>回进线，1回出线。</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站内集电电缆采用电缆沟直埋方式</w:t>
      </w:r>
      <w:r>
        <w:rPr>
          <w:rFonts w:hint="eastAsia" w:cs="Times New Roman"/>
          <w:color w:val="auto"/>
          <w:highlight w:val="none"/>
          <w:lang w:eastAsia="zh-CN"/>
        </w:rPr>
        <w:t>，</w:t>
      </w:r>
      <w:r>
        <w:rPr>
          <w:rFonts w:hint="default" w:ascii="Times New Roman" w:hAnsi="Times New Roman" w:cs="Times New Roman"/>
          <w:color w:val="auto"/>
          <w:highlight w:val="none"/>
        </w:rPr>
        <w:t>直埋电缆开挖长度为</w:t>
      </w:r>
      <w:r>
        <w:rPr>
          <w:rFonts w:hint="eastAsia" w:cs="Times New Roman"/>
          <w:color w:val="auto"/>
          <w:highlight w:val="none"/>
          <w:lang w:val="en-US" w:eastAsia="zh-CN"/>
        </w:rPr>
        <w:t>4.6</w:t>
      </w:r>
      <w:r>
        <w:rPr>
          <w:rFonts w:hint="default" w:ascii="Times New Roman" w:hAnsi="Times New Roman" w:cs="Times New Roman"/>
          <w:color w:val="auto"/>
          <w:highlight w:val="none"/>
        </w:rPr>
        <w:t>km。</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直埋电缆铺设应按现行国家规范进行开挖与回填，电缆上下均铺设筛分过后细土，过路及出入户时均设保护套管。电缆沟开挖横断面为矩形断面，电缆沟开挖总长度约</w:t>
      </w:r>
      <w:r>
        <w:rPr>
          <w:rFonts w:hint="eastAsia" w:cs="Times New Roman"/>
          <w:color w:val="auto"/>
          <w:highlight w:val="none"/>
          <w:lang w:val="en-US" w:eastAsia="zh-CN"/>
        </w:rPr>
        <w:t>4.6</w:t>
      </w:r>
      <w:r>
        <w:rPr>
          <w:rFonts w:hint="default" w:ascii="Times New Roman" w:hAnsi="Times New Roman" w:cs="Times New Roman"/>
          <w:color w:val="auto"/>
          <w:highlight w:val="none"/>
        </w:rPr>
        <w:t>km，电缆沟尺寸为宽0.6m，深度1.20m，开挖机堆土作业带按</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.0m计算</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经计算，共开挖土石方</w:t>
      </w:r>
      <w:r>
        <w:rPr>
          <w:rFonts w:hint="eastAsia" w:cs="Times New Roman"/>
          <w:color w:val="auto"/>
          <w:highlight w:val="none"/>
          <w:lang w:val="en-US" w:eastAsia="zh-CN"/>
        </w:rPr>
        <w:t>0.331</w:t>
      </w:r>
      <w:r>
        <w:rPr>
          <w:rFonts w:hint="default" w:ascii="Times New Roman" w:hAnsi="Times New Roman" w:cs="Times New Roman"/>
          <w:color w:val="auto"/>
          <w:highlight w:val="none"/>
        </w:rPr>
        <w:t>万m</w:t>
      </w:r>
      <w:r>
        <w:rPr>
          <w:rFonts w:hint="default" w:ascii="Times New Roman" w:hAnsi="Times New Roman" w:eastAsia="宋体" w:cs="Times New Roman"/>
          <w:color w:val="auto"/>
          <w:highlight w:val="none"/>
        </w:rPr>
        <w:t>³</w:t>
      </w:r>
      <w:r>
        <w:rPr>
          <w:rFonts w:hint="default" w:ascii="Times New Roman" w:hAnsi="Times New Roman" w:cs="Times New Roman"/>
          <w:color w:val="auto"/>
          <w:highlight w:val="none"/>
        </w:rPr>
        <w:t>，开挖土石方临时堆存在电缆沟下风侧的施工作业带内，集电线路敷设完成后，堆存的土石方用于沟槽基坑回填。集电线路区占地面积</w:t>
      </w:r>
      <w:r>
        <w:rPr>
          <w:rFonts w:hint="eastAsia" w:cs="Times New Roman"/>
          <w:color w:val="auto"/>
          <w:highlight w:val="none"/>
          <w:lang w:val="en-US" w:eastAsia="zh-CN"/>
        </w:rPr>
        <w:t>2.76</w:t>
      </w:r>
      <w:r>
        <w:rPr>
          <w:rFonts w:hint="default" w:ascii="Times New Roman" w:hAnsi="Times New Roman" w:cs="Times New Roman"/>
          <w:color w:val="auto"/>
          <w:highlight w:val="none"/>
        </w:rPr>
        <w:t>hm²。</w:t>
      </w:r>
    </w:p>
    <w:p>
      <w:pPr>
        <w:pStyle w:val="56"/>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0" distR="0">
            <wp:extent cx="4773295" cy="1999615"/>
            <wp:effectExtent l="0" t="0" r="825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a:stretch>
                      <a:fillRect/>
                    </a:stretch>
                  </pic:blipFill>
                  <pic:spPr>
                    <a:xfrm>
                      <a:off x="0" y="0"/>
                      <a:ext cx="4773295" cy="1999615"/>
                    </a:xfrm>
                    <a:prstGeom prst="rect">
                      <a:avLst/>
                    </a:prstGeom>
                  </pic:spPr>
                </pic:pic>
              </a:graphicData>
            </a:graphic>
          </wp:inline>
        </w:drawing>
      </w:r>
    </w:p>
    <w:p>
      <w:pPr>
        <w:pStyle w:val="75"/>
        <w:spacing w:after="120"/>
        <w:rPr>
          <w:rFonts w:hint="default" w:ascii="Times New Roman" w:hAnsi="Times New Roman" w:cs="Times New Roman"/>
          <w:color w:val="auto"/>
          <w:highlight w:val="none"/>
        </w:rPr>
      </w:pPr>
      <w:r>
        <w:rPr>
          <w:rFonts w:hint="default" w:ascii="Times New Roman" w:hAnsi="Times New Roman" w:cs="Times New Roman"/>
          <w:color w:val="auto"/>
          <w:highlight w:val="none"/>
        </w:rPr>
        <w:t>图2.1-</w:t>
      </w:r>
      <w:r>
        <w:rPr>
          <w:rFonts w:hint="eastAsia" w:cs="Times New Roman"/>
          <w:color w:val="auto"/>
          <w:highlight w:val="none"/>
          <w:lang w:val="en-US" w:eastAsia="zh-CN"/>
        </w:rPr>
        <w:t>7</w:t>
      </w:r>
      <w:r>
        <w:rPr>
          <w:rFonts w:hint="default" w:ascii="Times New Roman" w:hAnsi="Times New Roman" w:cs="Times New Roman"/>
          <w:color w:val="auto"/>
          <w:highlight w:val="none"/>
        </w:rPr>
        <w:t xml:space="preserve">     地埋式电缆沟开挖断面及施工作业带范围图</w:t>
      </w:r>
    </w:p>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2.1.3.2 道路工程区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道路工程区主要由进场道路和场内道路组成，总占地面积</w:t>
      </w:r>
      <w:r>
        <w:rPr>
          <w:rFonts w:hint="eastAsia" w:cs="Times New Roman"/>
          <w:color w:val="auto"/>
          <w:highlight w:val="none"/>
          <w:lang w:val="en-US" w:eastAsia="zh-CN"/>
        </w:rPr>
        <w:t>2.0</w:t>
      </w:r>
      <w:r>
        <w:rPr>
          <w:rFonts w:hint="default" w:ascii="Times New Roman" w:hAnsi="Times New Roman" w:cs="Times New Roman"/>
          <w:color w:val="auto"/>
          <w:highlight w:val="none"/>
        </w:rPr>
        <w:t>hm²，占地性质为永久占地，占地类型为</w:t>
      </w:r>
      <w:r>
        <w:rPr>
          <w:rFonts w:hint="eastAsia" w:cs="Times New Roman"/>
          <w:color w:val="auto"/>
          <w:highlight w:val="none"/>
          <w:lang w:eastAsia="zh-CN"/>
        </w:rPr>
        <w:t>公共设施用地</w:t>
      </w:r>
      <w:r>
        <w:rPr>
          <w:rFonts w:hint="default" w:ascii="Times New Roman" w:hAnsi="Times New Roman" w:cs="Times New Roman"/>
          <w:color w:val="auto"/>
          <w:highlight w:val="none"/>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（1）进场道路</w:t>
      </w:r>
    </w:p>
    <w:p>
      <w:pPr>
        <w:pStyle w:val="56"/>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本项目距</w:t>
      </w:r>
      <w:r>
        <w:rPr>
          <w:rFonts w:hint="eastAsia" w:cs="Times New Roman"/>
          <w:color w:val="auto"/>
          <w:highlight w:val="none"/>
          <w:lang w:eastAsia="zh-CN"/>
        </w:rPr>
        <w:t>哈密市</w:t>
      </w:r>
      <w:r>
        <w:rPr>
          <w:rFonts w:hint="default" w:ascii="Times New Roman" w:hAnsi="Times New Roman" w:cs="Times New Roman"/>
          <w:color w:val="auto"/>
          <w:highlight w:val="none"/>
          <w:lang w:eastAsia="zh-CN"/>
        </w:rPr>
        <w:t>约</w:t>
      </w:r>
      <w:r>
        <w:rPr>
          <w:rFonts w:hint="eastAsia" w:cs="Times New Roman"/>
          <w:color w:val="auto"/>
          <w:highlight w:val="none"/>
          <w:lang w:val="en-US" w:eastAsia="zh-CN"/>
        </w:rPr>
        <w:t>20</w:t>
      </w:r>
      <w:r>
        <w:rPr>
          <w:rFonts w:hint="default" w:ascii="Times New Roman" w:hAnsi="Times New Roman" w:cs="Times New Roman"/>
          <w:color w:val="auto"/>
          <w:highlight w:val="none"/>
        </w:rPr>
        <w:t>km</w:t>
      </w:r>
      <w:r>
        <w:rPr>
          <w:rFonts w:hint="eastAsia" w:cs="Times New Roman"/>
          <w:color w:val="auto"/>
          <w:highlight w:val="none"/>
          <w:lang w:eastAsia="zh-CN"/>
        </w:rPr>
        <w:t>，</w:t>
      </w:r>
      <w:r>
        <w:rPr>
          <w:rFonts w:hint="default" w:ascii="Times New Roman" w:hAnsi="Times New Roman" w:cs="Times New Roman"/>
          <w:color w:val="auto"/>
          <w:highlight w:val="none"/>
        </w:rPr>
        <w:t xml:space="preserve">S303省道和 </w:t>
      </w:r>
      <w:r>
        <w:rPr>
          <w:rFonts w:hint="eastAsia" w:cs="Times New Roman"/>
          <w:color w:val="auto"/>
          <w:highlight w:val="none"/>
          <w:lang w:eastAsia="zh-CN"/>
        </w:rPr>
        <w:t>Z504公路</w:t>
      </w:r>
      <w:r>
        <w:rPr>
          <w:rFonts w:hint="default" w:ascii="Times New Roman" w:hAnsi="Times New Roman" w:cs="Times New Roman"/>
          <w:color w:val="auto"/>
          <w:highlight w:val="none"/>
        </w:rPr>
        <w:t>分别从场址的东</w:t>
      </w:r>
      <w:r>
        <w:rPr>
          <w:rFonts w:hint="eastAsia" w:cs="Times New Roman"/>
          <w:color w:val="auto"/>
          <w:highlight w:val="none"/>
          <w:lang w:eastAsia="zh-CN"/>
        </w:rPr>
        <w:t>侧</w:t>
      </w:r>
      <w:r>
        <w:rPr>
          <w:rFonts w:hint="eastAsia" w:cs="Times New Roman"/>
          <w:color w:val="auto"/>
          <w:highlight w:val="none"/>
          <w:lang w:val="en-US" w:eastAsia="zh-CN"/>
        </w:rPr>
        <w:t>4km和</w:t>
      </w:r>
      <w:r>
        <w:rPr>
          <w:rFonts w:hint="default" w:ascii="Times New Roman" w:hAnsi="Times New Roman" w:cs="Times New Roman"/>
          <w:color w:val="auto"/>
          <w:highlight w:val="none"/>
        </w:rPr>
        <w:t>西侧</w:t>
      </w:r>
      <w:r>
        <w:rPr>
          <w:rFonts w:hint="eastAsia" w:cs="Times New Roman"/>
          <w:color w:val="auto"/>
          <w:highlight w:val="none"/>
          <w:lang w:val="en-US" w:eastAsia="zh-CN"/>
        </w:rPr>
        <w:t>2km</w:t>
      </w:r>
      <w:r>
        <w:rPr>
          <w:rFonts w:hint="default" w:ascii="Times New Roman" w:hAnsi="Times New Roman" w:cs="Times New Roman"/>
          <w:color w:val="auto"/>
          <w:highlight w:val="none"/>
        </w:rPr>
        <w:t>通过，交通条件较为便利</w:t>
      </w:r>
      <w:r>
        <w:rPr>
          <w:rFonts w:hint="eastAsia" w:cs="Times New Roman"/>
          <w:color w:val="auto"/>
          <w:highlight w:val="none"/>
          <w:lang w:eastAsia="zh-CN"/>
        </w:rPr>
        <w:t>，</w:t>
      </w:r>
      <w:r>
        <w:rPr>
          <w:rFonts w:hint="default" w:ascii="Times New Roman" w:hAnsi="Times New Roman" w:cs="Times New Roman"/>
          <w:color w:val="auto"/>
          <w:highlight w:val="none"/>
        </w:rPr>
        <w:t>运输方便。途中弯道的宽度和承载力，均可满足光伏电站运输车辆的运输要求。本工程</w:t>
      </w:r>
      <w:r>
        <w:rPr>
          <w:rFonts w:hint="eastAsia" w:cs="Times New Roman"/>
          <w:color w:val="auto"/>
          <w:highlight w:val="none"/>
          <w:lang w:eastAsia="zh-CN"/>
        </w:rPr>
        <w:t>在项目区南侧中心位置</w:t>
      </w:r>
      <w:r>
        <w:rPr>
          <w:rFonts w:hint="default" w:ascii="Times New Roman" w:hAnsi="Times New Roman" w:cs="Times New Roman"/>
          <w:color w:val="auto"/>
          <w:highlight w:val="none"/>
          <w:lang w:eastAsia="zh-CN"/>
        </w:rPr>
        <w:t>建设</w:t>
      </w:r>
      <w:r>
        <w:rPr>
          <w:rFonts w:hint="eastAsia" w:cs="Times New Roman"/>
          <w:color w:val="auto"/>
          <w:highlight w:val="none"/>
          <w:lang w:eastAsia="zh-CN"/>
        </w:rPr>
        <w:t>一</w:t>
      </w:r>
      <w:r>
        <w:rPr>
          <w:rFonts w:hint="default" w:ascii="Times New Roman" w:hAnsi="Times New Roman" w:cs="Times New Roman"/>
          <w:color w:val="auto"/>
          <w:highlight w:val="none"/>
          <w:lang w:eastAsia="zh-CN"/>
        </w:rPr>
        <w:t>条进场道路</w:t>
      </w:r>
      <w:r>
        <w:rPr>
          <w:rFonts w:hint="eastAsia" w:cs="Times New Roman"/>
          <w:color w:val="auto"/>
          <w:highlight w:val="none"/>
          <w:lang w:eastAsia="zh-CN"/>
        </w:rPr>
        <w:t>，垂直接入石城子光伏园区内已建道路，进场</w:t>
      </w:r>
      <w:r>
        <w:rPr>
          <w:rFonts w:hint="default" w:ascii="Times New Roman" w:hAnsi="Times New Roman" w:cs="Times New Roman"/>
          <w:color w:val="auto"/>
          <w:highlight w:val="none"/>
        </w:rPr>
        <w:t>道路</w:t>
      </w:r>
      <w:r>
        <w:rPr>
          <w:rFonts w:hint="eastAsia" w:cs="Times New Roman"/>
          <w:color w:val="auto"/>
          <w:highlight w:val="none"/>
          <w:lang w:eastAsia="zh-CN"/>
        </w:rPr>
        <w:t>长</w:t>
      </w:r>
      <w:r>
        <w:rPr>
          <w:rFonts w:hint="eastAsia" w:cs="Times New Roman"/>
          <w:color w:val="auto"/>
          <w:highlight w:val="none"/>
          <w:lang w:val="en-US" w:eastAsia="zh-CN"/>
        </w:rPr>
        <w:t>50m，</w:t>
      </w:r>
      <w:r>
        <w:rPr>
          <w:rFonts w:hint="default" w:ascii="Times New Roman" w:hAnsi="Times New Roman" w:cs="Times New Roman"/>
          <w:color w:val="auto"/>
          <w:highlight w:val="none"/>
        </w:rPr>
        <w:t>宽6.0m为</w:t>
      </w:r>
      <w:r>
        <w:rPr>
          <w:rFonts w:hint="eastAsia" w:cs="Times New Roman"/>
          <w:color w:val="auto"/>
          <w:highlight w:val="none"/>
          <w:lang w:eastAsia="zh-CN"/>
        </w:rPr>
        <w:t>混凝土</w:t>
      </w:r>
      <w:r>
        <w:rPr>
          <w:rFonts w:hint="default" w:ascii="Times New Roman" w:hAnsi="Times New Roman" w:cs="Times New Roman"/>
          <w:color w:val="auto"/>
          <w:highlight w:val="none"/>
        </w:rPr>
        <w:t>路面</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占地面积0.</w:t>
      </w:r>
      <w:r>
        <w:rPr>
          <w:rFonts w:hint="eastAsia" w:cs="Times New Roman"/>
          <w:color w:val="auto"/>
          <w:highlight w:val="none"/>
          <w:lang w:val="en-US" w:eastAsia="zh-CN"/>
        </w:rPr>
        <w:t>03</w:t>
      </w:r>
      <w:r>
        <w:rPr>
          <w:rFonts w:hint="default" w:ascii="Times New Roman" w:hAnsi="Times New Roman" w:cs="Times New Roman"/>
          <w:color w:val="auto"/>
          <w:highlight w:val="none"/>
        </w:rPr>
        <w:t>hm²</w:t>
      </w:r>
      <w:r>
        <w:rPr>
          <w:rFonts w:hint="default" w:ascii="Times New Roman" w:hAnsi="Times New Roman" w:cs="Times New Roman"/>
          <w:color w:val="auto"/>
          <w:highlight w:val="none"/>
          <w:lang w:eastAsia="zh-CN"/>
        </w:rPr>
        <w:t>，作为项目区运行期间永久进场道路。</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（2）场内道路</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场内道路设计以满足消防、检修维护和巡视需要为主要目的，由环道和纵、横向交通道路组成。环道围绕光伏发电区设置，纵、横向道路均可到达子方阵逆变器室，并与环道相连形成一个完善的交通网络，方便大型设备的运输。站内道路纵向坡度结合地形设计，横向坡度低于</w:t>
      </w:r>
      <w:r>
        <w:rPr>
          <w:rFonts w:hint="eastAsia" w:cs="Times New Roman"/>
          <w:color w:val="auto"/>
          <w:highlight w:val="none"/>
          <w:lang w:val="en-US" w:eastAsia="zh-CN"/>
        </w:rPr>
        <w:t>2</w:t>
      </w:r>
      <w:r>
        <w:rPr>
          <w:rFonts w:hint="default" w:ascii="Times New Roman" w:hAnsi="Times New Roman" w:cs="Times New Roman"/>
          <w:color w:val="auto"/>
          <w:highlight w:val="none"/>
        </w:rPr>
        <w:t>%，站内道路长度</w:t>
      </w:r>
      <w:r>
        <w:rPr>
          <w:rFonts w:hint="eastAsia" w:cs="Times New Roman"/>
          <w:color w:val="auto"/>
          <w:highlight w:val="none"/>
          <w:lang w:val="en-US" w:eastAsia="zh-CN"/>
        </w:rPr>
        <w:t>48</w:t>
      </w:r>
      <w:r>
        <w:rPr>
          <w:rFonts w:hint="default" w:ascii="Times New Roman" w:hAnsi="Times New Roman" w:cs="Times New Roman"/>
          <w:color w:val="auto"/>
          <w:highlight w:val="none"/>
        </w:rPr>
        <w:t>00m，道路宽度4.0m，</w:t>
      </w:r>
      <w:r>
        <w:rPr>
          <w:rFonts w:hint="default" w:ascii="Times New Roman" w:hAnsi="Times New Roman" w:cs="Times New Roman"/>
          <w:color w:val="auto"/>
          <w:highlight w:val="none"/>
          <w:lang w:eastAsia="zh-CN"/>
        </w:rPr>
        <w:t>为砂砾石路面（</w:t>
      </w:r>
      <w:r>
        <w:rPr>
          <w:rFonts w:hint="default" w:ascii="Times New Roman" w:hAnsi="Times New Roman" w:cs="Times New Roman"/>
          <w:color w:val="auto"/>
          <w:highlight w:val="none"/>
          <w:lang w:val="en-US" w:eastAsia="zh-CN"/>
        </w:rPr>
        <w:t>15cm厚砂砾石垫层</w:t>
      </w:r>
      <w:r>
        <w:rPr>
          <w:rFonts w:hint="default" w:ascii="Times New Roman" w:hAnsi="Times New Roman" w:cs="Times New Roman"/>
          <w:color w:val="auto"/>
          <w:highlight w:val="none"/>
          <w:lang w:eastAsia="zh-CN"/>
        </w:rPr>
        <w:t>）道路转弯半径为</w:t>
      </w:r>
      <w:r>
        <w:rPr>
          <w:rFonts w:hint="default" w:ascii="Times New Roman" w:hAnsi="Times New Roman" w:cs="Times New Roman"/>
          <w:color w:val="auto"/>
          <w:highlight w:val="none"/>
          <w:lang w:val="en-US" w:eastAsia="zh-CN"/>
        </w:rPr>
        <w:t>6m，</w:t>
      </w:r>
      <w:r>
        <w:rPr>
          <w:rFonts w:hint="default" w:ascii="Times New Roman" w:hAnsi="Times New Roman" w:cs="Times New Roman"/>
          <w:color w:val="auto"/>
          <w:highlight w:val="none"/>
        </w:rPr>
        <w:t>占地面积</w:t>
      </w:r>
      <w:r>
        <w:rPr>
          <w:rFonts w:hint="eastAsia" w:cs="Times New Roman"/>
          <w:color w:val="auto"/>
          <w:highlight w:val="none"/>
          <w:lang w:val="en-US" w:eastAsia="zh-CN"/>
        </w:rPr>
        <w:t>1.92</w:t>
      </w:r>
      <w:r>
        <w:rPr>
          <w:rFonts w:hint="default" w:ascii="Times New Roman" w:hAnsi="Times New Roman" w:cs="Times New Roman"/>
          <w:color w:val="auto"/>
          <w:highlight w:val="none"/>
        </w:rPr>
        <w:t>hm²。站内道路修建时考虑永临结合的修建方式，由于项目区地基承载力较好，施工期站内道路通过推平洒水碾压，并铺设</w:t>
      </w:r>
      <w:r>
        <w:rPr>
          <w:rFonts w:hint="default" w:ascii="Times New Roman" w:hAnsi="Times New Roman" w:cs="Times New Roman"/>
          <w:color w:val="auto"/>
          <w:highlight w:val="none"/>
          <w:lang w:val="en-US" w:eastAsia="zh-CN"/>
        </w:rPr>
        <w:t>15</w:t>
      </w:r>
      <w:r>
        <w:rPr>
          <w:rFonts w:hint="default" w:ascii="Times New Roman" w:hAnsi="Times New Roman" w:cs="Times New Roman"/>
          <w:color w:val="auto"/>
          <w:highlight w:val="none"/>
        </w:rPr>
        <w:t>cm厚砂砾石垫层后，即可满足项目施工需求。施工结束后作为场内巡视检修道路利用。</w:t>
      </w:r>
    </w:p>
    <w:p>
      <w:pPr>
        <w:pStyle w:val="72"/>
        <w:rPr>
          <w:rFonts w:hint="eastAsia"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 xml:space="preserve">2.1.3.3 </w:t>
      </w:r>
      <w:r>
        <w:rPr>
          <w:rFonts w:hint="eastAsia" w:cs="Times New Roman"/>
          <w:color w:val="auto"/>
          <w:highlight w:val="none"/>
          <w:lang w:eastAsia="zh-CN"/>
        </w:rPr>
        <w:t>运行管理区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管理区位于场址南侧中部，呈梯形布置，占地面积 8315.6m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r>
        <w:t>本项目运行管理区原地面高程为1</w:t>
      </w:r>
      <w:r>
        <w:rPr>
          <w:rFonts w:hint="eastAsia"/>
          <w:lang w:val="en-US" w:eastAsia="zh-CN"/>
        </w:rPr>
        <w:t>049.13</w:t>
      </w:r>
      <w:r>
        <w:t>～1</w:t>
      </w:r>
      <w:r>
        <w:rPr>
          <w:rFonts w:hint="eastAsia"/>
          <w:lang w:val="en-US" w:eastAsia="zh-CN"/>
        </w:rPr>
        <w:t>051.13</w:t>
      </w:r>
      <w:r>
        <w:t>m，由南向北倾斜，主体设计采取顺坡布设，坡度</w:t>
      </w:r>
      <w:r>
        <w:rPr>
          <w:rFonts w:hint="eastAsia"/>
          <w:lang w:eastAsia="zh-CN"/>
        </w:rPr>
        <w:t>约</w:t>
      </w:r>
      <w:r>
        <w:rPr>
          <w:rFonts w:hint="eastAsia"/>
          <w:lang w:val="en-US" w:eastAsia="zh-CN"/>
        </w:rPr>
        <w:t>2</w:t>
      </w:r>
      <w:r>
        <w:t>%左右</w:t>
      </w:r>
      <w:r>
        <w:rPr>
          <w:rFonts w:hint="eastAsia"/>
          <w:lang w:eastAsia="zh-CN"/>
        </w:rPr>
        <w:t>。</w:t>
      </w:r>
    </w:p>
    <w:p>
      <w:pPr>
        <w:pStyle w:val="56"/>
        <w:ind w:firstLine="480"/>
        <w:rPr>
          <w:rFonts w:hint="default" w:ascii="Times New Roman" w:hAnsi="Times New Roman" w:cs="Times New Roman"/>
          <w:color w:val="auto"/>
          <w:highlight w:val="none"/>
        </w:rPr>
      </w:pPr>
      <w:r>
        <w:rPr>
          <w:rFonts w:hint="eastAsia" w:cs="Times New Roman"/>
          <w:color w:val="auto"/>
          <w:highlight w:val="none"/>
          <w:lang w:eastAsia="zh-CN"/>
        </w:rPr>
        <w:t>管理区内北侧中心位置布置一幢</w:t>
      </w:r>
      <w:r>
        <w:rPr>
          <w:rFonts w:hint="eastAsia" w:cs="Times New Roman"/>
          <w:color w:val="auto"/>
          <w:highlight w:val="none"/>
          <w:vertAlign w:val="baseline"/>
          <w:lang w:val="en-US" w:eastAsia="zh-CN"/>
        </w:rPr>
        <w:t>L型</w:t>
      </w:r>
      <w:r>
        <w:rPr>
          <w:rFonts w:hint="eastAsia" w:cs="Times New Roman"/>
          <w:color w:val="auto"/>
          <w:highlight w:val="none"/>
          <w:lang w:eastAsia="zh-CN"/>
        </w:rPr>
        <w:t>生产楼，生产楼为地上二层，砖混结构，耐火等级为二级，抗震设防烈度为 7 度，属丙类建筑物，建筑面积 783.81m</w:t>
      </w:r>
      <w:r>
        <w:rPr>
          <w:rFonts w:hint="eastAsia" w:cs="Times New Roman"/>
          <w:color w:val="auto"/>
          <w:highlight w:val="none"/>
          <w:vertAlign w:val="superscript"/>
          <w:lang w:eastAsia="zh-CN"/>
        </w:rPr>
        <w:t>2</w:t>
      </w:r>
      <w:r>
        <w:rPr>
          <w:rFonts w:hint="eastAsia" w:cs="Times New Roman"/>
          <w:color w:val="auto"/>
          <w:highlight w:val="none"/>
          <w:vertAlign w:val="baseline"/>
          <w:lang w:eastAsia="zh-CN"/>
        </w:rPr>
        <w:t>，占地面积</w:t>
      </w:r>
      <w:r>
        <w:rPr>
          <w:rFonts w:hint="eastAsia" w:cs="Times New Roman"/>
          <w:color w:val="auto"/>
          <w:highlight w:val="none"/>
          <w:vertAlign w:val="baseline"/>
          <w:lang w:val="en-US" w:eastAsia="zh-CN"/>
        </w:rPr>
        <w:t>533</w:t>
      </w:r>
      <w:r>
        <w:rPr>
          <w:rFonts w:hint="eastAsia" w:cs="Times New Roman"/>
          <w:color w:val="auto"/>
          <w:highlight w:val="none"/>
          <w:lang w:eastAsia="zh-CN"/>
        </w:rPr>
        <w:t>m</w:t>
      </w:r>
      <w:r>
        <w:rPr>
          <w:rFonts w:hint="eastAsia" w:cs="Times New Roman"/>
          <w:color w:val="auto"/>
          <w:highlight w:val="none"/>
          <w:vertAlign w:val="superscript"/>
          <w:lang w:eastAsia="zh-CN"/>
        </w:rPr>
        <w:t>2</w:t>
      </w:r>
      <w:r>
        <w:rPr>
          <w:rFonts w:hint="eastAsia" w:cs="Times New Roman"/>
          <w:color w:val="auto"/>
          <w:highlight w:val="none"/>
          <w:vertAlign w:val="baseline"/>
          <w:lang w:eastAsia="zh-CN"/>
        </w:rPr>
        <w:t>，生产楼</w:t>
      </w:r>
      <w:r>
        <w:rPr>
          <w:rFonts w:hint="eastAsia" w:eastAsia="仿宋_GB2312"/>
          <w:color w:val="000000"/>
        </w:rPr>
        <w:t>基础为钢筋混凝土独立基础，基础埋深</w:t>
      </w:r>
      <w:r>
        <w:rPr>
          <w:rFonts w:hint="eastAsia"/>
          <w:color w:val="000000"/>
          <w:lang w:val="en-US" w:eastAsia="zh-CN"/>
        </w:rPr>
        <w:t>2</w:t>
      </w:r>
      <w:r>
        <w:rPr>
          <w:rFonts w:hint="eastAsia" w:eastAsia="仿宋_GB2312"/>
          <w:color w:val="000000"/>
        </w:rPr>
        <w:t>m</w:t>
      </w:r>
      <w:r>
        <w:rPr>
          <w:rFonts w:hint="eastAsia" w:cs="Times New Roman"/>
          <w:color w:val="auto"/>
          <w:highlight w:val="none"/>
          <w:lang w:eastAsia="zh-CN"/>
        </w:rPr>
        <w:t>。生产楼</w:t>
      </w:r>
      <w:r>
        <w:rPr>
          <w:rFonts w:hint="default" w:ascii="Times New Roman" w:hAnsi="Times New Roman" w:cs="Times New Roman"/>
          <w:color w:val="auto"/>
          <w:highlight w:val="none"/>
        </w:rPr>
        <w:t>内设置有二次盘室、中控室、低压及厂用变室、35kV 高压室以及办公室、会议室、 宿舍、餐厅等服务管理用房。</w:t>
      </w:r>
    </w:p>
    <w:p>
      <w:pPr>
        <w:pStyle w:val="56"/>
        <w:ind w:firstLine="480"/>
        <w:rPr>
          <w:rFonts w:hint="default" w:ascii="Times New Roman" w:hAnsi="Times New Roman" w:cs="Times New Roman"/>
          <w:color w:val="auto"/>
          <w:highlight w:val="none"/>
          <w:lang w:val="en-US"/>
        </w:rPr>
      </w:pPr>
      <w:r>
        <w:rPr>
          <w:rFonts w:hint="eastAsia" w:cs="Times New Roman"/>
          <w:color w:val="auto"/>
          <w:highlight w:val="none"/>
          <w:lang w:val="en-US" w:eastAsia="zh-CN"/>
        </w:rPr>
        <w:t>管理区西侧布置一处SVC补偿装置，尺寸为11m×8m，</w:t>
      </w:r>
      <w:r>
        <w:rPr>
          <w:rFonts w:hint="eastAsia" w:eastAsia="仿宋_GB2312"/>
          <w:color w:val="000000"/>
        </w:rPr>
        <w:t>基础为钢筋混凝土独立基础，基础埋深1.</w:t>
      </w:r>
      <w:r>
        <w:rPr>
          <w:rFonts w:hint="eastAsia"/>
          <w:color w:val="000000"/>
          <w:lang w:val="en-US" w:eastAsia="zh-CN"/>
        </w:rPr>
        <w:t>5</w:t>
      </w:r>
      <w:r>
        <w:rPr>
          <w:rFonts w:hint="eastAsia" w:eastAsia="仿宋_GB2312"/>
          <w:color w:val="000000"/>
        </w:rPr>
        <w:t>0m</w:t>
      </w:r>
      <w:r>
        <w:rPr>
          <w:rFonts w:hint="eastAsia" w:cs="Times New Roman"/>
          <w:color w:val="auto"/>
          <w:highlight w:val="none"/>
          <w:lang w:val="en-US" w:eastAsia="zh-CN"/>
        </w:rPr>
        <w:t>。管理区东侧布置一处</w:t>
      </w:r>
      <w:r>
        <w:rPr>
          <w:rFonts w:hint="eastAsia" w:cs="Times New Roman"/>
          <w:color w:val="auto"/>
          <w:highlight w:val="none"/>
          <w:vertAlign w:val="baseline"/>
          <w:lang w:val="en-US" w:eastAsia="zh-CN"/>
        </w:rPr>
        <w:t>35kv</w:t>
      </w:r>
      <w:r>
        <w:rPr>
          <w:rFonts w:hint="eastAsia" w:cs="Times New Roman"/>
          <w:color w:val="auto"/>
          <w:highlight w:val="none"/>
          <w:lang w:val="en-US" w:eastAsia="zh-CN"/>
        </w:rPr>
        <w:t>接地变压器，尺寸为5m×5m，</w:t>
      </w:r>
      <w:r>
        <w:rPr>
          <w:rFonts w:hint="eastAsia" w:eastAsia="仿宋_GB2312"/>
          <w:color w:val="000000"/>
        </w:rPr>
        <w:t>基础为钢筋混凝土独立基础，基础埋深1.50m</w:t>
      </w:r>
      <w:r>
        <w:rPr>
          <w:rFonts w:hint="eastAsia" w:cs="Times New Roman"/>
          <w:color w:val="auto"/>
          <w:highlight w:val="none"/>
          <w:lang w:val="en-US" w:eastAsia="zh-CN"/>
        </w:rPr>
        <w:t>；接地变压器旁布置一处</w:t>
      </w:r>
      <w:r>
        <w:rPr>
          <w:rFonts w:ascii="Times New Roman" w:hAnsi="Times New Roman" w:eastAsia="Times New Roman" w:cs="Times New Roman"/>
          <w:spacing w:val="0"/>
          <w:w w:val="100"/>
          <w:sz w:val="21"/>
          <w:szCs w:val="21"/>
        </w:rPr>
        <w:t>250kV</w:t>
      </w:r>
      <w:r>
        <w:rPr>
          <w:rFonts w:ascii="Times New Roman" w:hAnsi="Times New Roman" w:eastAsia="Times New Roman" w:cs="Times New Roman"/>
          <w:spacing w:val="1"/>
          <w:w w:val="100"/>
          <w:sz w:val="21"/>
          <w:szCs w:val="21"/>
        </w:rPr>
        <w:t>A</w:t>
      </w:r>
      <w:r>
        <w:rPr>
          <w:rFonts w:hint="eastAsia" w:cs="Times New Roman"/>
          <w:color w:val="auto"/>
          <w:highlight w:val="none"/>
          <w:lang w:val="en-US" w:eastAsia="zh-CN"/>
        </w:rPr>
        <w:t>厂用变压器，尺寸为4.2m×4.2m，</w:t>
      </w:r>
      <w:r>
        <w:rPr>
          <w:rFonts w:hint="eastAsia" w:eastAsia="仿宋_GB2312"/>
          <w:color w:val="000000"/>
        </w:rPr>
        <w:t>基础为钢筋混凝土独立基础，基础埋深1.50m</w:t>
      </w:r>
      <w:r>
        <w:rPr>
          <w:rFonts w:hint="eastAsia" w:cs="Times New Roman"/>
          <w:color w:val="auto"/>
          <w:highlight w:val="none"/>
          <w:lang w:val="en-US" w:eastAsia="zh-CN"/>
        </w:rPr>
        <w:t>。</w:t>
      </w:r>
      <w:r>
        <w:rPr>
          <w:rFonts w:hint="eastAsia" w:cs="Times New Roman"/>
          <w:color w:val="auto"/>
          <w:highlight w:val="none"/>
          <w:lang w:eastAsia="zh-CN"/>
        </w:rPr>
        <w:t>管理区东北角布置一处篮球场，尺寸为</w:t>
      </w:r>
      <w:r>
        <w:rPr>
          <w:rFonts w:hint="eastAsia" w:cs="Times New Roman"/>
          <w:color w:val="auto"/>
          <w:highlight w:val="none"/>
          <w:lang w:val="en-US" w:eastAsia="zh-CN"/>
        </w:rPr>
        <w:t>15m×14m。</w:t>
      </w:r>
    </w:p>
    <w:p>
      <w:pPr>
        <w:pStyle w:val="56"/>
        <w:ind w:firstLine="480"/>
        <w:rPr>
          <w:rFonts w:hint="eastAsia" w:cs="Times New Roman"/>
          <w:color w:val="auto"/>
          <w:highlight w:val="none"/>
          <w:lang w:val="en-US" w:eastAsia="zh-CN"/>
        </w:rPr>
      </w:pPr>
      <w:r>
        <w:rPr>
          <w:rFonts w:hint="eastAsia" w:cs="Times New Roman"/>
          <w:color w:val="auto"/>
          <w:highlight w:val="none"/>
          <w:lang w:val="en-US" w:eastAsia="zh-CN"/>
        </w:rPr>
        <w:t>管理区厂前区及生产楼后面部分场地采用混凝土硬化，场地硬化面积为3600</w:t>
      </w:r>
      <w:r>
        <w:rPr>
          <w:rFonts w:hint="eastAsia" w:cs="Times New Roman"/>
          <w:color w:val="auto"/>
          <w:highlight w:val="none"/>
          <w:lang w:eastAsia="zh-CN"/>
        </w:rPr>
        <w:t>m</w:t>
      </w:r>
      <w:r>
        <w:rPr>
          <w:rFonts w:hint="eastAsia" w:cs="Times New Roman"/>
          <w:color w:val="auto"/>
          <w:highlight w:val="none"/>
          <w:vertAlign w:val="superscript"/>
          <w:lang w:eastAsia="zh-CN"/>
        </w:rPr>
        <w:t>2</w:t>
      </w:r>
      <w:r>
        <w:rPr>
          <w:rFonts w:hint="eastAsia" w:cs="Times New Roman"/>
          <w:color w:val="auto"/>
          <w:highlight w:val="none"/>
          <w:lang w:val="en-US" w:eastAsia="zh-CN"/>
        </w:rPr>
        <w:t>。</w:t>
      </w:r>
    </w:p>
    <w:p>
      <w:pPr>
        <w:pStyle w:val="56"/>
        <w:ind w:firstLine="480"/>
        <w:rPr>
          <w:rFonts w:hint="eastAsia" w:cs="Times New Roman"/>
          <w:color w:val="auto"/>
          <w:highlight w:val="none"/>
          <w:lang w:val="en-US" w:eastAsia="zh-CN"/>
        </w:rPr>
      </w:pPr>
      <w:r>
        <w:rPr>
          <w:rFonts w:hint="eastAsia" w:cs="Times New Roman"/>
          <w:color w:val="auto"/>
          <w:highlight w:val="none"/>
          <w:lang w:val="en-US" w:eastAsia="zh-CN"/>
        </w:rPr>
        <w:t>此外管理区东南角还建有一些地下构筑物，包括一个地下水泵房和蓄水池，尺寸为12m×11m×3m，一处避雷针，尺寸为4m×4m×2m。</w:t>
      </w:r>
    </w:p>
    <w:p>
      <w:pPr>
        <w:pStyle w:val="72"/>
        <w:rPr>
          <w:rFonts w:hint="default" w:ascii="Times New Roman" w:hAnsi="Times New Roman" w:cs="Times New Roman"/>
          <w:color w:val="auto"/>
          <w:highlight w:val="none"/>
          <w:lang w:eastAsia="zh-CN"/>
        </w:rPr>
      </w:pPr>
      <w:r>
        <w:rPr>
          <w:rFonts w:hint="eastAsia" w:cs="Times New Roman"/>
          <w:color w:val="auto"/>
          <w:highlight w:val="none"/>
          <w:lang w:val="en-US" w:eastAsia="zh-CN"/>
        </w:rPr>
        <w:t>2.1.3.4</w:t>
      </w:r>
      <w:r>
        <w:rPr>
          <w:rFonts w:hint="eastAsia" w:cs="Times New Roman"/>
          <w:color w:val="auto"/>
          <w:highlight w:val="none"/>
          <w:lang w:eastAsia="zh-CN"/>
        </w:rPr>
        <w:t>施工生产生活区</w:t>
      </w:r>
    </w:p>
    <w:p>
      <w:pPr>
        <w:pStyle w:val="56"/>
        <w:ind w:firstLine="480"/>
        <w:rPr>
          <w:rFonts w:hint="eastAsia" w:cs="Times New Roman"/>
          <w:color w:val="auto"/>
          <w:highlight w:val="none"/>
          <w:lang w:val="en-US" w:eastAsia="zh-CN"/>
        </w:rPr>
      </w:pPr>
      <w:r>
        <w:rPr>
          <w:rFonts w:hint="default" w:cs="Times New Roman"/>
          <w:color w:val="auto"/>
          <w:highlight w:val="none"/>
          <w:lang w:val="en-US" w:eastAsia="zh-CN"/>
        </w:rPr>
        <w:t>根据项目区筑路材料与构造物的分布、地形、地物情况，结合考虑环境保护要求、施工组织等因素，</w:t>
      </w:r>
      <w:r>
        <w:rPr>
          <w:rFonts w:hint="eastAsia" w:cs="Times New Roman"/>
          <w:color w:val="auto"/>
          <w:highlight w:val="none"/>
          <w:lang w:val="en-US" w:eastAsia="zh-CN"/>
        </w:rPr>
        <w:t>本工程在项目区东侧空地上布置一处施工生产生活区，总占地 4600m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，建筑面积 2550m</w:t>
      </w:r>
      <w:r>
        <w:rPr>
          <w:rFonts w:hint="eastAsia" w:cs="Times New Roman"/>
          <w:color w:val="auto"/>
          <w:highlight w:val="none"/>
          <w:vertAlign w:val="superscript"/>
          <w:lang w:val="en-US" w:eastAsia="zh-CN"/>
        </w:rPr>
        <w:t>2</w:t>
      </w:r>
      <w:r>
        <w:rPr>
          <w:rFonts w:hint="eastAsia" w:cs="Times New Roman"/>
          <w:color w:val="auto"/>
          <w:highlight w:val="none"/>
          <w:vertAlign w:val="baseline"/>
          <w:lang w:val="en-US" w:eastAsia="zh-CN"/>
        </w:rPr>
        <w:t>，所有建筑物均为一层临时集装箱房。施工生产生活区内南侧布置生活区，北侧布置生产区，</w:t>
      </w:r>
      <w:r>
        <w:rPr>
          <w:rFonts w:hint="eastAsia" w:cs="Times New Roman"/>
          <w:color w:val="auto"/>
          <w:highlight w:val="none"/>
          <w:lang w:val="en-US" w:eastAsia="zh-CN"/>
        </w:rPr>
        <w:t>生活区靠近仓库，远离混凝土搅拌站。各临时生产、生活场地规划见表2.1-4。</w:t>
      </w:r>
    </w:p>
    <w:p>
      <w:pPr>
        <w:pStyle w:val="75"/>
        <w:ind w:firstLine="1687" w:firstLineChars="700"/>
        <w:jc w:val="both"/>
        <w:rPr>
          <w:rFonts w:hint="eastAsia" w:cs="Times New Roman"/>
          <w:color w:val="auto"/>
          <w:highlight w:val="none"/>
          <w:lang w:val="en-US" w:eastAsia="zh-CN"/>
        </w:rPr>
      </w:pPr>
      <w:r>
        <w:rPr>
          <w:rFonts w:hint="default" w:ascii="Times New Roman" w:hAnsi="Times New Roman" w:cs="Times New Roman"/>
          <w:color w:val="auto"/>
          <w:highlight w:val="none"/>
        </w:rPr>
        <w:t>表2.1-</w:t>
      </w:r>
      <w:r>
        <w:rPr>
          <w:rFonts w:hint="eastAsia" w:cs="Times New Roman"/>
          <w:color w:val="auto"/>
          <w:highlight w:val="none"/>
          <w:lang w:val="en-US" w:eastAsia="zh-CN"/>
        </w:rPr>
        <w:t>4</w:t>
      </w:r>
      <w:r>
        <w:rPr>
          <w:rFonts w:hint="default" w:ascii="Times New Roman" w:hAnsi="Times New Roman" w:cs="Times New Roman"/>
          <w:color w:val="auto"/>
          <w:highlight w:val="none"/>
        </w:rPr>
        <w:t xml:space="preserve">     施工临时建筑工程量表</w:t>
      </w:r>
    </w:p>
    <w:tbl>
      <w:tblPr>
        <w:tblStyle w:val="27"/>
        <w:tblpPr w:leftFromText="180" w:rightFromText="180" w:vertAnchor="text" w:horzAnchor="page" w:tblpX="1489" w:tblpY="319"/>
        <w:tblOverlap w:val="never"/>
        <w:tblW w:w="889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86"/>
        <w:gridCol w:w="1422"/>
        <w:gridCol w:w="1553"/>
        <w:gridCol w:w="433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6" w:hRule="exact"/>
        </w:trPr>
        <w:tc>
          <w:tcPr>
            <w:tcW w:w="1586"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名</w:t>
            </w:r>
            <w:r>
              <w:rPr>
                <w:rFonts w:hint="eastAsia" w:cs="Times New Roman"/>
                <w:color w:val="auto"/>
                <w:highlight w:val="none"/>
                <w:lang w:eastAsia="zh-CN"/>
              </w:rPr>
              <w:tab/>
            </w:r>
            <w:r>
              <w:rPr>
                <w:rFonts w:hint="eastAsia" w:cs="Times New Roman"/>
                <w:color w:val="auto"/>
                <w:highlight w:val="none"/>
                <w:lang w:eastAsia="zh-CN"/>
              </w:rPr>
              <w:t>称</w:t>
            </w:r>
          </w:p>
        </w:tc>
        <w:tc>
          <w:tcPr>
            <w:tcW w:w="1422"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建筑面积</w:t>
            </w:r>
          </w:p>
          <w:p>
            <w:pPr>
              <w:pStyle w:val="84"/>
              <w:jc w:val="center"/>
              <w:rPr>
                <w:rFonts w:hint="eastAsia" w:cs="Times New Roman"/>
                <w:color w:val="auto"/>
                <w:highlight w:val="none"/>
                <w:lang w:eastAsia="zh-CN"/>
              </w:rPr>
            </w:pPr>
            <w:r>
              <w:rPr>
                <w:rFonts w:hint="eastAsia" w:cs="Times New Roman"/>
                <w:color w:val="auto"/>
                <w:highlight w:val="none"/>
                <w:lang w:eastAsia="zh-CN"/>
              </w:rPr>
              <w:t>（m</w:t>
            </w:r>
            <w:r>
              <w:rPr>
                <w:rFonts w:hint="eastAsia" w:cs="Times New Roman"/>
                <w:color w:val="auto"/>
                <w:highlight w:val="none"/>
                <w:vertAlign w:val="superscript"/>
                <w:lang w:eastAsia="zh-CN"/>
              </w:rPr>
              <w:t>2</w:t>
            </w:r>
            <w:r>
              <w:rPr>
                <w:rFonts w:hint="eastAsia" w:cs="Times New Roman"/>
                <w:color w:val="auto"/>
                <w:highlight w:val="none"/>
                <w:lang w:eastAsia="zh-CN"/>
              </w:rPr>
              <w:t>）</w:t>
            </w:r>
          </w:p>
        </w:tc>
        <w:tc>
          <w:tcPr>
            <w:tcW w:w="1553"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占地面积</w:t>
            </w:r>
          </w:p>
          <w:p>
            <w:pPr>
              <w:pStyle w:val="84"/>
              <w:jc w:val="center"/>
              <w:rPr>
                <w:rFonts w:hint="eastAsia" w:cs="Times New Roman"/>
                <w:color w:val="auto"/>
                <w:highlight w:val="none"/>
                <w:lang w:eastAsia="zh-CN"/>
              </w:rPr>
            </w:pPr>
            <w:r>
              <w:rPr>
                <w:rFonts w:hint="eastAsia" w:cs="Times New Roman"/>
                <w:color w:val="auto"/>
                <w:highlight w:val="none"/>
                <w:lang w:eastAsia="zh-CN"/>
              </w:rPr>
              <w:t>（m</w:t>
            </w:r>
            <w:r>
              <w:rPr>
                <w:rFonts w:hint="eastAsia" w:cs="Times New Roman"/>
                <w:color w:val="auto"/>
                <w:highlight w:val="none"/>
                <w:vertAlign w:val="superscript"/>
                <w:lang w:eastAsia="zh-CN"/>
              </w:rPr>
              <w:t>2</w:t>
            </w:r>
            <w:r>
              <w:rPr>
                <w:rFonts w:hint="eastAsia" w:cs="Times New Roman"/>
                <w:color w:val="auto"/>
                <w:highlight w:val="none"/>
                <w:lang w:eastAsia="zh-CN"/>
              </w:rPr>
              <w:t>）</w:t>
            </w:r>
          </w:p>
        </w:tc>
        <w:tc>
          <w:tcPr>
            <w:tcW w:w="4337"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备</w:t>
            </w:r>
            <w:r>
              <w:rPr>
                <w:rFonts w:hint="eastAsia" w:cs="Times New Roman"/>
                <w:color w:val="auto"/>
                <w:highlight w:val="none"/>
                <w:lang w:eastAsia="zh-CN"/>
              </w:rPr>
              <w:tab/>
            </w:r>
            <w:r>
              <w:rPr>
                <w:rFonts w:hint="eastAsia" w:cs="Times New Roman"/>
                <w:color w:val="auto"/>
                <w:highlight w:val="none"/>
                <w:lang w:eastAsia="zh-CN"/>
              </w:rPr>
              <w:t>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0" w:hRule="exact"/>
        </w:trPr>
        <w:tc>
          <w:tcPr>
            <w:tcW w:w="1586"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施工生活区</w:t>
            </w:r>
          </w:p>
        </w:tc>
        <w:tc>
          <w:tcPr>
            <w:tcW w:w="1422"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1100</w:t>
            </w:r>
          </w:p>
        </w:tc>
        <w:tc>
          <w:tcPr>
            <w:tcW w:w="1553"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1500</w:t>
            </w:r>
          </w:p>
        </w:tc>
        <w:tc>
          <w:tcPr>
            <w:tcW w:w="4337"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包含施工单位办公区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0" w:hRule="exact"/>
        </w:trPr>
        <w:tc>
          <w:tcPr>
            <w:tcW w:w="1586"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综合加工厂</w:t>
            </w:r>
          </w:p>
        </w:tc>
        <w:tc>
          <w:tcPr>
            <w:tcW w:w="1422"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300</w:t>
            </w:r>
          </w:p>
        </w:tc>
        <w:tc>
          <w:tcPr>
            <w:tcW w:w="1553"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800</w:t>
            </w:r>
          </w:p>
        </w:tc>
        <w:tc>
          <w:tcPr>
            <w:tcW w:w="4337"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钢结构加工、机械修配及机械停放场地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0" w:hRule="exact"/>
        </w:trPr>
        <w:tc>
          <w:tcPr>
            <w:tcW w:w="1586"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综合仓库</w:t>
            </w:r>
          </w:p>
        </w:tc>
        <w:tc>
          <w:tcPr>
            <w:tcW w:w="1422"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1000</w:t>
            </w:r>
          </w:p>
        </w:tc>
        <w:tc>
          <w:tcPr>
            <w:tcW w:w="1553"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1500</w:t>
            </w:r>
          </w:p>
        </w:tc>
        <w:tc>
          <w:tcPr>
            <w:tcW w:w="4337"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CPV 发电系统、组件支架、机电设备、钢筋</w:t>
            </w:r>
          </w:p>
          <w:p>
            <w:pPr>
              <w:pStyle w:val="84"/>
              <w:jc w:val="center"/>
              <w:rPr>
                <w:rFonts w:hint="eastAsia" w:cs="Times New Roman"/>
                <w:color w:val="auto"/>
                <w:highlight w:val="none"/>
                <w:lang w:eastAsia="zh-CN"/>
              </w:rPr>
            </w:pPr>
            <w:r>
              <w:rPr>
                <w:rFonts w:hint="eastAsia" w:cs="Times New Roman"/>
                <w:color w:val="auto"/>
                <w:highlight w:val="none"/>
                <w:lang w:eastAsia="zh-CN"/>
              </w:rPr>
              <w:t>等堆放、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0" w:hRule="exact"/>
        </w:trPr>
        <w:tc>
          <w:tcPr>
            <w:tcW w:w="1586"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混凝土搅拌站</w:t>
            </w:r>
          </w:p>
        </w:tc>
        <w:tc>
          <w:tcPr>
            <w:tcW w:w="1422"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150</w:t>
            </w:r>
          </w:p>
        </w:tc>
        <w:tc>
          <w:tcPr>
            <w:tcW w:w="1553"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800</w:t>
            </w:r>
          </w:p>
        </w:tc>
        <w:tc>
          <w:tcPr>
            <w:tcW w:w="4337"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混凝土的集中搅拌及砂石料、水泥的堆放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4" w:hRule="exact"/>
        </w:trPr>
        <w:tc>
          <w:tcPr>
            <w:tcW w:w="1586"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小计</w:t>
            </w:r>
          </w:p>
        </w:tc>
        <w:tc>
          <w:tcPr>
            <w:tcW w:w="1422"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2550</w:t>
            </w:r>
          </w:p>
        </w:tc>
        <w:tc>
          <w:tcPr>
            <w:tcW w:w="1553" w:type="dxa"/>
            <w:tcBorders>
              <w:tl2br w:val="nil"/>
              <w:tr2bl w:val="nil"/>
            </w:tcBorders>
            <w:vAlign w:val="center"/>
          </w:tcPr>
          <w:p>
            <w:pPr>
              <w:pStyle w:val="84"/>
              <w:jc w:val="center"/>
              <w:rPr>
                <w:rFonts w:hint="eastAsia" w:cs="Times New Roman"/>
                <w:color w:val="auto"/>
                <w:highlight w:val="none"/>
                <w:lang w:eastAsia="zh-CN"/>
              </w:rPr>
            </w:pPr>
            <w:r>
              <w:rPr>
                <w:rFonts w:hint="eastAsia" w:cs="Times New Roman"/>
                <w:color w:val="auto"/>
                <w:highlight w:val="none"/>
                <w:lang w:eastAsia="zh-CN"/>
              </w:rPr>
              <w:t>4600</w:t>
            </w:r>
          </w:p>
        </w:tc>
        <w:tc>
          <w:tcPr>
            <w:tcW w:w="4337" w:type="dxa"/>
            <w:tcBorders>
              <w:tl2br w:val="nil"/>
              <w:tr2bl w:val="nil"/>
            </w:tcBorders>
            <w:vAlign w:val="center"/>
          </w:tcPr>
          <w:p>
            <w:pPr>
              <w:pStyle w:val="84"/>
              <w:jc w:val="center"/>
              <w:rPr>
                <w:rFonts w:hint="eastAsia" w:cs="Times New Roman"/>
                <w:color w:val="auto"/>
                <w:highlight w:val="none"/>
                <w:lang w:eastAsia="zh-CN"/>
              </w:rPr>
            </w:pPr>
          </w:p>
        </w:tc>
      </w:tr>
    </w:tbl>
    <w:p>
      <w:pPr>
        <w:pStyle w:val="56"/>
        <w:ind w:firstLine="480"/>
        <w:rPr>
          <w:rFonts w:hint="default" w:cs="Times New Roman"/>
          <w:color w:val="auto"/>
          <w:highlight w:val="none"/>
          <w:lang w:val="en-US" w:eastAsia="zh-CN"/>
        </w:rPr>
      </w:pPr>
    </w:p>
    <w:p>
      <w:pPr>
        <w:pStyle w:val="66"/>
        <w:ind w:firstLine="148"/>
        <w:rPr>
          <w:rFonts w:hint="default" w:ascii="Times New Roman" w:hAnsi="Times New Roman" w:cs="Times New Roman"/>
          <w:color w:val="auto"/>
          <w:highlight w:val="none"/>
        </w:rPr>
      </w:pPr>
      <w:bookmarkStart w:id="75" w:name="_Toc8465"/>
      <w:r>
        <w:rPr>
          <w:rFonts w:hint="default" w:ascii="Times New Roman" w:hAnsi="Times New Roman" w:cs="Times New Roman"/>
          <w:color w:val="auto"/>
          <w:highlight w:val="none"/>
        </w:rPr>
        <w:t>2.2 施工组织</w:t>
      </w:r>
      <w:bookmarkEnd w:id="75"/>
    </w:p>
    <w:p>
      <w:pPr>
        <w:pStyle w:val="69"/>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 xml:space="preserve">2.2.1 </w:t>
      </w:r>
      <w:r>
        <w:rPr>
          <w:rFonts w:hint="eastAsia" w:cs="Times New Roman"/>
          <w:color w:val="auto"/>
          <w:highlight w:val="none"/>
          <w:lang w:eastAsia="zh-CN"/>
        </w:rPr>
        <w:t>施工生产生活区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根据项目区筑路材料与构造物的分布、地形、地物情况，结合考虑环境保护要求、施工组织等因素</w:t>
      </w:r>
      <w:r>
        <w:rPr>
          <w:rFonts w:hint="eastAsia" w:cs="Times New Roman"/>
          <w:color w:val="auto"/>
          <w:highlight w:val="none"/>
          <w:lang w:eastAsia="zh-CN"/>
        </w:rPr>
        <w:t>，</w:t>
      </w:r>
      <w:r>
        <w:rPr>
          <w:rFonts w:hint="default" w:ascii="Times New Roman" w:hAnsi="Times New Roman" w:cs="Times New Roman"/>
          <w:color w:val="auto"/>
          <w:highlight w:val="none"/>
        </w:rPr>
        <w:t>主体在项目区</w:t>
      </w:r>
      <w:r>
        <w:rPr>
          <w:rFonts w:hint="eastAsia" w:cs="Times New Roman"/>
          <w:color w:val="auto"/>
          <w:highlight w:val="none"/>
          <w:lang w:eastAsia="zh-CN"/>
        </w:rPr>
        <w:t>东</w:t>
      </w:r>
      <w:r>
        <w:rPr>
          <w:rFonts w:hint="default" w:ascii="Times New Roman" w:hAnsi="Times New Roman" w:cs="Times New Roman"/>
          <w:color w:val="auto"/>
          <w:highlight w:val="none"/>
        </w:rPr>
        <w:t>侧</w:t>
      </w:r>
      <w:r>
        <w:rPr>
          <w:rFonts w:hint="eastAsia" w:cs="Times New Roman"/>
          <w:color w:val="auto"/>
          <w:highlight w:val="none"/>
          <w:lang w:eastAsia="zh-CN"/>
        </w:rPr>
        <w:t>预留空地上</w:t>
      </w:r>
      <w:r>
        <w:rPr>
          <w:rFonts w:hint="default" w:ascii="Times New Roman" w:hAnsi="Times New Roman" w:cs="Times New Roman"/>
          <w:color w:val="auto"/>
          <w:highlight w:val="none"/>
        </w:rPr>
        <w:t>布设1处</w:t>
      </w:r>
      <w:r>
        <w:rPr>
          <w:rFonts w:hint="eastAsia" w:cs="Times New Roman"/>
          <w:color w:val="auto"/>
          <w:highlight w:val="none"/>
          <w:lang w:eastAsia="zh-CN"/>
        </w:rPr>
        <w:t>施工生产生活区</w:t>
      </w:r>
      <w:r>
        <w:rPr>
          <w:rFonts w:hint="default" w:ascii="Times New Roman" w:hAnsi="Times New Roman" w:cs="Times New Roman"/>
          <w:color w:val="auto"/>
          <w:highlight w:val="none"/>
        </w:rPr>
        <w:t>，包括</w:t>
      </w:r>
      <w:r>
        <w:rPr>
          <w:rFonts w:hint="eastAsia" w:cs="Times New Roman"/>
          <w:color w:val="auto"/>
          <w:highlight w:val="none"/>
          <w:lang w:eastAsia="zh-CN"/>
        </w:rPr>
        <w:t>施工生产区、综合加工厂、综合仓库、混凝土搅拌站</w:t>
      </w:r>
      <w:r>
        <w:rPr>
          <w:rFonts w:hint="default" w:ascii="Times New Roman" w:hAnsi="Times New Roman" w:cs="Times New Roman"/>
          <w:color w:val="auto"/>
          <w:highlight w:val="none"/>
        </w:rPr>
        <w:t>。</w:t>
      </w:r>
      <w:r>
        <w:rPr>
          <w:rFonts w:hint="eastAsia" w:cs="Times New Roman"/>
          <w:color w:val="auto"/>
          <w:highlight w:val="none"/>
          <w:lang w:eastAsia="zh-CN"/>
        </w:rPr>
        <w:t>施工生产生活区</w:t>
      </w:r>
      <w:r>
        <w:rPr>
          <w:rFonts w:hint="default" w:ascii="Times New Roman" w:hAnsi="Times New Roman" w:cs="Times New Roman"/>
          <w:color w:val="auto"/>
          <w:highlight w:val="none"/>
        </w:rPr>
        <w:t>占地共计0.</w:t>
      </w:r>
      <w:r>
        <w:rPr>
          <w:rFonts w:hint="eastAsia" w:cs="Times New Roman"/>
          <w:color w:val="auto"/>
          <w:highlight w:val="none"/>
          <w:lang w:val="en-US" w:eastAsia="zh-CN"/>
        </w:rPr>
        <w:t>46</w:t>
      </w:r>
      <w:r>
        <w:rPr>
          <w:rFonts w:hint="default" w:ascii="Times New Roman" w:hAnsi="Times New Roman" w:cs="Times New Roman"/>
          <w:color w:val="auto"/>
          <w:highlight w:val="none"/>
        </w:rPr>
        <w:t>hm²，为临时占地，</w:t>
      </w:r>
      <w:r>
        <w:rPr>
          <w:rFonts w:hint="eastAsia" w:cs="Times New Roman"/>
          <w:color w:val="auto"/>
          <w:highlight w:val="none"/>
          <w:lang w:val="en-US" w:eastAsia="zh-CN"/>
        </w:rPr>
        <w:t>建筑面积 2550m</w:t>
      </w:r>
      <w:r>
        <w:rPr>
          <w:rFonts w:hint="eastAsia" w:cs="Times New Roman"/>
          <w:color w:val="auto"/>
          <w:highlight w:val="none"/>
          <w:vertAlign w:val="superscript"/>
          <w:lang w:val="en-US" w:eastAsia="zh-CN"/>
        </w:rPr>
        <w:t>2</w:t>
      </w:r>
      <w:r>
        <w:rPr>
          <w:rFonts w:hint="eastAsia" w:cs="Times New Roman"/>
          <w:color w:val="auto"/>
          <w:highlight w:val="none"/>
          <w:vertAlign w:val="baseline"/>
          <w:lang w:val="en-US" w:eastAsia="zh-CN"/>
        </w:rPr>
        <w:t>，所有建筑物均为一层临时集装箱房。施工生产生活区内南侧布置生活区，北侧布置生产区，</w:t>
      </w:r>
      <w:r>
        <w:rPr>
          <w:rFonts w:hint="eastAsia" w:cs="Times New Roman"/>
          <w:color w:val="auto"/>
          <w:highlight w:val="none"/>
          <w:lang w:val="en-US" w:eastAsia="zh-CN"/>
        </w:rPr>
        <w:t>生活区靠近仓库，远离混凝土搅拌站。</w:t>
      </w:r>
    </w:p>
    <w:p>
      <w:pPr>
        <w:pStyle w:val="56"/>
        <w:spacing w:line="360" w:lineRule="auto"/>
        <w:ind w:firstLine="480"/>
        <w:rPr>
          <w:rFonts w:hint="default" w:ascii="Times New Roman" w:hAnsi="Times New Roman" w:cs="Times New Roman"/>
          <w:b/>
          <w:bCs/>
          <w:snapToGrid/>
          <w:color w:val="auto"/>
          <w:kern w:val="2"/>
          <w:sz w:val="28"/>
          <w:szCs w:val="32"/>
          <w:highlight w:val="none"/>
        </w:rPr>
      </w:pPr>
      <w:r>
        <w:rPr>
          <w:rFonts w:hint="default" w:ascii="Times New Roman" w:hAnsi="Times New Roman" w:cs="Times New Roman"/>
          <w:b/>
          <w:bCs/>
          <w:snapToGrid/>
          <w:color w:val="auto"/>
          <w:kern w:val="2"/>
          <w:sz w:val="28"/>
          <w:szCs w:val="32"/>
          <w:highlight w:val="none"/>
        </w:rPr>
        <w:t>2.2.2 施工道路</w:t>
      </w:r>
    </w:p>
    <w:p>
      <w:pPr>
        <w:pStyle w:val="56"/>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本项目距</w:t>
      </w:r>
      <w:r>
        <w:rPr>
          <w:rFonts w:hint="eastAsia" w:cs="Times New Roman"/>
          <w:color w:val="auto"/>
          <w:highlight w:val="none"/>
          <w:lang w:eastAsia="zh-CN"/>
        </w:rPr>
        <w:t>哈密市中心</w:t>
      </w:r>
      <w:r>
        <w:rPr>
          <w:rFonts w:hint="default" w:ascii="Times New Roman" w:hAnsi="Times New Roman" w:cs="Times New Roman"/>
          <w:color w:val="auto"/>
          <w:highlight w:val="none"/>
          <w:lang w:eastAsia="zh-CN"/>
        </w:rPr>
        <w:t>约</w:t>
      </w:r>
      <w:r>
        <w:rPr>
          <w:rFonts w:hint="eastAsia" w:cs="Times New Roman"/>
          <w:color w:val="auto"/>
          <w:highlight w:val="none"/>
          <w:lang w:val="en-US" w:eastAsia="zh-CN"/>
        </w:rPr>
        <w:t>20</w:t>
      </w:r>
      <w:r>
        <w:rPr>
          <w:rFonts w:hint="default" w:ascii="Times New Roman" w:hAnsi="Times New Roman" w:cs="Times New Roman"/>
          <w:color w:val="auto"/>
          <w:highlight w:val="none"/>
        </w:rPr>
        <w:t>km</w:t>
      </w:r>
      <w:r>
        <w:rPr>
          <w:rFonts w:hint="eastAsia" w:cs="Times New Roman"/>
          <w:color w:val="auto"/>
          <w:highlight w:val="none"/>
          <w:lang w:eastAsia="zh-CN"/>
        </w:rPr>
        <w:t>，</w:t>
      </w:r>
      <w:r>
        <w:rPr>
          <w:rFonts w:hint="default" w:ascii="Times New Roman" w:hAnsi="Times New Roman" w:cs="Times New Roman"/>
          <w:color w:val="auto"/>
          <w:highlight w:val="none"/>
        </w:rPr>
        <w:t xml:space="preserve">S303省道和 </w:t>
      </w:r>
      <w:r>
        <w:rPr>
          <w:rFonts w:hint="eastAsia" w:cs="Times New Roman"/>
          <w:color w:val="auto"/>
          <w:highlight w:val="none"/>
          <w:lang w:eastAsia="zh-CN"/>
        </w:rPr>
        <w:t>Z504公路</w:t>
      </w:r>
      <w:r>
        <w:rPr>
          <w:rFonts w:hint="default" w:ascii="Times New Roman" w:hAnsi="Times New Roman" w:cs="Times New Roman"/>
          <w:color w:val="auto"/>
          <w:highlight w:val="none"/>
        </w:rPr>
        <w:t>分别从场址的东</w:t>
      </w:r>
      <w:r>
        <w:rPr>
          <w:rFonts w:hint="eastAsia" w:cs="Times New Roman"/>
          <w:color w:val="auto"/>
          <w:highlight w:val="none"/>
          <w:lang w:eastAsia="zh-CN"/>
        </w:rPr>
        <w:t>侧</w:t>
      </w:r>
      <w:r>
        <w:rPr>
          <w:rFonts w:hint="eastAsia" w:cs="Times New Roman"/>
          <w:color w:val="auto"/>
          <w:highlight w:val="none"/>
          <w:lang w:val="en-US" w:eastAsia="zh-CN"/>
        </w:rPr>
        <w:t>4km和</w:t>
      </w:r>
      <w:r>
        <w:rPr>
          <w:rFonts w:hint="default" w:ascii="Times New Roman" w:hAnsi="Times New Roman" w:cs="Times New Roman"/>
          <w:color w:val="auto"/>
          <w:highlight w:val="none"/>
        </w:rPr>
        <w:t>西侧</w:t>
      </w:r>
      <w:r>
        <w:rPr>
          <w:rFonts w:hint="eastAsia" w:cs="Times New Roman"/>
          <w:color w:val="auto"/>
          <w:highlight w:val="none"/>
          <w:lang w:val="en-US" w:eastAsia="zh-CN"/>
        </w:rPr>
        <w:t>2km</w:t>
      </w:r>
      <w:r>
        <w:rPr>
          <w:rFonts w:hint="default" w:ascii="Times New Roman" w:hAnsi="Times New Roman" w:cs="Times New Roman"/>
          <w:color w:val="auto"/>
          <w:highlight w:val="none"/>
        </w:rPr>
        <w:t>通过，交通条件较为便利</w:t>
      </w:r>
      <w:r>
        <w:rPr>
          <w:rFonts w:hint="eastAsia" w:cs="Times New Roman"/>
          <w:color w:val="auto"/>
          <w:highlight w:val="none"/>
          <w:lang w:eastAsia="zh-CN"/>
        </w:rPr>
        <w:t>，</w:t>
      </w:r>
      <w:r>
        <w:rPr>
          <w:rFonts w:hint="default" w:ascii="Times New Roman" w:hAnsi="Times New Roman" w:cs="Times New Roman"/>
          <w:color w:val="auto"/>
          <w:highlight w:val="none"/>
        </w:rPr>
        <w:t>运输方便。本项目建设期间仅建设</w:t>
      </w:r>
      <w:r>
        <w:rPr>
          <w:rFonts w:hint="eastAsia" w:cs="Times New Roman"/>
          <w:color w:val="auto"/>
          <w:highlight w:val="none"/>
          <w:lang w:val="en-US" w:eastAsia="zh-CN"/>
        </w:rPr>
        <w:t>5</w:t>
      </w:r>
      <w:r>
        <w:rPr>
          <w:rFonts w:hint="default" w:ascii="Times New Roman" w:hAnsi="Times New Roman" w:cs="Times New Roman"/>
          <w:color w:val="auto"/>
          <w:highlight w:val="none"/>
        </w:rPr>
        <w:t>0m进场道路，道路宽6.0m为砂砾石路面作为临时施工道路，建设完成后平整恢复，</w:t>
      </w:r>
      <w:r>
        <w:rPr>
          <w:rFonts w:hint="eastAsia" w:cs="Times New Roman"/>
          <w:color w:val="auto"/>
          <w:highlight w:val="none"/>
          <w:lang w:eastAsia="zh-CN"/>
        </w:rPr>
        <w:t>并在此基础上修建长</w:t>
      </w:r>
      <w:r>
        <w:rPr>
          <w:rFonts w:hint="eastAsia" w:cs="Times New Roman"/>
          <w:color w:val="auto"/>
          <w:highlight w:val="none"/>
          <w:lang w:val="en-US" w:eastAsia="zh-CN"/>
        </w:rPr>
        <w:t>50m，宽6m，混凝土路面的永久性进场道路垂直接入工业园区路网</w:t>
      </w:r>
      <w:r>
        <w:rPr>
          <w:rFonts w:hint="default" w:ascii="Times New Roman" w:hAnsi="Times New Roman" w:cs="Times New Roman"/>
          <w:color w:val="auto"/>
          <w:highlight w:val="none"/>
        </w:rPr>
        <w:t>。</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2.2.3 施工用水、用电</w:t>
      </w:r>
    </w:p>
    <w:p>
      <w:pPr>
        <w:pStyle w:val="56"/>
        <w:numPr>
          <w:ilvl w:val="-1"/>
          <w:numId w:val="0"/>
        </w:numPr>
        <w:ind w:firstLine="480"/>
        <w:rPr>
          <w:rFonts w:hint="default" w:ascii="Times New Roman" w:hAnsi="Times New Roman" w:cs="Times New Roman"/>
          <w:color w:val="auto"/>
          <w:highlight w:val="none"/>
        </w:rPr>
      </w:pPr>
      <w:r>
        <w:rPr>
          <w:rFonts w:hint="eastAsia" w:cs="Times New Roman"/>
          <w:color w:val="auto"/>
          <w:highlight w:val="none"/>
          <w:lang w:eastAsia="zh-CN"/>
        </w:rPr>
        <w:t>用水：本项目</w:t>
      </w:r>
      <w:r>
        <w:rPr>
          <w:rFonts w:hint="default" w:ascii="Times New Roman" w:hAnsi="Times New Roman" w:cs="Times New Roman"/>
          <w:color w:val="auto"/>
          <w:highlight w:val="none"/>
        </w:rPr>
        <w:t>施工期生产用水均引自园区给水管网</w:t>
      </w:r>
      <w:r>
        <w:rPr>
          <w:rFonts w:hint="eastAsia" w:cs="Times New Roman"/>
          <w:color w:val="auto"/>
          <w:highlight w:val="none"/>
          <w:lang w:eastAsia="zh-CN"/>
        </w:rPr>
        <w:t>；</w:t>
      </w:r>
      <w:r>
        <w:rPr>
          <w:rFonts w:hint="default" w:ascii="Times New Roman" w:hAnsi="Times New Roman" w:cs="Times New Roman"/>
          <w:color w:val="auto"/>
          <w:highlight w:val="none"/>
        </w:rPr>
        <w:t>施工高峰日用水量为150m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eastAsia="zh-CN"/>
        </w:rPr>
        <w:t>；</w:t>
      </w:r>
      <w:r>
        <w:rPr>
          <w:rFonts w:hint="default" w:ascii="Times New Roman" w:hAnsi="Times New Roman" w:cs="Times New Roman"/>
          <w:color w:val="auto"/>
          <w:highlight w:val="none"/>
        </w:rPr>
        <w:t>工程</w:t>
      </w:r>
      <w:r>
        <w:rPr>
          <w:rFonts w:hint="eastAsia" w:cs="Times New Roman"/>
          <w:color w:val="auto"/>
          <w:highlight w:val="none"/>
          <w:lang w:eastAsia="zh-CN"/>
        </w:rPr>
        <w:t>运行期</w:t>
      </w:r>
      <w:r>
        <w:rPr>
          <w:rFonts w:hint="default" w:ascii="Times New Roman" w:hAnsi="Times New Roman" w:cs="Times New Roman"/>
          <w:color w:val="auto"/>
          <w:highlight w:val="none"/>
        </w:rPr>
        <w:t>生活用水、浇洒道路用水和冲洗电池组件用水</w:t>
      </w:r>
      <w:r>
        <w:rPr>
          <w:rFonts w:hint="eastAsia" w:cs="Times New Roman"/>
          <w:color w:val="auto"/>
          <w:highlight w:val="none"/>
          <w:lang w:eastAsia="zh-CN"/>
        </w:rPr>
        <w:t>均</w:t>
      </w:r>
      <w:r>
        <w:rPr>
          <w:rFonts w:hint="default" w:ascii="Times New Roman" w:hAnsi="Times New Roman" w:cs="Times New Roman"/>
          <w:color w:val="auto"/>
          <w:highlight w:val="none"/>
        </w:rPr>
        <w:t>引自园区给水管网</w:t>
      </w:r>
      <w:r>
        <w:rPr>
          <w:rFonts w:hint="eastAsia" w:cs="Times New Roman"/>
          <w:color w:val="auto"/>
          <w:highlight w:val="none"/>
          <w:lang w:eastAsia="zh-CN"/>
        </w:rPr>
        <w:t>，</w:t>
      </w:r>
      <w:r>
        <w:rPr>
          <w:rFonts w:hint="default" w:ascii="Times New Roman" w:hAnsi="Times New Roman" w:cs="Times New Roman"/>
          <w:color w:val="auto"/>
          <w:highlight w:val="none"/>
        </w:rPr>
        <w:t>年总用水量为4497.17m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p>
    <w:p>
      <w:pPr>
        <w:pStyle w:val="56"/>
        <w:numPr>
          <w:ilvl w:val="-1"/>
          <w:numId w:val="0"/>
        </w:numPr>
        <w:ind w:firstLine="480"/>
        <w:rPr>
          <w:rFonts w:hint="default" w:ascii="Times New Roman" w:hAnsi="Times New Roman" w:cs="Times New Roman"/>
          <w:color w:val="auto"/>
          <w:highlight w:val="none"/>
        </w:rPr>
      </w:pPr>
      <w:r>
        <w:rPr>
          <w:rFonts w:hint="eastAsia" w:cs="Times New Roman"/>
          <w:color w:val="auto"/>
          <w:highlight w:val="none"/>
          <w:lang w:eastAsia="zh-CN"/>
        </w:rPr>
        <w:t>用电：</w:t>
      </w:r>
      <w:r>
        <w:rPr>
          <w:rFonts w:hint="default" w:ascii="Times New Roman" w:hAnsi="Times New Roman" w:cs="Times New Roman"/>
          <w:color w:val="auto"/>
          <w:highlight w:val="none"/>
        </w:rPr>
        <w:t xml:space="preserve"> 本工程施工用电电源引自园区10kV厂用电供电系统，沿光伏电站进场道路布置线路，各标段施工单位由该线路接入各自施工区域</w:t>
      </w:r>
      <w:r>
        <w:rPr>
          <w:rFonts w:hint="eastAsia" w:cs="Times New Roman"/>
          <w:color w:val="auto"/>
          <w:highlight w:val="none"/>
          <w:lang w:eastAsia="zh-CN"/>
        </w:rPr>
        <w:t>，</w:t>
      </w:r>
      <w:r>
        <w:rPr>
          <w:rFonts w:hint="default" w:ascii="Times New Roman" w:hAnsi="Times New Roman" w:cs="Times New Roman"/>
          <w:color w:val="auto"/>
          <w:highlight w:val="none"/>
        </w:rPr>
        <w:t>工程高峰期施工用电负荷约为250kW</w:t>
      </w:r>
      <w:r>
        <w:rPr>
          <w:rFonts w:hint="eastAsia" w:cs="Times New Roman"/>
          <w:color w:val="auto"/>
          <w:highlight w:val="none"/>
          <w:lang w:eastAsia="zh-CN"/>
        </w:rPr>
        <w:t>；项目</w:t>
      </w:r>
      <w:r>
        <w:rPr>
          <w:rFonts w:hint="default" w:ascii="Times New Roman" w:hAnsi="Times New Roman" w:cs="Times New Roman"/>
          <w:color w:val="auto"/>
          <w:highlight w:val="none"/>
        </w:rPr>
        <w:t>运行期</w:t>
      </w:r>
      <w:r>
        <w:rPr>
          <w:rFonts w:hint="eastAsia" w:cs="Times New Roman"/>
          <w:color w:val="auto"/>
          <w:highlight w:val="none"/>
          <w:lang w:eastAsia="zh-CN"/>
        </w:rPr>
        <w:t>场内用电</w:t>
      </w:r>
      <w:r>
        <w:rPr>
          <w:rFonts w:hint="default" w:ascii="Times New Roman" w:hAnsi="Times New Roman" w:cs="Times New Roman"/>
          <w:color w:val="auto"/>
          <w:highlight w:val="none"/>
        </w:rPr>
        <w:t>引自本期35kV母线上的站用变压器。</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2.2.4 取土（石、砂）场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本项目建设所需的混凝土砂砾石拌合料从周边合法商品料场购买，其水土保持责任由砂砾石料厂承担，不设置专用料场。</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2.2.5 弃土（石、渣）场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原场地较为平整，因此本工程建设期间挖方均用于后期回填，无永久弃方，未设置永久弃渣场地。同时后期运行期间生活垃圾统一收集后送至就近垃圾中转站，后由环卫部门统一处置，因此本项目未设置弃渣场。</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2.2.6 材料供应</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本工程施工过程中需要的建筑材料主要包括：水泥、钢材、木材、油料等。材料来源如下：</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水泥、钢材、木材等从</w:t>
      </w:r>
      <w:r>
        <w:rPr>
          <w:rFonts w:hint="eastAsia" w:cs="Times New Roman"/>
          <w:color w:val="auto"/>
          <w:highlight w:val="none"/>
          <w:lang w:eastAsia="zh-CN"/>
        </w:rPr>
        <w:t>哈密市</w:t>
      </w:r>
      <w:r>
        <w:rPr>
          <w:rFonts w:hint="default" w:ascii="Times New Roman" w:hAnsi="Times New Roman" w:cs="Times New Roman"/>
          <w:color w:val="auto"/>
          <w:highlight w:val="none"/>
        </w:rPr>
        <w:t>建材市场采购，运距</w:t>
      </w:r>
      <w:r>
        <w:rPr>
          <w:rFonts w:hint="eastAsia" w:cs="Times New Roman"/>
          <w:color w:val="auto"/>
          <w:highlight w:val="none"/>
          <w:lang w:val="en-US" w:eastAsia="zh-CN"/>
        </w:rPr>
        <w:t>20</w:t>
      </w:r>
      <w:r>
        <w:rPr>
          <w:rFonts w:hint="default" w:ascii="Times New Roman" w:hAnsi="Times New Roman" w:cs="Times New Roman"/>
          <w:color w:val="auto"/>
          <w:highlight w:val="none"/>
        </w:rPr>
        <w:t>km左右；油料、生活用品等从</w:t>
      </w:r>
      <w:r>
        <w:rPr>
          <w:rFonts w:hint="eastAsia" w:cs="Times New Roman"/>
          <w:color w:val="auto"/>
          <w:highlight w:val="none"/>
          <w:lang w:eastAsia="zh-CN"/>
        </w:rPr>
        <w:t>哈密市</w:t>
      </w:r>
      <w:r>
        <w:rPr>
          <w:rFonts w:hint="default" w:ascii="Times New Roman" w:hAnsi="Times New Roman" w:cs="Times New Roman"/>
          <w:color w:val="auto"/>
          <w:highlight w:val="none"/>
        </w:rPr>
        <w:t>购买，运距约</w:t>
      </w:r>
      <w:r>
        <w:rPr>
          <w:rFonts w:hint="eastAsia" w:cs="Times New Roman"/>
          <w:color w:val="auto"/>
          <w:highlight w:val="none"/>
          <w:lang w:val="en-US" w:eastAsia="zh-CN"/>
        </w:rPr>
        <w:t>20</w:t>
      </w:r>
      <w:r>
        <w:rPr>
          <w:rFonts w:hint="default" w:ascii="Times New Roman" w:hAnsi="Times New Roman" w:cs="Times New Roman"/>
          <w:color w:val="auto"/>
          <w:highlight w:val="none"/>
        </w:rPr>
        <w:t>km左右。</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2.2.7 施工方法与施工工艺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本项目的各工程主要以机械化施工为主，辅以人工施工。其主要项目与水土流失有关的施工如下：</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（1）各区建筑物基础开挖回填</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本项目建构筑物基础形式</w:t>
      </w:r>
      <w:r>
        <w:rPr>
          <w:rFonts w:hint="default" w:ascii="Times New Roman" w:hAnsi="Times New Roman" w:cs="Times New Roman"/>
          <w:color w:val="auto"/>
          <w:highlight w:val="none"/>
          <w:lang w:eastAsia="zh-CN"/>
        </w:rPr>
        <w:t>主要为独立基础，</w:t>
      </w:r>
      <w:r>
        <w:rPr>
          <w:rFonts w:hint="default" w:ascii="Times New Roman" w:hAnsi="Times New Roman" w:cs="Times New Roman"/>
          <w:color w:val="auto"/>
          <w:highlight w:val="none"/>
        </w:rPr>
        <w:t>按照建筑占地采取整体开挖方式，开挖土方临时堆置在基坑周边，后期回填利用。</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（2）管线开挖回填</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建设过程中道路、管线统一规划，综合布设。各种工程管线尽量同步建设，避免重复开挖去、敷设，以减少地表扰动，加快施工进度。</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工程区内管线</w:t>
      </w:r>
      <w:r>
        <w:rPr>
          <w:rFonts w:hint="default" w:ascii="Times New Roman" w:hAnsi="Times New Roman" w:cs="Times New Roman"/>
          <w:color w:val="auto"/>
          <w:highlight w:val="none"/>
          <w:lang w:eastAsia="zh-CN"/>
        </w:rPr>
        <w:t>为</w:t>
      </w:r>
      <w:r>
        <w:rPr>
          <w:rFonts w:hint="default" w:ascii="Times New Roman" w:hAnsi="Times New Roman" w:cs="Times New Roman"/>
          <w:color w:val="auto"/>
          <w:highlight w:val="none"/>
        </w:rPr>
        <w:t>电缆</w:t>
      </w:r>
      <w:r>
        <w:rPr>
          <w:rFonts w:hint="default" w:ascii="Times New Roman" w:hAnsi="Times New Roman" w:cs="Times New Roman"/>
          <w:color w:val="auto"/>
          <w:highlight w:val="none"/>
          <w:lang w:eastAsia="zh-CN"/>
        </w:rPr>
        <w:t>管线</w:t>
      </w:r>
      <w:r>
        <w:rPr>
          <w:rFonts w:hint="default" w:ascii="Times New Roman" w:hAnsi="Times New Roman" w:cs="Times New Roman"/>
          <w:color w:val="auto"/>
          <w:highlight w:val="none"/>
        </w:rPr>
        <w:t>。管线开挖的土石方临时对于管沟一侧。管沟开挖一般采用分段施工，上一段建设结束后才开展下一段的施工，减少开挖量</w:t>
      </w:r>
      <w:r>
        <w:rPr>
          <w:rFonts w:hint="default" w:ascii="Times New Roman" w:hAnsi="Times New Roman" w:cs="Times New Roman"/>
          <w:color w:val="auto"/>
          <w:highlight w:val="none"/>
          <w:lang w:eastAsia="zh-CN"/>
        </w:rPr>
        <w:t>与堆放量</w:t>
      </w:r>
      <w:r>
        <w:rPr>
          <w:rFonts w:hint="default" w:ascii="Times New Roman" w:hAnsi="Times New Roman" w:cs="Times New Roman"/>
          <w:color w:val="auto"/>
          <w:highlight w:val="none"/>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管道埋设均沿道路铺设，管线采用大开挖施工，开挖后及时回填，根据基础情况，开挖宽度按一定的边坡与管径之和开挖，管道沟槽在开挖时，采取分段开挖的方式进行施工，管道沟槽采用机械开挖的形式进行施工，基坑开挖至设计标高0.10m时，由人工清理至设计标高。开挖时沟槽开挖成梯形，具体边坡根据开挖段土质情况确定。开挖土方临时堆置在开挖管沟一侧。</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回填期间直接利用管沟开挖土方，开挖土方堆置在管沟另一侧，用于管沟回填，不再外购土石方以及垫层料。管道基础需较为平整，管道回填土要求槽底至管顶以上500mm范围内，土中不得含有机物、冻土以及大于50mm的砖、石等硬块；在抹带接口处、防腐绝缘层，应采用细粒土回填，并符合规范要求规定。</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（3）道路施工</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前期利用施工机械对场地平整碾压后作为场内临时施工道路使用，在建筑物施工完成后平整压实，达到一定压实度后，采取硬化处理，作为项目区道路工程区使用。待项目区主体基本完成后，再进行道路的平整、压实。</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（4）光伏电池组件支架基础</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施工电池组件支架基础施工包括基坑钻孔、浇筑混凝土、回填夯实施工。</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桩位放线：工程开工建设前，根据设计图纸提供的坐标，用全站仪放出每个组件支架基础的平面位置和高程控制点，将其向两侧引出50cm。然后采用挂铅丝控制每个组件支架基础的纵横轴线，水准仪控制每个组件支架基础的高程。</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造孔设备：根据施工现场的地质条件选用汽油机驱动螺旋钻造孔。造孔设备就位后，必须保证造孔平台平稳，并对桩心进行复核，确保桩中心准确无误后，调整造孔设备使中心与桩中心一致，并对水平和垂直度进行复核。</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3）桩位造孔：</w:t>
      </w:r>
      <w:r>
        <w:rPr>
          <w:rFonts w:hint="default" w:ascii="Times New Roman" w:hAnsi="Times New Roman" w:eastAsia="宋体" w:cs="Times New Roman"/>
          <w:color w:val="auto"/>
          <w:highlight w:val="none"/>
        </w:rPr>
        <w:t>①</w:t>
      </w:r>
      <w:r>
        <w:rPr>
          <w:rFonts w:hint="default" w:ascii="Times New Roman" w:hAnsi="Times New Roman" w:cs="Times New Roman"/>
          <w:color w:val="auto"/>
          <w:highlight w:val="none"/>
        </w:rPr>
        <w:t>准备：为了避免在沙地中造孔出现塌孔，在造孔前1h对孔周围进行浸水，保证砂土湿润固结，以便增加成孔率。</w:t>
      </w:r>
      <w:r>
        <w:rPr>
          <w:rFonts w:hint="default" w:ascii="Times New Roman" w:hAnsi="Times New Roman" w:eastAsia="宋体" w:cs="Times New Roman"/>
          <w:color w:val="auto"/>
          <w:highlight w:val="none"/>
        </w:rPr>
        <w:t>②</w:t>
      </w:r>
      <w:r>
        <w:rPr>
          <w:rFonts w:hint="default" w:ascii="Times New Roman" w:hAnsi="Times New Roman" w:cs="Times New Roman"/>
          <w:color w:val="auto"/>
          <w:highlight w:val="none"/>
        </w:rPr>
        <w:t>造孔：造孔时将钻头的中心对准孔心，用垂球分别从不同的角度控制钻机的垂直度。待钻机校正垂直后，开始造孔。造孔过程中要严格控制其垂直度和深度，如发现孔斜或孔偏，及时进行校正，必要时进行扩孔。手扶式汽油机螺旋钻机造一个孔平均用时约为2min，2人操作1台手扶式汽油机螺旋钻机造孔日完成200根以上，如此约15人每天可完成1</w:t>
      </w:r>
      <w:r>
        <w:rPr>
          <w:rFonts w:hint="default" w:ascii="Times New Roman" w:hAnsi="Times New Roman" w:cs="Times New Roman"/>
          <w:color w:val="auto"/>
          <w:highlight w:val="none"/>
          <w:lang w:eastAsia="zh-CN"/>
        </w:rPr>
        <w:t>MWp</w:t>
      </w:r>
      <w:r>
        <w:rPr>
          <w:rFonts w:hint="default" w:ascii="Times New Roman" w:hAnsi="Times New Roman" w:cs="Times New Roman"/>
          <w:color w:val="auto"/>
          <w:highlight w:val="none"/>
        </w:rPr>
        <w:t>p光伏电站组件基础造孔工作。另外钻机造孔时对钻出的砂土应远离孔边，避免钻杆提出后周围砂土受震动影响塌入孔内，造成孔深不够。</w:t>
      </w:r>
      <w:r>
        <w:rPr>
          <w:rFonts w:hint="default" w:ascii="Times New Roman" w:hAnsi="Times New Roman" w:eastAsia="宋体" w:cs="Times New Roman"/>
          <w:color w:val="auto"/>
          <w:highlight w:val="none"/>
        </w:rPr>
        <w:t>③</w:t>
      </w:r>
      <w:r>
        <w:rPr>
          <w:rFonts w:hint="default" w:ascii="Times New Roman" w:hAnsi="Times New Roman" w:cs="Times New Roman"/>
          <w:color w:val="auto"/>
          <w:highlight w:val="none"/>
        </w:rPr>
        <w:t>清孔：桩孔钻至设计深度后，采用改装的人工清孔装置进行清孔，确保设计深度，并对孔底洒水湿重，同时下放套管并对该孔孔顶进行防护，避免风沙飞扬影响孔深，造成后期浇筑再次清孔。4）钢筋制安：首先，要对现场加工的钢筋笼进行逐节检查，重点检查主筋、螺旋筋的直径、长度、规格、数量和间距等必须符合设计要求；其次，钢筋笼采用小型工程车自钢筋加工厂拉运至现场，拉运过程中必须保证钢筋笼不受损伤变形，且在安装钢筋笼时应对钢筋笼二次检查，如发现钢筋笼变形，应进行现场调整；均符合要求后，钢筋笼由人工放入孔，避免碰撞孔壁，如遇阻碍，应立即查明原因，严禁强行冲击下放。钢筋笼安装位置应保证距离护壁套管2.5cm，如在浇筑过程中发现钢筋笼安装位置有偏移现象，应在浇筑过程中及时进行人工调整。</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5）混凝土浇筑：</w:t>
      </w:r>
      <w:r>
        <w:rPr>
          <w:rFonts w:hint="default" w:ascii="Times New Roman" w:hAnsi="Times New Roman" w:eastAsia="宋体" w:cs="Times New Roman"/>
          <w:color w:val="auto"/>
          <w:highlight w:val="none"/>
        </w:rPr>
        <w:t>①</w:t>
      </w:r>
      <w:r>
        <w:rPr>
          <w:rFonts w:hint="default" w:ascii="Times New Roman" w:hAnsi="Times New Roman" w:cs="Times New Roman"/>
          <w:color w:val="auto"/>
          <w:highlight w:val="none"/>
        </w:rPr>
        <w:t>混凝土拌和：混凝土采用JS350型的拌合机集中拌制，拌合机位于</w:t>
      </w:r>
      <w:r>
        <w:rPr>
          <w:rFonts w:hint="eastAsia" w:cs="Times New Roman"/>
          <w:color w:val="auto"/>
          <w:highlight w:val="none"/>
          <w:lang w:eastAsia="zh-CN"/>
        </w:rPr>
        <w:t>施工生产生活区</w:t>
      </w:r>
      <w:r>
        <w:rPr>
          <w:rFonts w:hint="default" w:ascii="Times New Roman" w:hAnsi="Times New Roman" w:cs="Times New Roman"/>
          <w:color w:val="auto"/>
          <w:highlight w:val="none"/>
        </w:rPr>
        <w:t>混凝土搅拌站内。拌和现场必须有经检验合格的称量器具，拌制时严格按照试验室已批复使用的施工配合比进行拌制，重点控制好混凝土中四种材料用量之间三个对比关系（水灰比、砂率和骨浆比）。拌制时间控制在3min左右，保证混凝土质量中的各项技术指标。</w:t>
      </w:r>
    </w:p>
    <w:p>
      <w:pPr>
        <w:pStyle w:val="56"/>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②</w:t>
      </w:r>
      <w:r>
        <w:rPr>
          <w:rFonts w:hint="default" w:ascii="Times New Roman" w:hAnsi="Times New Roman" w:cs="Times New Roman"/>
          <w:color w:val="auto"/>
          <w:highlight w:val="none"/>
        </w:rPr>
        <w:t>混凝土浇筑：组件支架灌注桩基础的混凝土采用拔管法浇筑方法，即地下部分混凝土充分振捣浇筑完毕后再行拔套管，确保地下灌注桩混凝土始终在套管里连续进行浇筑。地面外漏部分的桩柱采用壁厚不小于3mm的硬质PVC管做为模板继续进行浇筑，模板均为一次性投入，不允许周转。</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混凝土浇筑时每层铺料厚度控制在30cm以内；振捣采用φ30软轴插入式振捣器振捣，振捣时要求插入下层混凝土深度不小于5cm，且保证振捣深度达到孔底。振捣时间控制在15s~20s，振捣按要求快插慢拔。不允许有漏振和过振现象出现，以免降低混凝土强度，影响混凝土质量。组件基础灌注桩浇筑完成后，必须及时进行轴线及标高的复测，若发现超标，立即进行处理。</w:t>
      </w:r>
    </w:p>
    <w:p>
      <w:pPr>
        <w:pStyle w:val="56"/>
        <w:ind w:left="0" w:leftChars="0" w:firstLine="0" w:firstLineChars="0"/>
        <w:outlineLvl w:val="2"/>
        <w:rPr>
          <w:rFonts w:hint="default" w:ascii="Times New Roman" w:hAnsi="Times New Roman" w:eastAsia="仿宋_GB2312" w:cs="Times New Roman"/>
          <w:b/>
          <w:bCs/>
          <w:snapToGrid/>
          <w:color w:val="auto"/>
          <w:kern w:val="2"/>
          <w:sz w:val="28"/>
          <w:szCs w:val="32"/>
          <w:highlight w:val="none"/>
          <w:lang w:val="en-US" w:eastAsia="zh-CN" w:bidi="ar-SA"/>
        </w:rPr>
      </w:pPr>
      <w:r>
        <w:rPr>
          <w:rFonts w:hint="default" w:ascii="Times New Roman" w:hAnsi="Times New Roman" w:eastAsia="仿宋_GB2312" w:cs="Times New Roman"/>
          <w:b/>
          <w:bCs/>
          <w:snapToGrid/>
          <w:color w:val="auto"/>
          <w:kern w:val="2"/>
          <w:sz w:val="28"/>
          <w:szCs w:val="32"/>
          <w:highlight w:val="none"/>
          <w:lang w:val="en-US" w:eastAsia="zh-CN" w:bidi="ar-SA"/>
        </w:rPr>
        <w:t>2.2.8 光伏面板</w:t>
      </w:r>
      <w:r>
        <w:rPr>
          <w:rFonts w:hint="default" w:ascii="Times New Roman" w:hAnsi="Times New Roman" w:cs="Times New Roman"/>
          <w:b/>
          <w:bCs/>
          <w:snapToGrid/>
          <w:color w:val="auto"/>
          <w:kern w:val="2"/>
          <w:sz w:val="28"/>
          <w:szCs w:val="32"/>
          <w:highlight w:val="none"/>
          <w:lang w:val="en-US" w:eastAsia="zh-CN" w:bidi="ar-SA"/>
        </w:rPr>
        <w:t>的</w:t>
      </w:r>
      <w:r>
        <w:rPr>
          <w:rFonts w:hint="default" w:ascii="Times New Roman" w:hAnsi="Times New Roman" w:eastAsia="仿宋_GB2312" w:cs="Times New Roman"/>
          <w:b/>
          <w:bCs/>
          <w:snapToGrid/>
          <w:color w:val="auto"/>
          <w:kern w:val="2"/>
          <w:sz w:val="28"/>
          <w:szCs w:val="32"/>
          <w:highlight w:val="none"/>
          <w:lang w:val="en-US" w:eastAsia="zh-CN" w:bidi="ar-SA"/>
        </w:rPr>
        <w:t>清洗</w:t>
      </w:r>
    </w:p>
    <w:p>
      <w:pPr>
        <w:spacing w:line="360" w:lineRule="auto"/>
        <w:rPr>
          <w:rFonts w:hint="default" w:ascii="Times New Roman" w:hAnsi="Times New Roman" w:eastAsia="仿宋_GB2312" w:cs="Times New Roman"/>
          <w:snapToGrid w:val="0"/>
          <w:color w:val="auto"/>
          <w:kern w:val="24"/>
          <w:sz w:val="24"/>
          <w:szCs w:val="24"/>
          <w:highlight w:val="none"/>
          <w:lang w:val="en-US" w:eastAsia="zh-CN" w:bidi="ar-SA"/>
        </w:rPr>
      </w:pPr>
      <w:r>
        <w:rPr>
          <w:rFonts w:hint="default" w:ascii="Times New Roman" w:hAnsi="Times New Roman" w:eastAsia="仿宋_GB2312" w:cs="Times New Roman"/>
          <w:snapToGrid w:val="0"/>
          <w:color w:val="auto"/>
          <w:kern w:val="24"/>
          <w:sz w:val="24"/>
          <w:szCs w:val="24"/>
          <w:highlight w:val="none"/>
          <w:lang w:val="en-US" w:eastAsia="zh-CN" w:bidi="ar-SA"/>
        </w:rPr>
        <w:t>结合项目地气候特点和季节性天气条件，光伏阵列的光伏组件表面的清洗可分为定期清洗和不定期清洗。定期清洗一般每两个月进行一次。不定期清洗分为恶劣气候后的清洗和季节性清洗，恶劣气候分为大风或雨雪后的清洗，</w:t>
      </w:r>
    </w:p>
    <w:p>
      <w:pPr>
        <w:spacing w:line="360" w:lineRule="auto"/>
        <w:rPr>
          <w:rFonts w:hint="default" w:ascii="Times New Roman" w:hAnsi="Times New Roman" w:eastAsia="仿宋_GB2312" w:cs="Times New Roman"/>
          <w:snapToGrid w:val="0"/>
          <w:color w:val="auto"/>
          <w:kern w:val="24"/>
          <w:sz w:val="24"/>
          <w:szCs w:val="24"/>
          <w:highlight w:val="none"/>
          <w:lang w:val="en-US" w:eastAsia="zh-CN" w:bidi="ar-SA"/>
        </w:rPr>
      </w:pPr>
      <w:r>
        <w:rPr>
          <w:rFonts w:hint="default" w:ascii="Times New Roman" w:hAnsi="Times New Roman" w:eastAsia="仿宋_GB2312" w:cs="Times New Roman"/>
          <w:snapToGrid w:val="0"/>
          <w:color w:val="auto"/>
          <w:kern w:val="24"/>
          <w:sz w:val="24"/>
          <w:szCs w:val="24"/>
          <w:highlight w:val="none"/>
          <w:lang w:val="en-US" w:eastAsia="zh-CN" w:bidi="ar-SA"/>
        </w:rPr>
        <w:t>季节性清洗主要指春秋季位于候鸟迁徙线路下的发电区域，对候鸟粪便的清洗。在此季节应每天巡视，发现光伏组件被污染的应及时清洗。</w:t>
      </w:r>
    </w:p>
    <w:p>
      <w:pPr>
        <w:pStyle w:val="2"/>
        <w:pBdr>
          <w:top w:val="none" w:color="auto" w:sz="0" w:space="0"/>
          <w:left w:val="none" w:color="auto" w:sz="0" w:space="0"/>
          <w:bottom w:val="none" w:color="auto" w:sz="0" w:space="1"/>
          <w:right w:val="none" w:color="auto" w:sz="0" w:space="0"/>
          <w:between w:val="none" w:color="auto" w:sz="0" w:space="0"/>
        </w:pBdr>
        <w:jc w:val="both"/>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snapToGrid w:val="0"/>
          <w:color w:val="auto"/>
          <w:kern w:val="24"/>
          <w:sz w:val="24"/>
          <w:szCs w:val="24"/>
          <w:highlight w:val="none"/>
          <w:lang w:val="en-US" w:eastAsia="zh-CN" w:bidi="ar-SA"/>
        </w:rPr>
        <w:t>清洗水源来源为：</w:t>
      </w:r>
      <w:r>
        <w:rPr>
          <w:rFonts w:hint="eastAsia" w:eastAsia="仿宋_GB2312" w:cs="Times New Roman"/>
          <w:snapToGrid w:val="0"/>
          <w:color w:val="auto"/>
          <w:kern w:val="24"/>
          <w:sz w:val="24"/>
          <w:szCs w:val="24"/>
          <w:highlight w:val="none"/>
          <w:lang w:val="en-US" w:eastAsia="zh-CN" w:bidi="ar-SA"/>
        </w:rPr>
        <w:t>光伏面板清洗水源引自园区自来水网</w:t>
      </w:r>
      <w:r>
        <w:rPr>
          <w:rFonts w:hint="default" w:ascii="Times New Roman" w:hAnsi="Times New Roman" w:eastAsia="仿宋_GB2312" w:cs="Times New Roman"/>
          <w:snapToGrid w:val="0"/>
          <w:color w:val="auto"/>
          <w:kern w:val="24"/>
          <w:sz w:val="24"/>
          <w:szCs w:val="24"/>
          <w:highlight w:val="none"/>
          <w:lang w:val="en-US" w:eastAsia="zh-CN" w:bidi="ar-SA"/>
        </w:rPr>
        <w:t>。</w:t>
      </w:r>
    </w:p>
    <w:p>
      <w:pPr>
        <w:pStyle w:val="66"/>
        <w:ind w:firstLine="148"/>
        <w:rPr>
          <w:rFonts w:hint="default" w:ascii="Times New Roman" w:hAnsi="Times New Roman" w:cs="Times New Roman"/>
          <w:color w:val="auto"/>
          <w:highlight w:val="none"/>
        </w:rPr>
      </w:pPr>
      <w:bookmarkStart w:id="76" w:name="_Toc18784"/>
      <w:r>
        <w:rPr>
          <w:rFonts w:hint="default" w:ascii="Times New Roman" w:hAnsi="Times New Roman" w:cs="Times New Roman"/>
          <w:color w:val="auto"/>
          <w:highlight w:val="none"/>
        </w:rPr>
        <w:t>2.3 工程占地</w:t>
      </w:r>
      <w:bookmarkEnd w:id="76"/>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本项目主要由光伏发电区、道路工程区、</w:t>
      </w:r>
      <w:r>
        <w:rPr>
          <w:rFonts w:hint="eastAsia" w:cs="Times New Roman"/>
          <w:color w:val="auto"/>
          <w:highlight w:val="none"/>
          <w:lang w:eastAsia="zh-CN"/>
        </w:rPr>
        <w:t>运行管理</w:t>
      </w:r>
      <w:r>
        <w:rPr>
          <w:rFonts w:hint="default" w:ascii="Times New Roman" w:hAnsi="Times New Roman" w:cs="Times New Roman"/>
          <w:color w:val="auto"/>
          <w:highlight w:val="none"/>
        </w:rPr>
        <w:t>区以及</w:t>
      </w:r>
      <w:r>
        <w:rPr>
          <w:rFonts w:hint="eastAsia" w:cs="Times New Roman"/>
          <w:color w:val="auto"/>
          <w:highlight w:val="none"/>
          <w:lang w:eastAsia="zh-CN"/>
        </w:rPr>
        <w:t>施工生产生活区</w:t>
      </w:r>
      <w:r>
        <w:rPr>
          <w:rFonts w:hint="default" w:ascii="Times New Roman" w:hAnsi="Times New Roman" w:cs="Times New Roman"/>
          <w:color w:val="auto"/>
          <w:highlight w:val="none"/>
        </w:rPr>
        <w:t>组成。</w:t>
      </w:r>
      <w:r>
        <w:rPr>
          <w:rFonts w:hint="eastAsia" w:cs="Times New Roman"/>
          <w:color w:val="auto"/>
          <w:highlight w:val="none"/>
          <w:lang w:eastAsia="zh-CN"/>
        </w:rPr>
        <w:t>本</w:t>
      </w:r>
      <w:r>
        <w:rPr>
          <w:rFonts w:hint="default" w:ascii="Times New Roman" w:hAnsi="Times New Roman" w:cs="Times New Roman"/>
          <w:color w:val="auto"/>
          <w:highlight w:val="none"/>
        </w:rPr>
        <w:t>项目</w:t>
      </w:r>
      <w:r>
        <w:rPr>
          <w:rFonts w:hint="eastAsia" w:cs="Times New Roman"/>
          <w:color w:val="auto"/>
          <w:highlight w:val="none"/>
          <w:lang w:eastAsia="zh-CN"/>
        </w:rPr>
        <w:t>建设规划许可用地面积</w:t>
      </w:r>
      <w:r>
        <w:rPr>
          <w:rFonts w:hint="eastAsia" w:cs="Times New Roman"/>
          <w:color w:val="auto"/>
          <w:highlight w:val="none"/>
          <w:lang w:val="en-US" w:eastAsia="zh-CN"/>
        </w:rPr>
        <w:t>69</w:t>
      </w:r>
      <w:r>
        <w:rPr>
          <w:rFonts w:hint="default" w:ascii="Times New Roman" w:hAnsi="Times New Roman" w:cs="Times New Roman"/>
          <w:color w:val="auto"/>
          <w:highlight w:val="none"/>
        </w:rPr>
        <w:t>hm²，</w:t>
      </w:r>
      <w:r>
        <w:rPr>
          <w:rFonts w:hint="eastAsia" w:cs="Times New Roman"/>
          <w:color w:val="auto"/>
          <w:highlight w:val="none"/>
          <w:lang w:eastAsia="zh-CN"/>
        </w:rPr>
        <w:t>占地类型为公共设施用地，项目实际</w:t>
      </w:r>
      <w:r>
        <w:rPr>
          <w:rFonts w:hint="default" w:ascii="Times New Roman" w:hAnsi="Times New Roman" w:cs="Times New Roman"/>
          <w:color w:val="auto"/>
          <w:highlight w:val="none"/>
        </w:rPr>
        <w:t>建设总占地面积</w:t>
      </w:r>
      <w:r>
        <w:rPr>
          <w:rFonts w:hint="eastAsia" w:cs="Times New Roman"/>
          <w:color w:val="auto"/>
          <w:highlight w:val="none"/>
          <w:lang w:val="en-US" w:eastAsia="zh-CN"/>
        </w:rPr>
        <w:t>49.46</w:t>
      </w:r>
      <w:r>
        <w:rPr>
          <w:rFonts w:hint="default" w:ascii="Times New Roman" w:hAnsi="Times New Roman" w:cs="Times New Roman"/>
          <w:color w:val="auto"/>
          <w:highlight w:val="none"/>
        </w:rPr>
        <w:t>hm²，其中永久占地</w:t>
      </w:r>
      <w:r>
        <w:rPr>
          <w:rFonts w:hint="eastAsia" w:cs="Times New Roman"/>
          <w:color w:val="auto"/>
          <w:highlight w:val="none"/>
          <w:lang w:val="en-US" w:eastAsia="zh-CN"/>
        </w:rPr>
        <w:t>49</w:t>
      </w:r>
      <w:r>
        <w:rPr>
          <w:rFonts w:hint="default" w:ascii="Times New Roman" w:hAnsi="Times New Roman" w:cs="Times New Roman"/>
          <w:color w:val="auto"/>
          <w:highlight w:val="none"/>
        </w:rPr>
        <w:t>hm²，临时占地</w:t>
      </w:r>
      <w:r>
        <w:rPr>
          <w:rFonts w:hint="eastAsia" w:cs="Times New Roman"/>
          <w:color w:val="auto"/>
          <w:highlight w:val="none"/>
          <w:lang w:val="en-US" w:eastAsia="zh-CN"/>
        </w:rPr>
        <w:t>0.46</w:t>
      </w:r>
      <w:r>
        <w:rPr>
          <w:rFonts w:hint="default" w:ascii="Times New Roman" w:hAnsi="Times New Roman" w:cs="Times New Roman"/>
          <w:color w:val="auto"/>
          <w:highlight w:val="none"/>
        </w:rPr>
        <w:t>hm²，</w:t>
      </w:r>
      <w:r>
        <w:rPr>
          <w:rFonts w:hint="eastAsia" w:cs="Times New Roman"/>
          <w:color w:val="auto"/>
          <w:highlight w:val="none"/>
          <w:lang w:eastAsia="zh-CN"/>
        </w:rPr>
        <w:t>临时占地位于项目建设未使用的</w:t>
      </w:r>
      <w:r>
        <w:rPr>
          <w:rFonts w:hint="eastAsia" w:cs="Times New Roman"/>
          <w:color w:val="auto"/>
          <w:highlight w:val="none"/>
          <w:lang w:val="en-US" w:eastAsia="zh-CN"/>
        </w:rPr>
        <w:t>20</w:t>
      </w:r>
      <w:r>
        <w:rPr>
          <w:rFonts w:hint="default" w:ascii="Times New Roman" w:hAnsi="Times New Roman" w:cs="Times New Roman"/>
          <w:color w:val="auto"/>
          <w:highlight w:val="none"/>
        </w:rPr>
        <w:t>hm²</w:t>
      </w:r>
      <w:r>
        <w:rPr>
          <w:rFonts w:hint="eastAsia" w:cs="Times New Roman"/>
          <w:color w:val="auto"/>
          <w:highlight w:val="none"/>
          <w:lang w:eastAsia="zh-CN"/>
        </w:rPr>
        <w:t>空地内</w:t>
      </w:r>
      <w:r>
        <w:rPr>
          <w:rFonts w:hint="default" w:ascii="Times New Roman" w:hAnsi="Times New Roman" w:cs="Times New Roman"/>
          <w:color w:val="auto"/>
          <w:highlight w:val="none"/>
        </w:rPr>
        <w:t>。</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表2.3-1      项目占地面积及占地类型情况统计表单位：hm²</w:t>
      </w:r>
    </w:p>
    <w:tbl>
      <w:tblPr>
        <w:tblStyle w:val="27"/>
        <w:tblW w:w="887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45"/>
        <w:gridCol w:w="1417"/>
        <w:gridCol w:w="1044"/>
        <w:gridCol w:w="1125"/>
        <w:gridCol w:w="1110"/>
        <w:gridCol w:w="1005"/>
        <w:gridCol w:w="202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562" w:type="dxa"/>
            <w:gridSpan w:val="2"/>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bookmarkStart w:id="77" w:name="_Toc417412310"/>
            <w:r>
              <w:rPr>
                <w:rFonts w:hint="default" w:ascii="Times New Roman" w:hAnsi="Times New Roman" w:eastAsia="仿宋_GB2312" w:cs="Times New Roman"/>
                <w:snapToGrid w:val="0"/>
                <w:color w:val="auto"/>
                <w:kern w:val="24"/>
                <w:sz w:val="21"/>
                <w:szCs w:val="21"/>
                <w:highlight w:val="none"/>
              </w:rPr>
              <w:t>项目组成</w:t>
            </w:r>
          </w:p>
        </w:tc>
        <w:tc>
          <w:tcPr>
            <w:tcW w:w="104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占地类型</w:t>
            </w:r>
          </w:p>
        </w:tc>
        <w:tc>
          <w:tcPr>
            <w:tcW w:w="2235" w:type="dxa"/>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占地性质</w:t>
            </w:r>
          </w:p>
        </w:tc>
        <w:tc>
          <w:tcPr>
            <w:tcW w:w="1005" w:type="dxa"/>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合计</w:t>
            </w:r>
          </w:p>
        </w:tc>
        <w:tc>
          <w:tcPr>
            <w:tcW w:w="2028" w:type="dxa"/>
            <w:vMerge w:val="restart"/>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562" w:type="dxa"/>
            <w:gridSpan w:val="2"/>
            <w:vMerge w:val="continue"/>
            <w:tcBorders>
              <w:tl2br w:val="nil"/>
              <w:tr2bl w:val="nil"/>
            </w:tcBorders>
            <w:shd w:val="clear" w:color="auto" w:fill="auto"/>
            <w:tcMar>
              <w:top w:w="15" w:type="dxa"/>
              <w:left w:w="15" w:type="dxa"/>
              <w:right w:w="15" w:type="dxa"/>
            </w:tcMar>
            <w:vAlign w:val="center"/>
          </w:tcPr>
          <w:p>
            <w:pPr>
              <w:spacing w:line="240" w:lineRule="auto"/>
              <w:ind w:firstLine="420"/>
              <w:jc w:val="center"/>
              <w:rPr>
                <w:rFonts w:hint="default" w:ascii="Times New Roman" w:hAnsi="Times New Roman" w:eastAsia="仿宋_GB2312" w:cs="Times New Roman"/>
                <w:snapToGrid w:val="0"/>
                <w:color w:val="auto"/>
                <w:kern w:val="24"/>
                <w:sz w:val="21"/>
                <w:szCs w:val="21"/>
                <w:highlight w:val="none"/>
              </w:rPr>
            </w:pPr>
          </w:p>
        </w:tc>
        <w:tc>
          <w:tcPr>
            <w:tcW w:w="104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公共设施用地</w:t>
            </w:r>
          </w:p>
        </w:tc>
        <w:tc>
          <w:tcPr>
            <w:tcW w:w="112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永久占地</w:t>
            </w:r>
          </w:p>
        </w:tc>
        <w:tc>
          <w:tcPr>
            <w:tcW w:w="111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临时占地</w:t>
            </w:r>
          </w:p>
        </w:tc>
        <w:tc>
          <w:tcPr>
            <w:tcW w:w="1005" w:type="dxa"/>
            <w:vMerge w:val="continue"/>
            <w:tcBorders>
              <w:tl2br w:val="nil"/>
              <w:tr2bl w:val="nil"/>
            </w:tcBorders>
            <w:shd w:val="clear" w:color="auto" w:fill="auto"/>
            <w:tcMar>
              <w:top w:w="15" w:type="dxa"/>
              <w:left w:w="15" w:type="dxa"/>
              <w:right w:w="15" w:type="dxa"/>
            </w:tcMar>
            <w:vAlign w:val="center"/>
          </w:tcPr>
          <w:p>
            <w:pPr>
              <w:spacing w:line="240" w:lineRule="auto"/>
              <w:ind w:firstLine="420"/>
              <w:jc w:val="center"/>
              <w:rPr>
                <w:rFonts w:hint="default" w:ascii="Times New Roman" w:hAnsi="Times New Roman" w:eastAsia="仿宋_GB2312" w:cs="Times New Roman"/>
                <w:snapToGrid w:val="0"/>
                <w:color w:val="auto"/>
                <w:kern w:val="24"/>
                <w:sz w:val="21"/>
                <w:szCs w:val="21"/>
                <w:highlight w:val="none"/>
              </w:rPr>
            </w:pPr>
            <w:commentRangeStart w:id="0"/>
            <w:commentRangeStart w:id="1"/>
            <w:r>
              <w:rPr>
                <w:rStyle w:val="35"/>
                <w:rFonts w:hint="default" w:ascii="Times New Roman" w:hAnsi="Times New Roman" w:cs="Times New Roman"/>
                <w:color w:val="auto"/>
                <w:highlight w:val="none"/>
              </w:rPr>
              <w:commentReference w:id="0"/>
            </w:r>
            <w:commentRangeEnd w:id="0"/>
            <w:commentRangeEnd w:id="1"/>
            <w:r>
              <w:rPr>
                <w:rStyle w:val="35"/>
                <w:rFonts w:hint="default" w:ascii="Times New Roman" w:hAnsi="Times New Roman" w:cs="Times New Roman"/>
                <w:color w:val="auto"/>
                <w:highlight w:val="none"/>
              </w:rPr>
              <w:commentReference w:id="1"/>
            </w:r>
          </w:p>
        </w:tc>
        <w:tc>
          <w:tcPr>
            <w:tcW w:w="2028" w:type="dxa"/>
            <w:vMerge w:val="continue"/>
            <w:tcBorders>
              <w:tl2br w:val="nil"/>
              <w:tr2bl w:val="nil"/>
            </w:tcBorders>
            <w:vAlign w:val="center"/>
          </w:tcPr>
          <w:p>
            <w:pPr>
              <w:spacing w:line="240" w:lineRule="auto"/>
              <w:ind w:firstLine="420"/>
              <w:jc w:val="center"/>
              <w:rPr>
                <w:rFonts w:hint="default" w:ascii="Times New Roman" w:hAnsi="Times New Roman" w:eastAsia="仿宋_GB2312" w:cs="Times New Roman"/>
                <w:snapToGrid w:val="0"/>
                <w:color w:val="auto"/>
                <w:kern w:val="24"/>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45" w:type="dxa"/>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光伏发电区</w:t>
            </w:r>
          </w:p>
        </w:tc>
        <w:tc>
          <w:tcPr>
            <w:tcW w:w="141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光伏阵列区</w:t>
            </w:r>
          </w:p>
        </w:tc>
        <w:tc>
          <w:tcPr>
            <w:tcW w:w="104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rPr>
            </w:pPr>
            <w:r>
              <w:rPr>
                <w:rFonts w:hint="eastAsia" w:eastAsia="仿宋_GB2312" w:cs="Times New Roman"/>
                <w:snapToGrid w:val="0"/>
                <w:color w:val="auto"/>
                <w:kern w:val="24"/>
                <w:sz w:val="21"/>
                <w:szCs w:val="21"/>
                <w:highlight w:val="none"/>
                <w:lang w:val="en-US" w:eastAsia="zh-CN"/>
              </w:rPr>
              <w:t>43.46</w:t>
            </w:r>
          </w:p>
        </w:tc>
        <w:tc>
          <w:tcPr>
            <w:tcW w:w="112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43.46</w:t>
            </w:r>
          </w:p>
        </w:tc>
        <w:tc>
          <w:tcPr>
            <w:tcW w:w="111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00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43.46</w:t>
            </w:r>
          </w:p>
        </w:tc>
        <w:tc>
          <w:tcPr>
            <w:tcW w:w="2028"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lang w:val="en-US" w:eastAsia="zh-CN"/>
              </w:rPr>
              <w:t>征占地面积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45" w:type="dxa"/>
            <w:vMerge w:val="continue"/>
            <w:tcBorders>
              <w:tl2br w:val="nil"/>
              <w:tr2bl w:val="nil"/>
            </w:tcBorders>
            <w:shd w:val="clear" w:color="auto" w:fill="auto"/>
            <w:tcMar>
              <w:top w:w="15" w:type="dxa"/>
              <w:left w:w="15" w:type="dxa"/>
              <w:right w:w="15" w:type="dxa"/>
            </w:tcMar>
            <w:vAlign w:val="center"/>
          </w:tcPr>
          <w:p>
            <w:pPr>
              <w:spacing w:line="240" w:lineRule="auto"/>
              <w:ind w:firstLine="420"/>
              <w:jc w:val="center"/>
              <w:rPr>
                <w:rFonts w:hint="default" w:ascii="Times New Roman" w:hAnsi="Times New Roman" w:eastAsia="仿宋_GB2312" w:cs="Times New Roman"/>
                <w:snapToGrid w:val="0"/>
                <w:color w:val="auto"/>
                <w:kern w:val="24"/>
                <w:sz w:val="21"/>
                <w:szCs w:val="21"/>
                <w:highlight w:val="none"/>
              </w:rPr>
            </w:pPr>
          </w:p>
        </w:tc>
        <w:tc>
          <w:tcPr>
            <w:tcW w:w="141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集电线路区</w:t>
            </w:r>
          </w:p>
        </w:tc>
        <w:tc>
          <w:tcPr>
            <w:tcW w:w="104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2.76</w:t>
            </w:r>
            <w:r>
              <w:rPr>
                <w:rFonts w:hint="default" w:ascii="Times New Roman" w:hAnsi="Times New Roman" w:eastAsia="仿宋_GB2312" w:cs="Times New Roman"/>
                <w:snapToGrid w:val="0"/>
                <w:color w:val="auto"/>
                <w:kern w:val="24"/>
                <w:sz w:val="21"/>
                <w:szCs w:val="21"/>
                <w:highlight w:val="none"/>
                <w:lang w:val="en-US" w:eastAsia="zh-CN"/>
              </w:rPr>
              <w:t xml:space="preserve"> </w:t>
            </w:r>
          </w:p>
        </w:tc>
        <w:tc>
          <w:tcPr>
            <w:tcW w:w="112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rPr>
            </w:pPr>
            <w:r>
              <w:rPr>
                <w:rFonts w:hint="eastAsia" w:eastAsia="仿宋_GB2312" w:cs="Times New Roman"/>
                <w:snapToGrid w:val="0"/>
                <w:color w:val="auto"/>
                <w:kern w:val="24"/>
                <w:sz w:val="21"/>
                <w:szCs w:val="21"/>
                <w:highlight w:val="none"/>
                <w:lang w:val="en-US" w:eastAsia="zh-CN"/>
              </w:rPr>
              <w:t>2.76</w:t>
            </w:r>
          </w:p>
        </w:tc>
        <w:tc>
          <w:tcPr>
            <w:tcW w:w="111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00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2.76</w:t>
            </w:r>
            <w:r>
              <w:rPr>
                <w:rFonts w:hint="default" w:ascii="Times New Roman" w:hAnsi="Times New Roman" w:eastAsia="仿宋_GB2312" w:cs="Times New Roman"/>
                <w:snapToGrid w:val="0"/>
                <w:color w:val="auto"/>
                <w:kern w:val="24"/>
                <w:sz w:val="21"/>
                <w:szCs w:val="21"/>
                <w:highlight w:val="none"/>
                <w:lang w:val="en-US" w:eastAsia="zh-CN"/>
              </w:rPr>
              <w:t xml:space="preserve"> </w:t>
            </w:r>
          </w:p>
        </w:tc>
        <w:tc>
          <w:tcPr>
            <w:tcW w:w="2028"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lang w:val="en-US" w:eastAsia="zh-CN"/>
              </w:rPr>
              <w:t>长</w:t>
            </w:r>
            <w:r>
              <w:rPr>
                <w:rFonts w:hint="eastAsia" w:eastAsia="仿宋_GB2312" w:cs="Times New Roman"/>
                <w:snapToGrid w:val="0"/>
                <w:color w:val="auto"/>
                <w:kern w:val="24"/>
                <w:sz w:val="21"/>
                <w:szCs w:val="21"/>
                <w:highlight w:val="none"/>
                <w:lang w:val="en-US" w:eastAsia="zh-CN"/>
              </w:rPr>
              <w:t>4.6</w:t>
            </w:r>
            <w:r>
              <w:rPr>
                <w:rFonts w:hint="default" w:ascii="Times New Roman" w:hAnsi="Times New Roman" w:eastAsia="仿宋_GB2312" w:cs="Times New Roman"/>
                <w:snapToGrid w:val="0"/>
                <w:color w:val="auto"/>
                <w:kern w:val="24"/>
                <w:sz w:val="21"/>
                <w:szCs w:val="21"/>
                <w:highlight w:val="none"/>
                <w:lang w:val="en-US" w:eastAsia="zh-CN"/>
              </w:rPr>
              <w:t>km，顶宽0.60m，深1.20m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45" w:type="dxa"/>
            <w:vMerge w:val="continue"/>
            <w:tcBorders>
              <w:tl2br w:val="nil"/>
              <w:tr2bl w:val="nil"/>
            </w:tcBorders>
            <w:shd w:val="clear" w:color="auto" w:fill="auto"/>
            <w:tcMar>
              <w:top w:w="15" w:type="dxa"/>
              <w:left w:w="15" w:type="dxa"/>
              <w:right w:w="15" w:type="dxa"/>
            </w:tcMar>
            <w:vAlign w:val="center"/>
          </w:tcPr>
          <w:p>
            <w:pPr>
              <w:spacing w:line="240" w:lineRule="auto"/>
              <w:ind w:firstLine="420"/>
              <w:jc w:val="center"/>
              <w:rPr>
                <w:rFonts w:hint="default" w:ascii="Times New Roman" w:hAnsi="Times New Roman" w:eastAsia="仿宋_GB2312" w:cs="Times New Roman"/>
                <w:snapToGrid w:val="0"/>
                <w:color w:val="auto"/>
                <w:kern w:val="24"/>
                <w:sz w:val="21"/>
                <w:szCs w:val="21"/>
                <w:highlight w:val="none"/>
              </w:rPr>
            </w:pPr>
          </w:p>
        </w:tc>
        <w:tc>
          <w:tcPr>
            <w:tcW w:w="141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小计</w:t>
            </w:r>
          </w:p>
        </w:tc>
        <w:tc>
          <w:tcPr>
            <w:tcW w:w="104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rPr>
            </w:pPr>
            <w:r>
              <w:rPr>
                <w:rFonts w:hint="eastAsia" w:eastAsia="仿宋_GB2312" w:cs="Times New Roman"/>
                <w:snapToGrid w:val="0"/>
                <w:color w:val="auto"/>
                <w:kern w:val="24"/>
                <w:sz w:val="21"/>
                <w:szCs w:val="21"/>
                <w:highlight w:val="none"/>
                <w:lang w:val="en-US" w:eastAsia="zh-CN"/>
              </w:rPr>
              <w:t>46.22</w:t>
            </w:r>
          </w:p>
        </w:tc>
        <w:tc>
          <w:tcPr>
            <w:tcW w:w="112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46.22</w:t>
            </w:r>
          </w:p>
        </w:tc>
        <w:tc>
          <w:tcPr>
            <w:tcW w:w="111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00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46.22</w:t>
            </w:r>
          </w:p>
        </w:tc>
        <w:tc>
          <w:tcPr>
            <w:tcW w:w="2028" w:type="dxa"/>
            <w:tcBorders>
              <w:tl2br w:val="nil"/>
              <w:tr2bl w:val="nil"/>
            </w:tcBorders>
            <w:vAlign w:val="center"/>
          </w:tcPr>
          <w:p>
            <w:pPr>
              <w:jc w:val="center"/>
              <w:rPr>
                <w:rFonts w:hint="default" w:ascii="Times New Roman" w:hAnsi="Times New Roman" w:eastAsia="仿宋_GB2312" w:cs="Times New Roman"/>
                <w:snapToGrid w:val="0"/>
                <w:color w:val="auto"/>
                <w:kern w:val="24"/>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45" w:type="dxa"/>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道路工程区</w:t>
            </w:r>
          </w:p>
        </w:tc>
        <w:tc>
          <w:tcPr>
            <w:tcW w:w="141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进场道路</w:t>
            </w:r>
          </w:p>
        </w:tc>
        <w:tc>
          <w:tcPr>
            <w:tcW w:w="104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0.03</w:t>
            </w:r>
          </w:p>
        </w:tc>
        <w:tc>
          <w:tcPr>
            <w:tcW w:w="112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0.03</w:t>
            </w:r>
          </w:p>
        </w:tc>
        <w:tc>
          <w:tcPr>
            <w:tcW w:w="111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00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0.03</w:t>
            </w:r>
          </w:p>
        </w:tc>
        <w:tc>
          <w:tcPr>
            <w:tcW w:w="2028"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混凝土路面，长50m，宽6m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45" w:type="dxa"/>
            <w:vMerge w:val="continue"/>
            <w:tcBorders>
              <w:tl2br w:val="nil"/>
              <w:tr2bl w:val="nil"/>
            </w:tcBorders>
            <w:shd w:val="clear" w:color="auto" w:fill="auto"/>
            <w:tcMar>
              <w:top w:w="15" w:type="dxa"/>
              <w:left w:w="15" w:type="dxa"/>
              <w:right w:w="15" w:type="dxa"/>
            </w:tcMar>
            <w:vAlign w:val="center"/>
          </w:tcPr>
          <w:p>
            <w:pPr>
              <w:spacing w:line="240" w:lineRule="auto"/>
              <w:ind w:firstLine="420"/>
              <w:jc w:val="center"/>
              <w:rPr>
                <w:rFonts w:hint="default" w:ascii="Times New Roman" w:hAnsi="Times New Roman" w:eastAsia="仿宋_GB2312" w:cs="Times New Roman"/>
                <w:snapToGrid w:val="0"/>
                <w:color w:val="auto"/>
                <w:kern w:val="24"/>
                <w:sz w:val="21"/>
                <w:szCs w:val="21"/>
                <w:highlight w:val="none"/>
              </w:rPr>
            </w:pPr>
          </w:p>
        </w:tc>
        <w:tc>
          <w:tcPr>
            <w:tcW w:w="141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场内道路</w:t>
            </w:r>
          </w:p>
        </w:tc>
        <w:tc>
          <w:tcPr>
            <w:tcW w:w="104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1.92</w:t>
            </w:r>
          </w:p>
        </w:tc>
        <w:tc>
          <w:tcPr>
            <w:tcW w:w="112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1.92</w:t>
            </w:r>
          </w:p>
        </w:tc>
        <w:tc>
          <w:tcPr>
            <w:tcW w:w="111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00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1.92</w:t>
            </w:r>
          </w:p>
        </w:tc>
        <w:tc>
          <w:tcPr>
            <w:tcW w:w="2028"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场内道路</w:t>
            </w:r>
            <w:r>
              <w:rPr>
                <w:rFonts w:hint="eastAsia" w:eastAsia="仿宋_GB2312" w:cs="Times New Roman"/>
                <w:snapToGrid w:val="0"/>
                <w:color w:val="auto"/>
                <w:kern w:val="24"/>
                <w:sz w:val="21"/>
                <w:szCs w:val="21"/>
                <w:highlight w:val="none"/>
                <w:lang w:val="en-US" w:eastAsia="zh-CN" w:bidi="ar-SA"/>
              </w:rPr>
              <w:t>4800</w:t>
            </w:r>
            <w:r>
              <w:rPr>
                <w:rFonts w:hint="default" w:ascii="Times New Roman" w:hAnsi="Times New Roman" w:eastAsia="仿宋_GB2312" w:cs="Times New Roman"/>
                <w:snapToGrid w:val="0"/>
                <w:color w:val="auto"/>
                <w:kern w:val="24"/>
                <w:sz w:val="21"/>
                <w:szCs w:val="21"/>
                <w:highlight w:val="none"/>
                <w:lang w:val="en-US" w:eastAsia="zh-CN" w:bidi="ar-SA"/>
              </w:rPr>
              <w:t>m，宽4m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45" w:type="dxa"/>
            <w:vMerge w:val="continue"/>
            <w:tcBorders>
              <w:tl2br w:val="nil"/>
              <w:tr2bl w:val="nil"/>
            </w:tcBorders>
            <w:shd w:val="clear" w:color="auto" w:fill="auto"/>
            <w:tcMar>
              <w:top w:w="15" w:type="dxa"/>
              <w:left w:w="15" w:type="dxa"/>
              <w:right w:w="15" w:type="dxa"/>
            </w:tcMar>
            <w:vAlign w:val="center"/>
          </w:tcPr>
          <w:p>
            <w:pPr>
              <w:spacing w:line="240" w:lineRule="auto"/>
              <w:ind w:firstLine="420"/>
              <w:jc w:val="center"/>
              <w:rPr>
                <w:rFonts w:hint="default" w:ascii="Times New Roman" w:hAnsi="Times New Roman" w:eastAsia="仿宋_GB2312" w:cs="Times New Roman"/>
                <w:snapToGrid w:val="0"/>
                <w:color w:val="auto"/>
                <w:kern w:val="24"/>
                <w:sz w:val="21"/>
                <w:szCs w:val="21"/>
                <w:highlight w:val="none"/>
              </w:rPr>
            </w:pPr>
          </w:p>
        </w:tc>
        <w:tc>
          <w:tcPr>
            <w:tcW w:w="141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小计</w:t>
            </w:r>
          </w:p>
        </w:tc>
        <w:tc>
          <w:tcPr>
            <w:tcW w:w="104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1.95</w:t>
            </w:r>
          </w:p>
        </w:tc>
        <w:tc>
          <w:tcPr>
            <w:tcW w:w="112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rPr>
            </w:pPr>
            <w:r>
              <w:rPr>
                <w:rFonts w:hint="eastAsia" w:eastAsia="仿宋_GB2312" w:cs="Times New Roman"/>
                <w:snapToGrid w:val="0"/>
                <w:color w:val="auto"/>
                <w:kern w:val="24"/>
                <w:sz w:val="21"/>
                <w:szCs w:val="21"/>
                <w:highlight w:val="none"/>
                <w:lang w:val="en-US" w:eastAsia="zh-CN"/>
              </w:rPr>
              <w:t>1.95</w:t>
            </w:r>
          </w:p>
        </w:tc>
        <w:tc>
          <w:tcPr>
            <w:tcW w:w="111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00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rPr>
            </w:pPr>
            <w:r>
              <w:rPr>
                <w:rFonts w:hint="eastAsia" w:eastAsia="仿宋_GB2312" w:cs="Times New Roman"/>
                <w:snapToGrid w:val="0"/>
                <w:color w:val="auto"/>
                <w:kern w:val="24"/>
                <w:sz w:val="21"/>
                <w:szCs w:val="21"/>
                <w:highlight w:val="none"/>
                <w:lang w:val="en-US" w:eastAsia="zh-CN"/>
              </w:rPr>
              <w:t>1.95</w:t>
            </w:r>
          </w:p>
        </w:tc>
        <w:tc>
          <w:tcPr>
            <w:tcW w:w="2028"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562" w:type="dxa"/>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eastAsia="zh-CN"/>
              </w:rPr>
              <w:t>运行管理</w:t>
            </w:r>
            <w:r>
              <w:rPr>
                <w:rFonts w:hint="default" w:ascii="Times New Roman" w:hAnsi="Times New Roman" w:eastAsia="仿宋_GB2312" w:cs="Times New Roman"/>
                <w:snapToGrid w:val="0"/>
                <w:color w:val="auto"/>
                <w:kern w:val="24"/>
                <w:sz w:val="21"/>
                <w:szCs w:val="21"/>
                <w:highlight w:val="none"/>
              </w:rPr>
              <w:t>区</w:t>
            </w:r>
          </w:p>
        </w:tc>
        <w:tc>
          <w:tcPr>
            <w:tcW w:w="104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default" w:ascii="Times New Roman" w:hAnsi="Times New Roman" w:eastAsia="仿宋_GB2312" w:cs="Times New Roman"/>
                <w:snapToGrid w:val="0"/>
                <w:color w:val="auto"/>
                <w:kern w:val="24"/>
                <w:sz w:val="21"/>
                <w:szCs w:val="21"/>
                <w:highlight w:val="none"/>
              </w:rPr>
              <w:t>0.</w:t>
            </w:r>
            <w:r>
              <w:rPr>
                <w:rFonts w:hint="eastAsia" w:eastAsia="仿宋_GB2312" w:cs="Times New Roman"/>
                <w:snapToGrid w:val="0"/>
                <w:color w:val="auto"/>
                <w:kern w:val="24"/>
                <w:sz w:val="21"/>
                <w:szCs w:val="21"/>
                <w:highlight w:val="none"/>
                <w:lang w:val="en-US" w:eastAsia="zh-CN"/>
              </w:rPr>
              <w:t>83</w:t>
            </w:r>
          </w:p>
        </w:tc>
        <w:tc>
          <w:tcPr>
            <w:tcW w:w="112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default" w:ascii="Times New Roman" w:hAnsi="Times New Roman" w:eastAsia="仿宋_GB2312" w:cs="Times New Roman"/>
                <w:snapToGrid w:val="0"/>
                <w:color w:val="auto"/>
                <w:kern w:val="24"/>
                <w:sz w:val="21"/>
                <w:szCs w:val="21"/>
                <w:highlight w:val="none"/>
              </w:rPr>
              <w:t>0.</w:t>
            </w:r>
            <w:r>
              <w:rPr>
                <w:rFonts w:hint="eastAsia" w:eastAsia="仿宋_GB2312" w:cs="Times New Roman"/>
                <w:snapToGrid w:val="0"/>
                <w:color w:val="auto"/>
                <w:kern w:val="24"/>
                <w:sz w:val="21"/>
                <w:szCs w:val="21"/>
                <w:highlight w:val="none"/>
                <w:lang w:val="en-US" w:eastAsia="zh-CN"/>
              </w:rPr>
              <w:t>83</w:t>
            </w:r>
          </w:p>
        </w:tc>
        <w:tc>
          <w:tcPr>
            <w:tcW w:w="111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00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default" w:ascii="Times New Roman" w:hAnsi="Times New Roman" w:eastAsia="仿宋_GB2312" w:cs="Times New Roman"/>
                <w:snapToGrid w:val="0"/>
                <w:color w:val="auto"/>
                <w:kern w:val="24"/>
                <w:sz w:val="21"/>
                <w:szCs w:val="21"/>
                <w:highlight w:val="none"/>
              </w:rPr>
              <w:t>0.</w:t>
            </w:r>
            <w:r>
              <w:rPr>
                <w:rFonts w:hint="eastAsia" w:eastAsia="仿宋_GB2312" w:cs="Times New Roman"/>
                <w:snapToGrid w:val="0"/>
                <w:color w:val="auto"/>
                <w:kern w:val="24"/>
                <w:sz w:val="21"/>
                <w:szCs w:val="21"/>
                <w:highlight w:val="none"/>
                <w:lang w:val="en-US" w:eastAsia="zh-CN"/>
              </w:rPr>
              <w:t>83</w:t>
            </w:r>
          </w:p>
        </w:tc>
        <w:tc>
          <w:tcPr>
            <w:tcW w:w="2028"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562" w:type="dxa"/>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施工生产生活区</w:t>
            </w:r>
          </w:p>
        </w:tc>
        <w:tc>
          <w:tcPr>
            <w:tcW w:w="104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0.46</w:t>
            </w:r>
          </w:p>
        </w:tc>
        <w:tc>
          <w:tcPr>
            <w:tcW w:w="112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11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0.46</w:t>
            </w:r>
          </w:p>
        </w:tc>
        <w:tc>
          <w:tcPr>
            <w:tcW w:w="100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default" w:ascii="Times New Roman" w:hAnsi="Times New Roman" w:eastAsia="仿宋_GB2312" w:cs="Times New Roman"/>
                <w:snapToGrid w:val="0"/>
                <w:color w:val="auto"/>
                <w:kern w:val="24"/>
                <w:sz w:val="21"/>
                <w:szCs w:val="21"/>
                <w:highlight w:val="none"/>
              </w:rPr>
              <w:t>0.</w:t>
            </w:r>
            <w:r>
              <w:rPr>
                <w:rFonts w:hint="eastAsia" w:eastAsia="仿宋_GB2312" w:cs="Times New Roman"/>
                <w:snapToGrid w:val="0"/>
                <w:color w:val="auto"/>
                <w:kern w:val="24"/>
                <w:sz w:val="21"/>
                <w:szCs w:val="21"/>
                <w:highlight w:val="none"/>
                <w:lang w:val="en-US" w:eastAsia="zh-CN"/>
              </w:rPr>
              <w:t>46</w:t>
            </w:r>
          </w:p>
        </w:tc>
        <w:tc>
          <w:tcPr>
            <w:tcW w:w="2028"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布置在未使用的</w:t>
            </w:r>
            <w:r>
              <w:rPr>
                <w:rFonts w:hint="eastAsia" w:eastAsia="仿宋_GB2312" w:cs="Times New Roman"/>
                <w:snapToGrid w:val="0"/>
                <w:color w:val="auto"/>
                <w:kern w:val="24"/>
                <w:sz w:val="21"/>
                <w:szCs w:val="21"/>
                <w:highlight w:val="none"/>
                <w:lang w:val="en-US" w:eastAsia="zh-CN"/>
              </w:rPr>
              <w:t>20hm</w:t>
            </w:r>
            <w:r>
              <w:rPr>
                <w:rFonts w:hint="eastAsia" w:eastAsia="仿宋_GB2312" w:cs="Times New Roman"/>
                <w:snapToGrid w:val="0"/>
                <w:color w:val="auto"/>
                <w:kern w:val="24"/>
                <w:sz w:val="21"/>
                <w:szCs w:val="21"/>
                <w:highlight w:val="none"/>
                <w:vertAlign w:val="superscript"/>
                <w:lang w:val="en-US" w:eastAsia="zh-CN"/>
              </w:rPr>
              <w:t>2</w:t>
            </w:r>
            <w:r>
              <w:rPr>
                <w:rFonts w:hint="eastAsia" w:eastAsia="仿宋_GB2312" w:cs="Times New Roman"/>
                <w:snapToGrid w:val="0"/>
                <w:color w:val="auto"/>
                <w:kern w:val="24"/>
                <w:sz w:val="21"/>
                <w:szCs w:val="21"/>
                <w:highlight w:val="none"/>
                <w:lang w:eastAsia="zh-CN"/>
              </w:rPr>
              <w:t>空地上</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562" w:type="dxa"/>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合计</w:t>
            </w:r>
          </w:p>
        </w:tc>
        <w:tc>
          <w:tcPr>
            <w:tcW w:w="104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49.46</w:t>
            </w:r>
          </w:p>
        </w:tc>
        <w:tc>
          <w:tcPr>
            <w:tcW w:w="112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49</w:t>
            </w:r>
          </w:p>
        </w:tc>
        <w:tc>
          <w:tcPr>
            <w:tcW w:w="111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0.46</w:t>
            </w:r>
          </w:p>
        </w:tc>
        <w:tc>
          <w:tcPr>
            <w:tcW w:w="100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49.46</w:t>
            </w:r>
          </w:p>
        </w:tc>
        <w:tc>
          <w:tcPr>
            <w:tcW w:w="2028"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r>
    </w:tbl>
    <w:p>
      <w:pPr>
        <w:pStyle w:val="66"/>
        <w:ind w:firstLine="148"/>
        <w:rPr>
          <w:rFonts w:hint="default" w:ascii="Times New Roman" w:hAnsi="Times New Roman" w:cs="Times New Roman"/>
          <w:color w:val="auto"/>
          <w:highlight w:val="none"/>
        </w:rPr>
      </w:pPr>
      <w:bookmarkStart w:id="78" w:name="_Toc1273"/>
      <w:r>
        <w:rPr>
          <w:rFonts w:hint="default" w:ascii="Times New Roman" w:hAnsi="Times New Roman" w:cs="Times New Roman"/>
          <w:color w:val="auto"/>
          <w:highlight w:val="none"/>
        </w:rPr>
        <w:t>2.</w:t>
      </w:r>
      <w:bookmarkEnd w:id="77"/>
      <w:r>
        <w:rPr>
          <w:rFonts w:hint="default" w:ascii="Times New Roman" w:hAnsi="Times New Roman" w:cs="Times New Roman"/>
          <w:color w:val="auto"/>
          <w:highlight w:val="none"/>
        </w:rPr>
        <w:t>4 土石方平衡</w:t>
      </w:r>
      <w:bookmarkEnd w:id="78"/>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2.4.1 表土剥离情况</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拟建项目厂址所在区域原为空地，覆盖有荒漠植被，无腐殖质表层，原生植被覆盖率</w:t>
      </w:r>
      <w:r>
        <w:rPr>
          <w:rFonts w:hint="eastAsia" w:cs="Times New Roman"/>
          <w:color w:val="auto"/>
          <w:highlight w:val="none"/>
          <w:lang w:val="en-US" w:eastAsia="zh-CN"/>
        </w:rPr>
        <w:t>5</w:t>
      </w:r>
      <w:r>
        <w:rPr>
          <w:rFonts w:hint="default" w:ascii="Times New Roman" w:hAnsi="Times New Roman" w:cs="Times New Roman"/>
          <w:color w:val="auto"/>
          <w:highlight w:val="none"/>
        </w:rPr>
        <w:t>%左右，不涉及腐殖质土表层，因此本项目不涉及表土剥离。</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2.4.2 建设期土石方平衡</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（1）工程总体土方平衡及流向</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本工程总挖方</w:t>
      </w:r>
      <w:r>
        <w:rPr>
          <w:rFonts w:hint="eastAsia" w:cs="Times New Roman"/>
          <w:color w:val="auto"/>
          <w:highlight w:val="none"/>
          <w:lang w:val="en-US" w:eastAsia="zh-CN"/>
        </w:rPr>
        <w:t>4.968</w:t>
      </w:r>
      <w:r>
        <w:rPr>
          <w:rFonts w:hint="default" w:ascii="Times New Roman" w:hAnsi="Times New Roman" w:cs="Times New Roman"/>
          <w:color w:val="auto"/>
          <w:highlight w:val="none"/>
        </w:rPr>
        <w:t>万m³，填方</w:t>
      </w:r>
      <w:r>
        <w:rPr>
          <w:rFonts w:hint="eastAsia" w:cs="Times New Roman"/>
          <w:color w:val="auto"/>
          <w:highlight w:val="none"/>
          <w:lang w:val="en-US" w:eastAsia="zh-CN"/>
        </w:rPr>
        <w:t>4.968</w:t>
      </w:r>
      <w:r>
        <w:rPr>
          <w:rFonts w:hint="default" w:ascii="Times New Roman" w:hAnsi="Times New Roman" w:cs="Times New Roman"/>
          <w:color w:val="auto"/>
          <w:highlight w:val="none"/>
        </w:rPr>
        <w:t>万m³，无借方，无弃方。涉及土方主要为场地平整、建构筑物基础和管沟开挖回填。</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土方平衡表见表2.4-1，项目土方平衡图见图2.4-1。</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（2）光伏发电区</w:t>
      </w:r>
    </w:p>
    <w:p>
      <w:pPr>
        <w:pStyle w:val="56"/>
        <w:widowControl w:val="0"/>
        <w:ind w:firstLine="480"/>
        <w:rPr>
          <w:rFonts w:eastAsia="宋体"/>
        </w:rPr>
      </w:pPr>
      <w:r>
        <w:t>本工程光伏发电区土石方包光伏阵列区前期平整和各构筑物基础挖方以及集电线路管沟挖方，地基均采用天然地基</w:t>
      </w:r>
      <w:r>
        <w:rPr>
          <w:rFonts w:eastAsia="宋体"/>
        </w:rPr>
        <w:t>。</w:t>
      </w:r>
    </w:p>
    <w:p>
      <w:pPr>
        <w:pStyle w:val="56"/>
        <w:ind w:firstLine="480"/>
      </w:pPr>
      <w:r>
        <w:t>1）前期场平</w:t>
      </w:r>
    </w:p>
    <w:p>
      <w:pPr>
        <w:pStyle w:val="56"/>
        <w:ind w:firstLine="480"/>
      </w:pPr>
      <w:r>
        <w:t>根据主体资料项目区内存在部分冲沟，主体设计采取区域微平，将冲沟平整，前期平整挖方共计3.50万m³，采取高挖低填的施工方式，开挖均回填利用。</w:t>
      </w:r>
    </w:p>
    <w:p>
      <w:pPr>
        <w:pStyle w:val="56"/>
        <w:ind w:firstLine="480"/>
      </w:pPr>
      <w:r>
        <w:t>2）光伏阵列区</w:t>
      </w:r>
    </w:p>
    <w:p>
      <w:pPr>
        <w:pStyle w:val="56"/>
        <w:ind w:firstLine="480"/>
      </w:pPr>
      <w:r>
        <w:t>其中根据主体资料确定，光伏阵列区支架及基础开挖0.</w:t>
      </w:r>
      <w:r>
        <w:rPr>
          <w:rFonts w:hint="eastAsia"/>
          <w:lang w:val="en-US" w:eastAsia="zh-CN"/>
        </w:rPr>
        <w:t>187</w:t>
      </w:r>
      <w:r>
        <w:t>万m³、箱式升压变压器基础开挖0.</w:t>
      </w:r>
      <w:r>
        <w:rPr>
          <w:rFonts w:hint="eastAsia"/>
          <w:lang w:val="en-US" w:eastAsia="zh-CN"/>
        </w:rPr>
        <w:t>020</w:t>
      </w:r>
      <w:r>
        <w:t>万m³，以及围栏基础开挖0.01万m³。经计算，光伏阵列区挖方量共计0.</w:t>
      </w:r>
      <w:r>
        <w:rPr>
          <w:rFonts w:hint="eastAsia"/>
          <w:lang w:val="en-US" w:eastAsia="zh-CN"/>
        </w:rPr>
        <w:t>217</w:t>
      </w:r>
      <w:r>
        <w:t>万m³，回填0.</w:t>
      </w:r>
      <w:r>
        <w:rPr>
          <w:rFonts w:hint="eastAsia"/>
          <w:lang w:val="en-US" w:eastAsia="zh-CN"/>
        </w:rPr>
        <w:t>217</w:t>
      </w:r>
      <w:r>
        <w:t>万m³，无借方，无弃方，开挖土方均回填利用。</w:t>
      </w:r>
    </w:p>
    <w:p>
      <w:pPr>
        <w:pStyle w:val="56"/>
        <w:ind w:firstLine="480"/>
      </w:pPr>
      <w:r>
        <w:t>2）集电线路区</w:t>
      </w:r>
    </w:p>
    <w:p>
      <w:pPr>
        <w:pStyle w:val="56"/>
        <w:ind w:firstLine="480"/>
      </w:pPr>
      <w:r>
        <w:t>本项目集电线路区电缆沟开挖总长度约</w:t>
      </w:r>
      <w:r>
        <w:rPr>
          <w:rFonts w:hint="eastAsia"/>
          <w:lang w:val="en-US" w:eastAsia="zh-CN"/>
        </w:rPr>
        <w:t>4.6</w:t>
      </w:r>
      <w:r>
        <w:t>km，电缆沟尺寸为宽0.6m，深度1.20m。经计算，集电线路区土石方挖方量共计</w:t>
      </w:r>
      <w:r>
        <w:rPr>
          <w:rFonts w:hint="eastAsia"/>
          <w:lang w:val="en-US" w:eastAsia="zh-CN"/>
        </w:rPr>
        <w:t>0.331</w:t>
      </w:r>
      <w:r>
        <w:t>万m</w:t>
      </w:r>
      <w:r>
        <w:rPr>
          <w:rFonts w:eastAsia="宋体"/>
        </w:rPr>
        <w:t>³</w:t>
      </w:r>
      <w:r>
        <w:t>，回填</w:t>
      </w:r>
      <w:r>
        <w:rPr>
          <w:rFonts w:hint="eastAsia"/>
          <w:lang w:val="en-US" w:eastAsia="zh-CN"/>
        </w:rPr>
        <w:t>0.331</w:t>
      </w:r>
      <w:r>
        <w:t>万m</w:t>
      </w:r>
      <w:r>
        <w:rPr>
          <w:rFonts w:eastAsia="宋体"/>
        </w:rPr>
        <w:t>³</w:t>
      </w:r>
      <w:r>
        <w:t>，无借方，无弃方，开挖土方均回填利用。</w:t>
      </w:r>
    </w:p>
    <w:p>
      <w:pPr>
        <w:pStyle w:val="56"/>
        <w:widowControl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2</w:t>
      </w:r>
      <w:r>
        <w:rPr>
          <w:rFonts w:hint="default" w:ascii="Times New Roman" w:hAnsi="Times New Roman" w:cs="Times New Roman"/>
          <w:color w:val="auto"/>
          <w:highlight w:val="none"/>
        </w:rPr>
        <w:t>）道路工程区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道路工程区按照地形设计，根据主体资料，场地平整时，项目区内场地标高按设计标高进行平整，平整厚度0.30m。经计算，道路工程区共计挖方0.</w:t>
      </w:r>
      <w:r>
        <w:rPr>
          <w:rFonts w:hint="eastAsia" w:cs="Times New Roman"/>
          <w:color w:val="auto"/>
          <w:highlight w:val="none"/>
          <w:lang w:val="en-US" w:eastAsia="zh-CN"/>
        </w:rPr>
        <w:t>585</w:t>
      </w:r>
      <w:r>
        <w:rPr>
          <w:rFonts w:hint="default" w:ascii="Times New Roman" w:hAnsi="Times New Roman" w:cs="Times New Roman"/>
          <w:color w:val="auto"/>
          <w:highlight w:val="none"/>
        </w:rPr>
        <w:t>万m³，回填0.</w:t>
      </w:r>
      <w:r>
        <w:rPr>
          <w:rFonts w:hint="eastAsia" w:cs="Times New Roman"/>
          <w:color w:val="auto"/>
          <w:highlight w:val="none"/>
          <w:lang w:val="en-US" w:eastAsia="zh-CN"/>
        </w:rPr>
        <w:t>585</w:t>
      </w:r>
      <w:r>
        <w:rPr>
          <w:rFonts w:hint="default" w:ascii="Times New Roman" w:hAnsi="Times New Roman" w:cs="Times New Roman"/>
          <w:color w:val="auto"/>
          <w:highlight w:val="none"/>
        </w:rPr>
        <w:t>万m³，</w:t>
      </w:r>
      <w:r>
        <w:rPr>
          <w:rFonts w:hint="default" w:ascii="Times New Roman" w:hAnsi="Times New Roman" w:cs="Times New Roman"/>
          <w:color w:val="auto"/>
          <w:highlight w:val="none"/>
          <w:lang w:eastAsia="zh-CN"/>
        </w:rPr>
        <w:t>无</w:t>
      </w:r>
      <w:r>
        <w:rPr>
          <w:rFonts w:hint="default" w:ascii="Times New Roman" w:hAnsi="Times New Roman" w:cs="Times New Roman"/>
          <w:color w:val="auto"/>
          <w:highlight w:val="none"/>
        </w:rPr>
        <w:t>借方，无弃方，开挖土方均回填利用。</w:t>
      </w:r>
    </w:p>
    <w:p>
      <w:pPr>
        <w:pStyle w:val="56"/>
        <w:ind w:firstLine="480"/>
        <w:rPr>
          <w:rFonts w:hint="eastAsia"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3）运行管理区</w:t>
      </w:r>
    </w:p>
    <w:p>
      <w:pPr>
        <w:pStyle w:val="56"/>
        <w:ind w:firstLine="480"/>
        <w:rPr>
          <w:rFonts w:hint="default" w:ascii="Times New Roman" w:hAnsi="Times New Roman" w:eastAsia="仿宋_GB2312" w:cs="Times New Roman"/>
          <w:color w:val="auto"/>
          <w:highlight w:val="none"/>
          <w:lang w:val="en-US" w:eastAsia="zh-CN"/>
        </w:rPr>
      </w:pPr>
      <w:r>
        <w:t>本项目运行管理区涉及土石方主要为</w:t>
      </w:r>
      <w:r>
        <w:rPr>
          <w:rFonts w:hint="eastAsia"/>
          <w:lang w:eastAsia="zh-CN"/>
        </w:rPr>
        <w:t>前期场平以及</w:t>
      </w:r>
      <w:r>
        <w:t>建构筑物基础开挖以及屋外变电装置基础开挖</w:t>
      </w:r>
      <w:r>
        <w:rPr>
          <w:rFonts w:hint="eastAsia"/>
          <w:lang w:eastAsia="zh-CN"/>
        </w:rPr>
        <w:t>，场地</w:t>
      </w:r>
      <w:r>
        <w:rPr>
          <w:rFonts w:hint="default" w:ascii="Times New Roman" w:hAnsi="Times New Roman" w:cs="Times New Roman"/>
          <w:color w:val="auto"/>
          <w:highlight w:val="none"/>
        </w:rPr>
        <w:t>平整厚度0.</w:t>
      </w:r>
      <w:r>
        <w:rPr>
          <w:rFonts w:hint="eastAsia" w:cs="Times New Roman"/>
          <w:color w:val="auto"/>
          <w:highlight w:val="none"/>
          <w:lang w:val="en-US" w:eastAsia="zh-CN"/>
        </w:rPr>
        <w:t>2</w:t>
      </w:r>
      <w:r>
        <w:rPr>
          <w:rFonts w:hint="default" w:ascii="Times New Roman" w:hAnsi="Times New Roman" w:cs="Times New Roman"/>
          <w:color w:val="auto"/>
          <w:highlight w:val="none"/>
        </w:rPr>
        <w:t>0m</w:t>
      </w:r>
      <w:r>
        <w:t>。运行管理区挖方共计0.</w:t>
      </w:r>
      <w:r>
        <w:rPr>
          <w:rFonts w:hint="eastAsia"/>
          <w:lang w:val="en-US" w:eastAsia="zh-CN"/>
        </w:rPr>
        <w:t>335</w:t>
      </w:r>
      <w:r>
        <w:t>万m³，回填土方共计</w:t>
      </w:r>
      <w:r>
        <w:rPr>
          <w:rFonts w:hint="eastAsia"/>
          <w:lang w:val="en-US" w:eastAsia="zh-CN"/>
        </w:rPr>
        <w:t>0.335</w:t>
      </w:r>
      <w:r>
        <w:t>万m³，开挖土方均回填利用。</w:t>
      </w:r>
    </w:p>
    <w:p>
      <w:pPr>
        <w:pStyle w:val="56"/>
        <w:ind w:firstLine="480"/>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w:t>
      </w:r>
      <w:r>
        <w:rPr>
          <w:rFonts w:hint="eastAsia" w:cs="Times New Roman"/>
          <w:color w:val="auto"/>
          <w:highlight w:val="none"/>
          <w:lang w:val="en-US" w:eastAsia="zh-CN"/>
        </w:rPr>
        <w:t>4</w:t>
      </w:r>
      <w:r>
        <w:rPr>
          <w:rFonts w:hint="default" w:ascii="Times New Roman" w:hAnsi="Times New Roman" w:cs="Times New Roman"/>
          <w:color w:val="auto"/>
          <w:highlight w:val="none"/>
        </w:rPr>
        <w:t>）</w:t>
      </w:r>
      <w:r>
        <w:rPr>
          <w:rFonts w:hint="eastAsia" w:cs="Times New Roman"/>
          <w:color w:val="auto"/>
          <w:highlight w:val="none"/>
          <w:lang w:eastAsia="zh-CN"/>
        </w:rPr>
        <w:t>施工生产生活区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本区域主要为</w:t>
      </w:r>
      <w:r>
        <w:rPr>
          <w:rFonts w:hint="eastAsia" w:cs="Times New Roman"/>
          <w:color w:val="auto"/>
          <w:highlight w:val="none"/>
          <w:lang w:eastAsia="zh-CN"/>
        </w:rPr>
        <w:t>综合加工、</w:t>
      </w:r>
      <w:r>
        <w:rPr>
          <w:rFonts w:hint="default" w:ascii="Times New Roman" w:hAnsi="Times New Roman" w:cs="Times New Roman"/>
          <w:color w:val="auto"/>
          <w:highlight w:val="none"/>
        </w:rPr>
        <w:t>材料堆放场地，本身不产生土方。工程结束后由建设单位收集建筑垃圾，分类处理，回收可再利用材料，其余垃圾由汽车拉出园区按照环保部门要求统一送至垃圾场填埋。</w:t>
      </w:r>
    </w:p>
    <w:p>
      <w:pPr>
        <w:pStyle w:val="75"/>
        <w:rPr>
          <w:rFonts w:hint="default" w:ascii="Times New Roman" w:hAnsi="Times New Roman" w:cs="Times New Roman"/>
          <w:color w:val="auto"/>
          <w:highlight w:val="none"/>
        </w:rPr>
        <w:sectPr>
          <w:headerReference r:id="rId19"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26" w:charSpace="0"/>
        </w:sectPr>
      </w:pP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表2.4-1       土石方平衡表     单位：万m³</w:t>
      </w:r>
    </w:p>
    <w:tbl>
      <w:tblPr>
        <w:tblStyle w:val="27"/>
        <w:tblW w:w="1398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67"/>
        <w:gridCol w:w="1265"/>
        <w:gridCol w:w="893"/>
        <w:gridCol w:w="1304"/>
        <w:gridCol w:w="963"/>
        <w:gridCol w:w="915"/>
        <w:gridCol w:w="1077"/>
        <w:gridCol w:w="1047"/>
        <w:gridCol w:w="893"/>
        <w:gridCol w:w="907"/>
        <w:gridCol w:w="909"/>
        <w:gridCol w:w="775"/>
        <w:gridCol w:w="775"/>
        <w:gridCol w:w="89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32" w:type="dxa"/>
            <w:gridSpan w:val="2"/>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项目组成</w:t>
            </w:r>
          </w:p>
        </w:tc>
        <w:tc>
          <w:tcPr>
            <w:tcW w:w="2197" w:type="dxa"/>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工程项目</w:t>
            </w:r>
          </w:p>
        </w:tc>
        <w:tc>
          <w:tcPr>
            <w:tcW w:w="963" w:type="dxa"/>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挖方</w:t>
            </w:r>
          </w:p>
        </w:tc>
        <w:tc>
          <w:tcPr>
            <w:tcW w:w="915" w:type="dxa"/>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填方</w:t>
            </w:r>
          </w:p>
        </w:tc>
        <w:tc>
          <w:tcPr>
            <w:tcW w:w="1077" w:type="dxa"/>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利用</w:t>
            </w:r>
          </w:p>
        </w:tc>
        <w:tc>
          <w:tcPr>
            <w:tcW w:w="1940" w:type="dxa"/>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调入</w:t>
            </w:r>
          </w:p>
        </w:tc>
        <w:tc>
          <w:tcPr>
            <w:tcW w:w="1816" w:type="dxa"/>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调出</w:t>
            </w:r>
          </w:p>
        </w:tc>
        <w:tc>
          <w:tcPr>
            <w:tcW w:w="1550" w:type="dxa"/>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借方</w:t>
            </w:r>
          </w:p>
        </w:tc>
        <w:tc>
          <w:tcPr>
            <w:tcW w:w="890" w:type="dxa"/>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弃方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32" w:type="dxa"/>
            <w:gridSpan w:val="2"/>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89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编号</w:t>
            </w:r>
          </w:p>
        </w:tc>
        <w:tc>
          <w:tcPr>
            <w:tcW w:w="130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工程名称</w:t>
            </w:r>
          </w:p>
        </w:tc>
        <w:tc>
          <w:tcPr>
            <w:tcW w:w="963" w:type="dxa"/>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15" w:type="dxa"/>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077" w:type="dxa"/>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04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数量</w:t>
            </w:r>
          </w:p>
        </w:tc>
        <w:tc>
          <w:tcPr>
            <w:tcW w:w="89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来源</w:t>
            </w:r>
          </w:p>
        </w:tc>
        <w:tc>
          <w:tcPr>
            <w:tcW w:w="90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数量</w:t>
            </w:r>
          </w:p>
        </w:tc>
        <w:tc>
          <w:tcPr>
            <w:tcW w:w="90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去向</w:t>
            </w:r>
          </w:p>
        </w:tc>
        <w:tc>
          <w:tcPr>
            <w:tcW w:w="77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数量</w:t>
            </w:r>
          </w:p>
        </w:tc>
        <w:tc>
          <w:tcPr>
            <w:tcW w:w="77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来源</w:t>
            </w:r>
          </w:p>
        </w:tc>
        <w:tc>
          <w:tcPr>
            <w:tcW w:w="890" w:type="dxa"/>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67" w:type="dxa"/>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光伏发电区</w:t>
            </w:r>
          </w:p>
        </w:tc>
        <w:tc>
          <w:tcPr>
            <w:tcW w:w="126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光伏阵列区</w:t>
            </w:r>
          </w:p>
        </w:tc>
        <w:tc>
          <w:tcPr>
            <w:tcW w:w="89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①</w:t>
            </w:r>
          </w:p>
        </w:tc>
        <w:tc>
          <w:tcPr>
            <w:tcW w:w="130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eastAsia="zh-CN"/>
              </w:rPr>
              <w:t>平整、</w:t>
            </w:r>
            <w:r>
              <w:rPr>
                <w:rFonts w:hint="default" w:ascii="Times New Roman" w:hAnsi="Times New Roman" w:eastAsia="仿宋_GB2312" w:cs="Times New Roman"/>
                <w:snapToGrid w:val="0"/>
                <w:color w:val="auto"/>
                <w:kern w:val="24"/>
                <w:sz w:val="21"/>
                <w:szCs w:val="21"/>
                <w:highlight w:val="none"/>
              </w:rPr>
              <w:t>基础开挖回填</w:t>
            </w:r>
          </w:p>
        </w:tc>
        <w:tc>
          <w:tcPr>
            <w:tcW w:w="96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3.717</w:t>
            </w:r>
          </w:p>
        </w:tc>
        <w:tc>
          <w:tcPr>
            <w:tcW w:w="9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3.717</w:t>
            </w:r>
          </w:p>
        </w:tc>
        <w:tc>
          <w:tcPr>
            <w:tcW w:w="107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3.717</w:t>
            </w:r>
          </w:p>
        </w:tc>
        <w:tc>
          <w:tcPr>
            <w:tcW w:w="104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89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0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0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77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77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89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67" w:type="dxa"/>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26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集电线路区</w:t>
            </w:r>
          </w:p>
        </w:tc>
        <w:tc>
          <w:tcPr>
            <w:tcW w:w="89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②</w:t>
            </w:r>
          </w:p>
        </w:tc>
        <w:tc>
          <w:tcPr>
            <w:tcW w:w="130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管沟开挖回填</w:t>
            </w:r>
          </w:p>
        </w:tc>
        <w:tc>
          <w:tcPr>
            <w:tcW w:w="96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0.331</w:t>
            </w:r>
          </w:p>
        </w:tc>
        <w:tc>
          <w:tcPr>
            <w:tcW w:w="9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0.331</w:t>
            </w:r>
          </w:p>
        </w:tc>
        <w:tc>
          <w:tcPr>
            <w:tcW w:w="107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0.331</w:t>
            </w:r>
          </w:p>
        </w:tc>
        <w:tc>
          <w:tcPr>
            <w:tcW w:w="104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89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0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0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77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77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89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67" w:type="dxa"/>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26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小计</w:t>
            </w:r>
          </w:p>
        </w:tc>
        <w:tc>
          <w:tcPr>
            <w:tcW w:w="89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30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6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4.048</w:t>
            </w:r>
          </w:p>
        </w:tc>
        <w:tc>
          <w:tcPr>
            <w:tcW w:w="9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4.048</w:t>
            </w:r>
          </w:p>
        </w:tc>
        <w:tc>
          <w:tcPr>
            <w:tcW w:w="107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4.048</w:t>
            </w:r>
          </w:p>
        </w:tc>
        <w:tc>
          <w:tcPr>
            <w:tcW w:w="104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89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0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both"/>
              <w:textAlignment w:val="center"/>
              <w:rPr>
                <w:rFonts w:hint="default" w:ascii="Times New Roman" w:hAnsi="Times New Roman" w:eastAsia="仿宋_GB2312" w:cs="Times New Roman"/>
                <w:snapToGrid w:val="0"/>
                <w:color w:val="auto"/>
                <w:kern w:val="24"/>
                <w:sz w:val="21"/>
                <w:szCs w:val="21"/>
                <w:highlight w:val="none"/>
              </w:rPr>
            </w:pPr>
          </w:p>
        </w:tc>
        <w:tc>
          <w:tcPr>
            <w:tcW w:w="90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77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77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89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67" w:type="dxa"/>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道路工程区</w:t>
            </w:r>
          </w:p>
        </w:tc>
        <w:tc>
          <w:tcPr>
            <w:tcW w:w="126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进场道路</w:t>
            </w:r>
          </w:p>
        </w:tc>
        <w:tc>
          <w:tcPr>
            <w:tcW w:w="89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③</w:t>
            </w:r>
          </w:p>
        </w:tc>
        <w:tc>
          <w:tcPr>
            <w:tcW w:w="130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平整路基回填</w:t>
            </w:r>
          </w:p>
        </w:tc>
        <w:tc>
          <w:tcPr>
            <w:tcW w:w="96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0.009</w:t>
            </w:r>
          </w:p>
        </w:tc>
        <w:tc>
          <w:tcPr>
            <w:tcW w:w="9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0.009</w:t>
            </w:r>
          </w:p>
        </w:tc>
        <w:tc>
          <w:tcPr>
            <w:tcW w:w="107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0.009</w:t>
            </w:r>
          </w:p>
        </w:tc>
        <w:tc>
          <w:tcPr>
            <w:tcW w:w="104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89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0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0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77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77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89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67" w:type="dxa"/>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26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场内道路</w:t>
            </w:r>
          </w:p>
        </w:tc>
        <w:tc>
          <w:tcPr>
            <w:tcW w:w="89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④</w:t>
            </w:r>
          </w:p>
        </w:tc>
        <w:tc>
          <w:tcPr>
            <w:tcW w:w="130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平整路基回填</w:t>
            </w:r>
          </w:p>
        </w:tc>
        <w:tc>
          <w:tcPr>
            <w:tcW w:w="96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0.576</w:t>
            </w:r>
          </w:p>
        </w:tc>
        <w:tc>
          <w:tcPr>
            <w:tcW w:w="9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0.576</w:t>
            </w:r>
          </w:p>
        </w:tc>
        <w:tc>
          <w:tcPr>
            <w:tcW w:w="107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0.576</w:t>
            </w:r>
          </w:p>
        </w:tc>
        <w:tc>
          <w:tcPr>
            <w:tcW w:w="104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89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0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0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77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77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89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67" w:type="dxa"/>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26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小计</w:t>
            </w:r>
          </w:p>
        </w:tc>
        <w:tc>
          <w:tcPr>
            <w:tcW w:w="89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30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6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0.585</w:t>
            </w:r>
          </w:p>
        </w:tc>
        <w:tc>
          <w:tcPr>
            <w:tcW w:w="9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0.585</w:t>
            </w:r>
          </w:p>
        </w:tc>
        <w:tc>
          <w:tcPr>
            <w:tcW w:w="107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0.585</w:t>
            </w:r>
          </w:p>
        </w:tc>
        <w:tc>
          <w:tcPr>
            <w:tcW w:w="104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89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0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0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77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77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89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32" w:type="dxa"/>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eastAsia="zh-CN"/>
              </w:rPr>
              <w:t>运行管理</w:t>
            </w:r>
            <w:r>
              <w:rPr>
                <w:rFonts w:hint="default" w:ascii="Times New Roman" w:hAnsi="Times New Roman" w:eastAsia="仿宋_GB2312" w:cs="Times New Roman"/>
                <w:snapToGrid w:val="0"/>
                <w:color w:val="auto"/>
                <w:kern w:val="24"/>
                <w:sz w:val="21"/>
                <w:szCs w:val="21"/>
                <w:highlight w:val="none"/>
              </w:rPr>
              <w:t>区</w:t>
            </w:r>
          </w:p>
        </w:tc>
        <w:tc>
          <w:tcPr>
            <w:tcW w:w="89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cs="Times New Roman"/>
                <w:snapToGrid w:val="0"/>
                <w:color w:val="auto"/>
                <w:kern w:val="24"/>
                <w:sz w:val="21"/>
                <w:szCs w:val="21"/>
                <w:highlight w:val="none"/>
              </w:rPr>
              <w:t>⑤</w:t>
            </w:r>
          </w:p>
        </w:tc>
        <w:tc>
          <w:tcPr>
            <w:tcW w:w="130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eastAsia="zh-CN"/>
              </w:rPr>
              <w:t>平整、</w:t>
            </w:r>
            <w:r>
              <w:rPr>
                <w:rFonts w:hint="default" w:ascii="Times New Roman" w:hAnsi="Times New Roman" w:eastAsia="仿宋_GB2312" w:cs="Times New Roman"/>
                <w:snapToGrid w:val="0"/>
                <w:color w:val="auto"/>
                <w:kern w:val="24"/>
                <w:sz w:val="21"/>
                <w:szCs w:val="21"/>
                <w:highlight w:val="none"/>
              </w:rPr>
              <w:t>基础开挖回填</w:t>
            </w:r>
          </w:p>
        </w:tc>
        <w:tc>
          <w:tcPr>
            <w:tcW w:w="96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0.335</w:t>
            </w:r>
          </w:p>
        </w:tc>
        <w:tc>
          <w:tcPr>
            <w:tcW w:w="9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0.335</w:t>
            </w:r>
          </w:p>
        </w:tc>
        <w:tc>
          <w:tcPr>
            <w:tcW w:w="107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0.335</w:t>
            </w:r>
          </w:p>
        </w:tc>
        <w:tc>
          <w:tcPr>
            <w:tcW w:w="104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89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0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0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77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77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89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9" w:type="dxa"/>
            <w:gridSpan w:val="4"/>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合计</w:t>
            </w:r>
          </w:p>
        </w:tc>
        <w:tc>
          <w:tcPr>
            <w:tcW w:w="96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4.968</w:t>
            </w:r>
          </w:p>
        </w:tc>
        <w:tc>
          <w:tcPr>
            <w:tcW w:w="91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4.968</w:t>
            </w:r>
          </w:p>
        </w:tc>
        <w:tc>
          <w:tcPr>
            <w:tcW w:w="107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4.968</w:t>
            </w:r>
          </w:p>
        </w:tc>
        <w:tc>
          <w:tcPr>
            <w:tcW w:w="104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89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0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0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77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77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89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r>
    </w:tbl>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p>
      <w:pPr>
        <w:pStyle w:val="56"/>
        <w:spacing w:line="240" w:lineRule="auto"/>
        <w:ind w:firstLine="480"/>
        <w:rPr>
          <w:rFonts w:hint="default" w:ascii="Times New Roman" w:hAnsi="Times New Roman" w:cs="Times New Roman"/>
          <w:color w:val="auto"/>
          <w:highlight w:val="none"/>
        </w:rPr>
      </w:pPr>
    </w:p>
    <w:p>
      <w:pPr>
        <w:pStyle w:val="56"/>
        <w:spacing w:line="240" w:lineRule="auto"/>
        <w:ind w:firstLine="480"/>
        <w:rPr>
          <w:rFonts w:hint="default" w:ascii="Times New Roman" w:hAnsi="Times New Roman" w:cs="Times New Roman"/>
          <w:color w:val="auto"/>
          <w:highlight w:val="none"/>
        </w:rPr>
        <w:sectPr>
          <w:pgSz w:w="16838" w:h="11906" w:orient="landscape"/>
          <w:pgMar w:top="1531" w:right="1440" w:bottom="1531" w:left="1440" w:header="851" w:footer="992" w:gutter="0"/>
          <w:pgBorders>
            <w:top w:val="none" w:sz="0" w:space="0"/>
            <w:left w:val="none" w:sz="0" w:space="0"/>
            <w:bottom w:val="none" w:sz="0" w:space="0"/>
            <w:right w:val="none" w:sz="0" w:space="0"/>
          </w:pgBorders>
          <w:pgNumType w:chapStyle="1"/>
          <w:cols w:space="720" w:num="1"/>
          <w:docGrid w:linePitch="326" w:charSpace="0"/>
        </w:sectPr>
      </w:pPr>
    </w:p>
    <w:p>
      <w:pPr>
        <w:pStyle w:val="56"/>
        <w:spacing w:line="240" w:lineRule="auto"/>
        <w:ind w:firstLine="0" w:firstLineChars="0"/>
        <w:jc w:val="left"/>
        <w:rPr>
          <w:rFonts w:hint="default" w:ascii="Times New Roman" w:hAnsi="Times New Roman" w:cs="Times New Roman"/>
          <w:color w:val="auto"/>
          <w:highlight w:val="none"/>
        </w:rPr>
      </w:pPr>
      <w:r>
        <w:drawing>
          <wp:inline distT="0" distB="0" distL="114300" distR="114300">
            <wp:extent cx="5612130" cy="2326005"/>
            <wp:effectExtent l="0" t="0" r="7620" b="1714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7"/>
                    <a:stretch>
                      <a:fillRect/>
                    </a:stretch>
                  </pic:blipFill>
                  <pic:spPr>
                    <a:xfrm>
                      <a:off x="0" y="0"/>
                      <a:ext cx="5612130" cy="2326005"/>
                    </a:xfrm>
                    <a:prstGeom prst="rect">
                      <a:avLst/>
                    </a:prstGeom>
                    <a:noFill/>
                    <a:ln>
                      <a:noFill/>
                    </a:ln>
                  </pic:spPr>
                </pic:pic>
              </a:graphicData>
            </a:graphic>
          </wp:inline>
        </w:drawing>
      </w:r>
    </w:p>
    <w:p>
      <w:pPr>
        <w:pStyle w:val="75"/>
        <w:spacing w:after="120" w:afterLines="50"/>
        <w:rPr>
          <w:rFonts w:hint="default" w:ascii="Times New Roman" w:hAnsi="Times New Roman" w:cs="Times New Roman"/>
          <w:color w:val="auto"/>
          <w:highlight w:val="none"/>
        </w:rPr>
      </w:pPr>
      <w:bookmarkStart w:id="79" w:name="_Toc417412312"/>
      <w:r>
        <w:rPr>
          <w:rFonts w:hint="default" w:ascii="Times New Roman" w:hAnsi="Times New Roman" w:cs="Times New Roman"/>
          <w:color w:val="auto"/>
          <w:highlight w:val="none"/>
        </w:rPr>
        <w:t>图2.4-1      土石方流向图</w:t>
      </w:r>
    </w:p>
    <w:p>
      <w:pPr>
        <w:pStyle w:val="66"/>
        <w:ind w:firstLine="148"/>
        <w:rPr>
          <w:rFonts w:hint="default" w:ascii="Times New Roman" w:hAnsi="Times New Roman" w:cs="Times New Roman"/>
          <w:color w:val="auto"/>
          <w:highlight w:val="none"/>
        </w:rPr>
      </w:pPr>
      <w:bookmarkStart w:id="80" w:name="_Toc16269"/>
      <w:r>
        <w:rPr>
          <w:rFonts w:hint="default" w:ascii="Times New Roman" w:hAnsi="Times New Roman" w:cs="Times New Roman"/>
          <w:color w:val="auto"/>
          <w:highlight w:val="none"/>
        </w:rPr>
        <w:t>2.5 拆迁（移民）安置</w:t>
      </w:r>
      <w:bookmarkEnd w:id="79"/>
      <w:r>
        <w:rPr>
          <w:rFonts w:hint="default" w:ascii="Times New Roman" w:hAnsi="Times New Roman" w:cs="Times New Roman"/>
          <w:color w:val="auto"/>
          <w:highlight w:val="none"/>
        </w:rPr>
        <w:t>与专项设施改（迁）建</w:t>
      </w:r>
      <w:bookmarkEnd w:id="80"/>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项目厂址所在区域原为空地，覆盖有荒漠植被，无腐殖质表层，原生植被覆盖率10%左右，本项目建设不存在拆迁安置问题。</w:t>
      </w:r>
    </w:p>
    <w:p>
      <w:pPr>
        <w:pStyle w:val="66"/>
        <w:ind w:firstLine="148"/>
        <w:rPr>
          <w:rFonts w:hint="default" w:ascii="Times New Roman" w:hAnsi="Times New Roman" w:cs="Times New Roman"/>
          <w:color w:val="auto"/>
          <w:highlight w:val="none"/>
        </w:rPr>
      </w:pPr>
      <w:bookmarkStart w:id="81" w:name="_Toc26344"/>
      <w:r>
        <w:rPr>
          <w:rFonts w:hint="default" w:ascii="Times New Roman" w:hAnsi="Times New Roman" w:cs="Times New Roman"/>
          <w:color w:val="auto"/>
          <w:highlight w:val="none"/>
        </w:rPr>
        <w:t>2.6 施工进度</w:t>
      </w:r>
      <w:bookmarkEnd w:id="81"/>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本工程总工期</w:t>
      </w:r>
      <w:r>
        <w:rPr>
          <w:rFonts w:hint="eastAsia" w:cs="Times New Roman"/>
          <w:color w:val="auto"/>
          <w:highlight w:val="none"/>
          <w:lang w:val="en-US" w:eastAsia="zh-CN"/>
        </w:rPr>
        <w:t>13</w:t>
      </w:r>
      <w:r>
        <w:rPr>
          <w:rFonts w:hint="default" w:ascii="Times New Roman" w:hAnsi="Times New Roman" w:cs="Times New Roman"/>
          <w:color w:val="auto"/>
          <w:highlight w:val="none"/>
        </w:rPr>
        <w:t>个月，工程于20</w:t>
      </w:r>
      <w:r>
        <w:rPr>
          <w:rFonts w:hint="eastAsia" w:cs="Times New Roman"/>
          <w:color w:val="auto"/>
          <w:highlight w:val="none"/>
          <w:lang w:val="en-US" w:eastAsia="zh-CN"/>
        </w:rPr>
        <w:t>12</w:t>
      </w:r>
      <w:r>
        <w:rPr>
          <w:rFonts w:hint="default" w:ascii="Times New Roman" w:hAnsi="Times New Roman" w:cs="Times New Roman"/>
          <w:color w:val="auto"/>
          <w:highlight w:val="none"/>
        </w:rPr>
        <w:t>年</w:t>
      </w:r>
      <w:r>
        <w:rPr>
          <w:rFonts w:hint="eastAsia" w:cs="Times New Roman"/>
          <w:color w:val="auto"/>
          <w:highlight w:val="none"/>
          <w:lang w:val="en-US" w:eastAsia="zh-CN"/>
        </w:rPr>
        <w:t>12</w:t>
      </w:r>
      <w:r>
        <w:rPr>
          <w:rFonts w:hint="default" w:ascii="Times New Roman" w:hAnsi="Times New Roman" w:cs="Times New Roman"/>
          <w:color w:val="auto"/>
          <w:highlight w:val="none"/>
        </w:rPr>
        <w:t>月</w:t>
      </w:r>
      <w:r>
        <w:rPr>
          <w:rFonts w:hint="eastAsia" w:cs="Times New Roman"/>
          <w:color w:val="auto"/>
          <w:highlight w:val="none"/>
          <w:lang w:val="en-US" w:eastAsia="zh-CN"/>
        </w:rPr>
        <w:t>1日</w:t>
      </w:r>
      <w:r>
        <w:rPr>
          <w:rFonts w:hint="default" w:ascii="Times New Roman" w:hAnsi="Times New Roman" w:cs="Times New Roman"/>
          <w:color w:val="auto"/>
          <w:highlight w:val="none"/>
        </w:rPr>
        <w:t>开工建设，于20</w:t>
      </w:r>
      <w:r>
        <w:rPr>
          <w:rFonts w:hint="eastAsia" w:cs="Times New Roman"/>
          <w:color w:val="auto"/>
          <w:highlight w:val="none"/>
          <w:lang w:val="en-US" w:eastAsia="zh-CN"/>
        </w:rPr>
        <w:t>13</w:t>
      </w:r>
      <w:r>
        <w:rPr>
          <w:rFonts w:hint="default" w:ascii="Times New Roman" w:hAnsi="Times New Roman" w:cs="Times New Roman"/>
          <w:color w:val="auto"/>
          <w:highlight w:val="none"/>
        </w:rPr>
        <w:t>年12月</w:t>
      </w:r>
      <w:r>
        <w:rPr>
          <w:rFonts w:hint="eastAsia" w:cs="Times New Roman"/>
          <w:color w:val="auto"/>
          <w:highlight w:val="none"/>
          <w:lang w:val="en-US" w:eastAsia="zh-CN"/>
        </w:rPr>
        <w:t>10日</w:t>
      </w:r>
      <w:r>
        <w:rPr>
          <w:rFonts w:hint="default" w:ascii="Times New Roman" w:hAnsi="Times New Roman" w:cs="Times New Roman"/>
          <w:color w:val="auto"/>
          <w:highlight w:val="none"/>
        </w:rPr>
        <w:t>建设完成</w:t>
      </w:r>
      <w:r>
        <w:rPr>
          <w:rFonts w:hint="eastAsia" w:cs="Times New Roman"/>
          <w:color w:val="auto"/>
          <w:highlight w:val="none"/>
          <w:lang w:eastAsia="zh-CN"/>
        </w:rPr>
        <w:t>，项目于</w:t>
      </w:r>
      <w:r>
        <w:rPr>
          <w:rFonts w:hint="eastAsia" w:cs="Times New Roman"/>
          <w:color w:val="auto"/>
          <w:highlight w:val="none"/>
          <w:lang w:val="en-US" w:eastAsia="zh-CN"/>
        </w:rPr>
        <w:t>2013年12月20日并网11MWp</w:t>
      </w:r>
      <w:r>
        <w:rPr>
          <w:rFonts w:hint="default" w:ascii="Times New Roman" w:hAnsi="Times New Roman" w:cs="Times New Roman"/>
          <w:color w:val="auto"/>
          <w:highlight w:val="none"/>
        </w:rPr>
        <w:t>。</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表2.6-1    项目施工进度表</w:t>
      </w:r>
    </w:p>
    <w:p>
      <w:pPr>
        <w:pStyle w:val="75"/>
        <w:jc w:val="left"/>
        <w:rPr>
          <w:rFonts w:hint="default" w:ascii="Times New Roman" w:hAnsi="Times New Roman" w:cs="Times New Roman"/>
          <w:color w:val="auto"/>
          <w:highlight w:val="none"/>
        </w:rPr>
      </w:pPr>
      <w:r>
        <w:drawing>
          <wp:inline distT="0" distB="0" distL="114300" distR="114300">
            <wp:extent cx="5613400" cy="2969895"/>
            <wp:effectExtent l="0" t="0" r="6350" b="1905"/>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38"/>
                    <a:stretch>
                      <a:fillRect/>
                    </a:stretch>
                  </pic:blipFill>
                  <pic:spPr>
                    <a:xfrm>
                      <a:off x="0" y="0"/>
                      <a:ext cx="5613400" cy="2969895"/>
                    </a:xfrm>
                    <a:prstGeom prst="rect">
                      <a:avLst/>
                    </a:prstGeom>
                    <a:noFill/>
                    <a:ln>
                      <a:noFill/>
                    </a:ln>
                  </pic:spPr>
                </pic:pic>
              </a:graphicData>
            </a:graphic>
          </wp:inline>
        </w:drawing>
      </w:r>
    </w:p>
    <w:p>
      <w:pPr>
        <w:pStyle w:val="75"/>
        <w:rPr>
          <w:rFonts w:hint="default" w:ascii="Times New Roman" w:hAnsi="Times New Roman" w:cs="Times New Roman"/>
          <w:color w:val="auto"/>
          <w:highlight w:val="none"/>
        </w:rPr>
      </w:pPr>
    </w:p>
    <w:p>
      <w:pPr>
        <w:pStyle w:val="66"/>
        <w:ind w:firstLine="148"/>
        <w:rPr>
          <w:rFonts w:hint="default" w:ascii="Times New Roman" w:hAnsi="Times New Roman" w:cs="Times New Roman"/>
          <w:color w:val="auto"/>
          <w:highlight w:val="none"/>
        </w:rPr>
      </w:pPr>
      <w:bookmarkStart w:id="82" w:name="_Toc19974"/>
      <w:r>
        <w:rPr>
          <w:rFonts w:hint="default" w:ascii="Times New Roman" w:hAnsi="Times New Roman" w:cs="Times New Roman"/>
          <w:color w:val="auto"/>
          <w:highlight w:val="none"/>
        </w:rPr>
        <w:t>2.7 自然概况</w:t>
      </w:r>
      <w:bookmarkEnd w:id="82"/>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2.7.1 地形地貌</w:t>
      </w:r>
    </w:p>
    <w:p>
      <w:pPr>
        <w:widowControl/>
        <w:ind w:firstLine="480"/>
        <w:jc w:val="left"/>
        <w:rPr>
          <w:rFonts w:hint="default" w:ascii="Times New Roman" w:hAnsi="Times New Roman" w:eastAsia="仿宋_GB2312" w:cs="Times New Roman"/>
          <w:snapToGrid w:val="0"/>
          <w:color w:val="auto"/>
          <w:kern w:val="24"/>
          <w:szCs w:val="24"/>
          <w:highlight w:val="none"/>
        </w:rPr>
      </w:pPr>
      <w:r>
        <w:rPr>
          <w:rFonts w:hint="eastAsia" w:eastAsia="仿宋_GB2312" w:cs="Times New Roman"/>
          <w:snapToGrid w:val="0"/>
          <w:color w:val="auto"/>
          <w:kern w:val="24"/>
          <w:szCs w:val="24"/>
          <w:highlight w:val="none"/>
          <w:lang w:eastAsia="zh-CN"/>
        </w:rPr>
        <w:t>项目</w:t>
      </w:r>
      <w:r>
        <w:rPr>
          <w:rFonts w:hint="default" w:ascii="Times New Roman" w:hAnsi="Times New Roman" w:eastAsia="仿宋_GB2312" w:cs="Times New Roman"/>
          <w:snapToGrid w:val="0"/>
          <w:color w:val="auto"/>
          <w:kern w:val="24"/>
          <w:szCs w:val="24"/>
          <w:highlight w:val="none"/>
        </w:rPr>
        <w:t>区位于吐鲁番盆地东北部，吐鲁番盆地为封闭式山间盆地，北部为博格达山，大地构造上是准噶尔～哈萨克斯坦板块的一部分，位于准葛尔～哈萨克斯坦板块与塔里木板块汇集部位。</w:t>
      </w:r>
    </w:p>
    <w:p>
      <w:pPr>
        <w:pStyle w:val="56"/>
        <w:ind w:firstLine="480"/>
        <w:rPr>
          <w:rFonts w:hint="default" w:ascii="Times New Roman" w:hAnsi="Times New Roman" w:cs="Times New Roman"/>
          <w:color w:val="auto"/>
          <w:highlight w:val="none"/>
        </w:rPr>
      </w:pPr>
      <w:r>
        <w:rPr>
          <w:rFonts w:hint="eastAsia" w:eastAsia="仿宋_GB2312" w:cs="Times New Roman"/>
          <w:snapToGrid w:val="0"/>
          <w:color w:val="auto"/>
          <w:kern w:val="24"/>
          <w:szCs w:val="24"/>
          <w:highlight w:val="none"/>
          <w:lang w:eastAsia="zh-CN"/>
        </w:rPr>
        <w:t>项目区</w:t>
      </w:r>
      <w:r>
        <w:rPr>
          <w:rFonts w:hint="default" w:ascii="Times New Roman" w:hAnsi="Times New Roman" w:cs="Times New Roman"/>
          <w:color w:val="auto"/>
          <w:highlight w:val="none"/>
        </w:rPr>
        <w:t>场址地貌</w:t>
      </w:r>
      <w:r>
        <w:rPr>
          <w:rFonts w:hint="eastAsia" w:cs="Times New Roman"/>
          <w:color w:val="auto"/>
          <w:highlight w:val="none"/>
          <w:lang w:eastAsia="zh-CN"/>
        </w:rPr>
        <w:t>单元</w:t>
      </w:r>
      <w:r>
        <w:rPr>
          <w:rFonts w:hint="default" w:ascii="Times New Roman" w:hAnsi="Times New Roman" w:cs="Times New Roman"/>
          <w:color w:val="auto"/>
          <w:highlight w:val="none"/>
        </w:rPr>
        <w:t>属</w:t>
      </w:r>
      <w:r>
        <w:rPr>
          <w:rFonts w:hint="eastAsia" w:cs="Times New Roman"/>
          <w:color w:val="auto"/>
          <w:highlight w:val="none"/>
          <w:lang w:eastAsia="zh-CN"/>
        </w:rPr>
        <w:t>博格达山</w:t>
      </w:r>
      <w:r>
        <w:rPr>
          <w:rFonts w:hint="default" w:ascii="Times New Roman" w:hAnsi="Times New Roman" w:cs="Times New Roman"/>
          <w:color w:val="auto"/>
          <w:highlight w:val="none"/>
        </w:rPr>
        <w:t>山前冲洪积平原，</w:t>
      </w:r>
      <w:r>
        <w:rPr>
          <w:rFonts w:hint="eastAsia" w:cs="Times New Roman"/>
          <w:color w:val="auto"/>
          <w:highlight w:val="none"/>
          <w:lang w:eastAsia="zh-CN"/>
        </w:rPr>
        <w:t>地貌上属于低山丘陵和洪积扇，因</w:t>
      </w:r>
      <w:r>
        <w:rPr>
          <w:rFonts w:hint="eastAsia" w:eastAsia="仿宋_GB2312" w:cs="Times New Roman"/>
          <w:snapToGrid w:val="0"/>
          <w:color w:val="auto"/>
          <w:kern w:val="24"/>
          <w:szCs w:val="24"/>
          <w:highlight w:val="none"/>
          <w:lang w:eastAsia="zh-CN"/>
        </w:rPr>
        <w:t>距离</w:t>
      </w:r>
      <w:r>
        <w:rPr>
          <w:rFonts w:hint="default" w:ascii="Times New Roman" w:hAnsi="Times New Roman" w:eastAsia="仿宋_GB2312" w:cs="Times New Roman"/>
          <w:snapToGrid w:val="0"/>
          <w:color w:val="auto"/>
          <w:kern w:val="24"/>
          <w:szCs w:val="24"/>
          <w:highlight w:val="none"/>
        </w:rPr>
        <w:t>博格达山</w:t>
      </w:r>
      <w:r>
        <w:rPr>
          <w:rFonts w:hint="eastAsia" w:eastAsia="仿宋_GB2312" w:cs="Times New Roman"/>
          <w:snapToGrid w:val="0"/>
          <w:color w:val="auto"/>
          <w:kern w:val="24"/>
          <w:szCs w:val="24"/>
          <w:highlight w:val="none"/>
          <w:lang w:eastAsia="zh-CN"/>
        </w:rPr>
        <w:t>较远，</w:t>
      </w:r>
      <w:r>
        <w:rPr>
          <w:rFonts w:hint="default" w:ascii="Times New Roman" w:hAnsi="Times New Roman" w:cs="Times New Roman"/>
          <w:color w:val="auto"/>
          <w:highlight w:val="none"/>
        </w:rPr>
        <w:t>地势平缓、开阔</w:t>
      </w:r>
      <w:r>
        <w:rPr>
          <w:rFonts w:hint="eastAsia" w:cs="Times New Roman"/>
          <w:color w:val="auto"/>
          <w:highlight w:val="none"/>
          <w:lang w:eastAsia="zh-CN"/>
        </w:rPr>
        <w:t>，</w:t>
      </w:r>
      <w:r>
        <w:rPr>
          <w:rFonts w:hint="default" w:ascii="Times New Roman" w:hAnsi="Times New Roman" w:cs="Times New Roman"/>
          <w:color w:val="auto"/>
          <w:highlight w:val="none"/>
        </w:rPr>
        <w:t>地形坡度小于 1°</w:t>
      </w:r>
      <w:r>
        <w:rPr>
          <w:rFonts w:hint="eastAsia" w:cs="Times New Roman"/>
          <w:color w:val="auto"/>
          <w:highlight w:val="none"/>
          <w:lang w:eastAsia="zh-CN"/>
        </w:rPr>
        <w:t>，场地较平整</w:t>
      </w:r>
      <w:r>
        <w:rPr>
          <w:rFonts w:hint="default" w:ascii="Times New Roman" w:hAnsi="Times New Roman" w:cs="Times New Roman"/>
          <w:color w:val="auto"/>
          <w:highlight w:val="none"/>
        </w:rPr>
        <w:t>。地面高程 1100m～1130m，场址东北高，西南低，</w:t>
      </w:r>
      <w:r>
        <w:rPr>
          <w:rFonts w:hint="eastAsia" w:cs="Times New Roman"/>
          <w:color w:val="auto"/>
          <w:highlight w:val="none"/>
          <w:lang w:eastAsia="zh-CN"/>
        </w:rPr>
        <w:t>总的地形由北向南倾斜，</w:t>
      </w:r>
      <w:r>
        <w:rPr>
          <w:rFonts w:hint="default" w:ascii="Times New Roman" w:hAnsi="Times New Roman" w:cs="Times New Roman"/>
          <w:color w:val="auto"/>
          <w:highlight w:val="none"/>
        </w:rPr>
        <w:t>局部发育宽浅冲沟，冲沟方向基本为由</w:t>
      </w:r>
      <w:r>
        <w:rPr>
          <w:rFonts w:hint="eastAsia" w:cs="Times New Roman"/>
          <w:color w:val="auto"/>
          <w:highlight w:val="none"/>
          <w:lang w:eastAsia="zh-CN"/>
        </w:rPr>
        <w:t>北</w:t>
      </w:r>
      <w:r>
        <w:rPr>
          <w:rFonts w:hint="default" w:ascii="Times New Roman" w:hAnsi="Times New Roman" w:cs="Times New Roman"/>
          <w:color w:val="auto"/>
          <w:highlight w:val="none"/>
        </w:rPr>
        <w:t>向</w:t>
      </w:r>
      <w:r>
        <w:rPr>
          <w:rFonts w:hint="eastAsia" w:cs="Times New Roman"/>
          <w:color w:val="auto"/>
          <w:highlight w:val="none"/>
          <w:lang w:eastAsia="zh-CN"/>
        </w:rPr>
        <w:t>南</w:t>
      </w:r>
      <w:r>
        <w:rPr>
          <w:rFonts w:hint="default" w:ascii="Times New Roman" w:hAnsi="Times New Roman" w:cs="Times New Roman"/>
          <w:color w:val="auto"/>
          <w:highlight w:val="none"/>
        </w:rPr>
        <w:t>。</w:t>
      </w:r>
    </w:p>
    <w:p>
      <w:pPr>
        <w:pStyle w:val="56"/>
        <w:ind w:firstLine="480"/>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rPr>
        <w:t>项目厂址所在区域原为</w:t>
      </w:r>
      <w:r>
        <w:rPr>
          <w:rFonts w:hint="eastAsia" w:cs="Times New Roman"/>
          <w:color w:val="auto"/>
          <w:highlight w:val="none"/>
          <w:lang w:eastAsia="zh-CN"/>
        </w:rPr>
        <w:t>戈壁荒漠</w:t>
      </w:r>
      <w:r>
        <w:rPr>
          <w:rFonts w:hint="default" w:ascii="Times New Roman" w:hAnsi="Times New Roman" w:cs="Times New Roman"/>
          <w:color w:val="auto"/>
          <w:highlight w:val="none"/>
        </w:rPr>
        <w:t>，覆盖有荒漠植被，无腐殖质表层，原生植被覆盖率</w:t>
      </w:r>
      <w:r>
        <w:rPr>
          <w:rFonts w:hint="eastAsia" w:cs="Times New Roman"/>
          <w:color w:val="auto"/>
          <w:highlight w:val="none"/>
          <w:lang w:val="en-US" w:eastAsia="zh-CN"/>
        </w:rPr>
        <w:t>5</w:t>
      </w:r>
      <w:r>
        <w:rPr>
          <w:rFonts w:hint="default" w:ascii="Times New Roman" w:hAnsi="Times New Roman" w:cs="Times New Roman"/>
          <w:color w:val="auto"/>
          <w:highlight w:val="none"/>
        </w:rPr>
        <w:t>%左右</w:t>
      </w:r>
      <w:r>
        <w:rPr>
          <w:rFonts w:hint="default" w:ascii="Times New Roman" w:hAnsi="Times New Roman" w:cs="Times New Roman"/>
          <w:color w:val="auto"/>
          <w:highlight w:val="none"/>
          <w:lang w:val="en-US" w:eastAsia="zh-CN"/>
        </w:rPr>
        <w:t>。</w:t>
      </w:r>
    </w:p>
    <w:tbl>
      <w:tblPr>
        <w:tblStyle w:val="27"/>
        <w:tblW w:w="90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30"/>
        <w:gridCol w:w="45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2" w:hRule="exact"/>
        </w:trPr>
        <w:tc>
          <w:tcPr>
            <w:tcW w:w="4530" w:type="dxa"/>
            <w:shd w:val="clear" w:color="auto" w:fill="auto"/>
            <w:vAlign w:val="center"/>
          </w:tcPr>
          <w:p>
            <w:pPr>
              <w:pStyle w:val="84"/>
              <w:rPr>
                <w:rFonts w:hint="default" w:ascii="Times New Roman" w:hAnsi="Times New Roman" w:eastAsia="仿宋_GB2312" w:cs="Times New Roman"/>
                <w:color w:val="auto"/>
                <w:highlight w:val="none"/>
                <w:lang w:eastAsia="zh-CN"/>
              </w:rPr>
            </w:pPr>
            <w:r>
              <w:rPr>
                <w:rFonts w:hint="eastAsia" w:ascii="仿宋_GB2312" w:hAnsi="仿宋_GB2312" w:eastAsia="仿宋_GB2312" w:cs="仿宋_GB2312"/>
                <w:color w:val="000000"/>
              </w:rPr>
              <w:drawing>
                <wp:inline distT="0" distB="0" distL="114300" distR="114300">
                  <wp:extent cx="2592705" cy="2132330"/>
                  <wp:effectExtent l="0" t="0" r="17145" b="1270"/>
                  <wp:docPr id="15" name="图片 2" descr="DSCF3573"/>
                  <wp:cNvGraphicFramePr/>
                  <a:graphic xmlns:a="http://schemas.openxmlformats.org/drawingml/2006/main">
                    <a:graphicData uri="http://schemas.openxmlformats.org/drawingml/2006/picture">
                      <pic:pic xmlns:pic="http://schemas.openxmlformats.org/drawingml/2006/picture">
                        <pic:nvPicPr>
                          <pic:cNvPr id="15" name="图片 2" descr="DSCF3573"/>
                          <pic:cNvPicPr preferRelativeResize="0"/>
                        </pic:nvPicPr>
                        <pic:blipFill>
                          <a:blip r:embed="rId39"/>
                          <a:stretch>
                            <a:fillRect/>
                          </a:stretch>
                        </pic:blipFill>
                        <pic:spPr>
                          <a:xfrm>
                            <a:off x="0" y="0"/>
                            <a:ext cx="2592705" cy="2132330"/>
                          </a:xfrm>
                          <a:prstGeom prst="rect">
                            <a:avLst/>
                          </a:prstGeom>
                          <a:noFill/>
                          <a:ln>
                            <a:noFill/>
                          </a:ln>
                        </pic:spPr>
                      </pic:pic>
                    </a:graphicData>
                  </a:graphic>
                </wp:inline>
              </w:drawing>
            </w:r>
            <w:r>
              <w:rPr>
                <w:rFonts w:hint="default" w:ascii="Times New Roman" w:hAnsi="Times New Roman" w:eastAsia="仿宋_GB2312" w:cs="Times New Roman"/>
                <w:color w:val="auto"/>
                <w:highlight w:val="none"/>
                <w:lang w:eastAsia="zh-CN"/>
              </w:rPr>
              <w:drawing>
                <wp:inline distT="0" distB="0" distL="114300" distR="114300">
                  <wp:extent cx="2735580" cy="2051685"/>
                  <wp:effectExtent l="0" t="0" r="7620" b="5715"/>
                  <wp:docPr id="11" name="图片 11" descr="ced98dcb5f5a3dc3abbb33fac5b8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ed98dcb5f5a3dc3abbb33fac5b8d78"/>
                          <pic:cNvPicPr>
                            <a:picLocks noChangeAspect="1"/>
                          </pic:cNvPicPr>
                        </pic:nvPicPr>
                        <pic:blipFill>
                          <a:blip r:embed="rId40"/>
                          <a:stretch>
                            <a:fillRect/>
                          </a:stretch>
                        </pic:blipFill>
                        <pic:spPr>
                          <a:xfrm>
                            <a:off x="0" y="0"/>
                            <a:ext cx="2735580" cy="2051685"/>
                          </a:xfrm>
                          <a:prstGeom prst="rect">
                            <a:avLst/>
                          </a:prstGeom>
                        </pic:spPr>
                      </pic:pic>
                    </a:graphicData>
                  </a:graphic>
                </wp:inline>
              </w:drawing>
            </w:r>
          </w:p>
        </w:tc>
        <w:tc>
          <w:tcPr>
            <w:tcW w:w="4530" w:type="dxa"/>
            <w:shd w:val="clear" w:color="auto" w:fill="auto"/>
            <w:vAlign w:val="center"/>
          </w:tcPr>
          <w:p>
            <w:pPr>
              <w:pStyle w:val="84"/>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drawing>
                <wp:inline distT="0" distB="0" distL="114300" distR="114300">
                  <wp:extent cx="2691765" cy="2019300"/>
                  <wp:effectExtent l="0" t="0" r="13335" b="0"/>
                  <wp:docPr id="29" name="图片 29" descr="IMG_20200531_13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00531_134655"/>
                          <pic:cNvPicPr>
                            <a:picLocks noChangeAspect="1"/>
                          </pic:cNvPicPr>
                        </pic:nvPicPr>
                        <pic:blipFill>
                          <a:blip r:embed="rId41"/>
                          <a:stretch>
                            <a:fillRect/>
                          </a:stretch>
                        </pic:blipFill>
                        <pic:spPr>
                          <a:xfrm>
                            <a:off x="0" y="0"/>
                            <a:ext cx="2691765" cy="201930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9060" w:type="dxa"/>
            <w:gridSpan w:val="2"/>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项目区地形地貌</w:t>
            </w:r>
          </w:p>
        </w:tc>
      </w:tr>
    </w:tbl>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2.7.2 地质</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根据勘探资料，场址区地层以第四系松散堆积物为主，主要由全新统冲洪积（Q4al+ pl）角砾层和上更新统冲洪积（Q3al+ pl）角砾层组成。</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第①层：第四系全新统冲洪积（Q4al+pl）角砾层，灰黄色，干燥，松散，粒径2mm～25mm，成份砂岩、砾岩、花岗岩等，细中砂充填，层内可见白色盐粒，表 部覆盖薄层</w:t>
      </w:r>
      <w:r>
        <w:rPr>
          <w:rFonts w:hint="eastAsia" w:cs="Times New Roman"/>
          <w:color w:val="auto"/>
          <w:highlight w:val="none"/>
          <w:lang w:eastAsia="zh-CN"/>
        </w:rPr>
        <w:t>砂砾石</w:t>
      </w:r>
      <w:r>
        <w:rPr>
          <w:rFonts w:hint="default" w:ascii="Times New Roman" w:hAnsi="Times New Roman" w:cs="Times New Roman"/>
          <w:color w:val="auto"/>
          <w:highlight w:val="none"/>
        </w:rPr>
        <w:t>。该层铁镐易挖，分布不稳定，厚度一般为 0.1m～0.3m。</w:t>
      </w:r>
    </w:p>
    <w:p>
      <w:pPr>
        <w:pStyle w:val="56"/>
        <w:ind w:firstLine="480"/>
        <w:rPr>
          <w:rFonts w:hint="eastAsia"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第②层：第四系全新统冲洪积（Q3al+pl）角砾层，杂色，干燥～稍湿，密实， 铁镐难挖。由钻探揭露，砾石含量约 50%～65%，粒径 2mm～25mm，细中砂、粘 土等充填，主要成分为砂岩、花岗岩、石英岩等，磨圆较差，局部夹有粘土薄层</w:t>
      </w:r>
      <w:r>
        <w:rPr>
          <w:rFonts w:hint="eastAsia" w:cs="Times New Roman"/>
          <w:color w:val="auto"/>
          <w:highlight w:val="none"/>
          <w:lang w:eastAsia="zh-CN"/>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第②</w:t>
      </w:r>
      <w:r>
        <w:rPr>
          <w:rFonts w:hint="default" w:ascii="Times New Roman" w:hAnsi="Times New Roman" w:cs="Times New Roman"/>
          <w:color w:val="auto"/>
          <w:highlight w:val="none"/>
          <w:vertAlign w:val="subscript"/>
        </w:rPr>
        <w:t xml:space="preserve">1 </w:t>
      </w:r>
      <w:r>
        <w:rPr>
          <w:rFonts w:hint="default" w:ascii="Times New Roman" w:hAnsi="Times New Roman" w:cs="Times New Roman"/>
          <w:color w:val="auto"/>
          <w:highlight w:val="none"/>
        </w:rPr>
        <w:t>层：第四系全新统冲洪积（Q3al+pl）</w:t>
      </w:r>
      <w:r>
        <w:rPr>
          <w:rFonts w:hint="eastAsia" w:cs="Times New Roman"/>
          <w:color w:val="auto"/>
          <w:highlight w:val="none"/>
          <w:lang w:eastAsia="zh-CN"/>
        </w:rPr>
        <w:t>砂砾石</w:t>
      </w:r>
      <w:r>
        <w:rPr>
          <w:rFonts w:hint="default" w:ascii="Times New Roman" w:hAnsi="Times New Roman" w:cs="Times New Roman"/>
          <w:color w:val="auto"/>
          <w:highlight w:val="none"/>
        </w:rPr>
        <w:t>层，杂色，干燥～稍湿，密实， 铁镐难挖。由钻探揭露，</w:t>
      </w:r>
      <w:r>
        <w:rPr>
          <w:rFonts w:hint="eastAsia" w:cs="Times New Roman"/>
          <w:color w:val="auto"/>
          <w:highlight w:val="none"/>
          <w:lang w:eastAsia="zh-CN"/>
        </w:rPr>
        <w:t>砂砾石</w:t>
      </w:r>
      <w:r>
        <w:rPr>
          <w:rFonts w:hint="default" w:ascii="Times New Roman" w:hAnsi="Times New Roman" w:cs="Times New Roman"/>
          <w:color w:val="auto"/>
          <w:highlight w:val="none"/>
        </w:rPr>
        <w:t>含量约 50%～75%，粒径 2cm～5cm，细中砂、粘土 等充填，主要成分为砂岩、花岗岩、石英岩等，磨圆较差，局部夹有粘土。该层 厚度一般为 0.6m～2.4m，呈薄层透镜体存在于②层中。</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根据《中国季节性冻土标准冻深线图》及当地工程建设经验，场址区存在季节性冻土，其标准冻深线深度为地面以下 1.65m。</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场址区距博格达山相对较远，地势平坦，基本无植被，不存在滑坡、泥石流 等不良物理地质现象。</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2.7.3 气象</w:t>
      </w:r>
    </w:p>
    <w:p>
      <w:pPr>
        <w:widowControl/>
        <w:spacing w:before="6"/>
        <w:ind w:firstLine="480"/>
        <w:jc w:val="left"/>
        <w:rPr>
          <w:rFonts w:hint="default" w:ascii="Times New Roman" w:hAnsi="Times New Roman" w:eastAsia="仿宋_GB2312" w:cs="Times New Roman"/>
          <w:snapToGrid w:val="0"/>
          <w:color w:val="auto"/>
          <w:kern w:val="24"/>
          <w:szCs w:val="24"/>
          <w:highlight w:val="none"/>
        </w:rPr>
      </w:pPr>
      <w:bookmarkStart w:id="83" w:name="_Toc234207293"/>
      <w:bookmarkStart w:id="84" w:name="_Toc228880925"/>
      <w:r>
        <w:rPr>
          <w:rFonts w:hint="default" w:ascii="Times New Roman" w:hAnsi="Times New Roman" w:eastAsia="仿宋_GB2312" w:cs="Times New Roman"/>
          <w:snapToGrid w:val="0"/>
          <w:color w:val="auto"/>
          <w:kern w:val="24"/>
          <w:szCs w:val="24"/>
          <w:highlight w:val="none"/>
        </w:rPr>
        <w:t>光伏场区附近较近的气象站为</w:t>
      </w:r>
      <w:r>
        <w:rPr>
          <w:rFonts w:hint="eastAsia" w:eastAsia="仿宋_GB2312" w:cs="Times New Roman"/>
          <w:snapToGrid w:val="0"/>
          <w:color w:val="auto"/>
          <w:kern w:val="24"/>
          <w:szCs w:val="24"/>
          <w:highlight w:val="none"/>
          <w:lang w:eastAsia="zh-CN"/>
        </w:rPr>
        <w:t>哈密市</w:t>
      </w:r>
      <w:r>
        <w:rPr>
          <w:rFonts w:hint="default" w:ascii="Times New Roman" w:hAnsi="Times New Roman" w:eastAsia="仿宋_GB2312" w:cs="Times New Roman"/>
          <w:snapToGrid w:val="0"/>
          <w:color w:val="auto"/>
          <w:kern w:val="24"/>
          <w:szCs w:val="24"/>
          <w:highlight w:val="none"/>
        </w:rPr>
        <w:t>气象站</w:t>
      </w:r>
      <w:r>
        <w:rPr>
          <w:rFonts w:hint="eastAsia" w:eastAsia="仿宋_GB2312" w:cs="Times New Roman"/>
          <w:snapToGrid w:val="0"/>
          <w:color w:val="auto"/>
          <w:kern w:val="24"/>
          <w:szCs w:val="24"/>
          <w:highlight w:val="none"/>
          <w:lang w:eastAsia="zh-CN"/>
        </w:rPr>
        <w:t>，哈密市气象站为国家基准气象站，该站地理位置为北纬42°49′，东经93°31′，海拔高度737.2米</w:t>
      </w:r>
      <w:r>
        <w:rPr>
          <w:rFonts w:hint="default" w:ascii="Times New Roman" w:hAnsi="Times New Roman" w:eastAsia="仿宋_GB2312" w:cs="Times New Roman"/>
          <w:snapToGrid w:val="0"/>
          <w:color w:val="auto"/>
          <w:kern w:val="24"/>
          <w:szCs w:val="24"/>
          <w:highlight w:val="none"/>
        </w:rPr>
        <w:t>。</w:t>
      </w:r>
      <w:r>
        <w:rPr>
          <w:rFonts w:hint="eastAsia" w:eastAsia="仿宋_GB2312" w:cs="Times New Roman"/>
          <w:snapToGrid w:val="0"/>
          <w:color w:val="auto"/>
          <w:kern w:val="24"/>
          <w:szCs w:val="24"/>
          <w:highlight w:val="none"/>
          <w:lang w:eastAsia="zh-CN"/>
        </w:rPr>
        <w:t>工程区距气象站</w:t>
      </w:r>
      <w:r>
        <w:rPr>
          <w:rFonts w:hint="eastAsia" w:eastAsia="仿宋_GB2312" w:cs="Times New Roman"/>
          <w:snapToGrid w:val="0"/>
          <w:color w:val="auto"/>
          <w:kern w:val="24"/>
          <w:szCs w:val="24"/>
          <w:highlight w:val="none"/>
          <w:lang w:val="en-US" w:eastAsia="zh-CN"/>
        </w:rPr>
        <w:t>20km，</w:t>
      </w:r>
      <w:r>
        <w:rPr>
          <w:rFonts w:hint="default" w:ascii="Times New Roman" w:hAnsi="Times New Roman" w:eastAsia="仿宋_GB2312" w:cs="Times New Roman"/>
          <w:snapToGrid w:val="0"/>
          <w:color w:val="auto"/>
          <w:kern w:val="24"/>
          <w:szCs w:val="24"/>
          <w:highlight w:val="none"/>
        </w:rPr>
        <w:t>气象站与工程所在区域之间无较大阻挡，气候特征相似，气象站资料系列连续完整，观测、整编规范，资料可靠。根据气象站与工程区域的相对位置，以及气象条件对工程区域的代表性情况，选取</w:t>
      </w:r>
      <w:r>
        <w:rPr>
          <w:rFonts w:hint="eastAsia" w:eastAsia="仿宋_GB2312" w:cs="Times New Roman"/>
          <w:snapToGrid w:val="0"/>
          <w:color w:val="auto"/>
          <w:kern w:val="24"/>
          <w:szCs w:val="24"/>
          <w:highlight w:val="none"/>
          <w:lang w:eastAsia="zh-CN"/>
        </w:rPr>
        <w:t>哈密市</w:t>
      </w:r>
      <w:r>
        <w:rPr>
          <w:rFonts w:hint="default" w:ascii="Times New Roman" w:hAnsi="Times New Roman" w:eastAsia="仿宋_GB2312" w:cs="Times New Roman"/>
          <w:snapToGrid w:val="0"/>
          <w:color w:val="auto"/>
          <w:kern w:val="24"/>
          <w:szCs w:val="24"/>
          <w:highlight w:val="none"/>
        </w:rPr>
        <w:t>气象站作为气象条件分析计算的参考站。</w:t>
      </w:r>
    </w:p>
    <w:p>
      <w:pPr>
        <w:pStyle w:val="13"/>
        <w:spacing w:before="6"/>
        <w:ind w:firstLine="480"/>
        <w:rPr>
          <w:rFonts w:hint="default" w:ascii="Times New Roman" w:hAnsi="Times New Roman" w:eastAsia="仿宋_GB2312" w:cs="Times New Roman"/>
          <w:snapToGrid w:val="0"/>
          <w:color w:val="auto"/>
          <w:kern w:val="24"/>
          <w:szCs w:val="24"/>
          <w:highlight w:val="none"/>
        </w:rPr>
      </w:pPr>
      <w:r>
        <w:rPr>
          <w:rFonts w:hint="default" w:ascii="Times New Roman" w:hAnsi="Times New Roman" w:eastAsia="仿宋_GB2312" w:cs="Times New Roman"/>
          <w:snapToGrid w:val="0"/>
          <w:color w:val="auto"/>
          <w:kern w:val="24"/>
          <w:szCs w:val="24"/>
          <w:highlight w:val="none"/>
        </w:rPr>
        <w:t>项目区属温带干旱荒漠大陆性气候，多年平均气温</w:t>
      </w:r>
      <w:r>
        <w:rPr>
          <w:rFonts w:hint="eastAsia" w:eastAsia="仿宋_GB2312" w:cs="Times New Roman"/>
          <w:snapToGrid w:val="0"/>
          <w:color w:val="auto"/>
          <w:kern w:val="24"/>
          <w:szCs w:val="24"/>
          <w:highlight w:val="none"/>
          <w:lang w:val="en-US" w:eastAsia="zh-CN"/>
        </w:rPr>
        <w:t>10.1</w:t>
      </w:r>
      <w:r>
        <w:rPr>
          <w:rFonts w:hint="default" w:ascii="Times New Roman" w:hAnsi="Times New Roman" w:eastAsia="仿宋_GB2312" w:cs="Times New Roman"/>
          <w:snapToGrid w:val="0"/>
          <w:color w:val="auto"/>
          <w:kern w:val="24"/>
          <w:szCs w:val="24"/>
          <w:highlight w:val="none"/>
        </w:rPr>
        <w:t>℃，极端最低气温-28.9℃，极端最高气温43.2℃，全年无霜期多年平均为206天，全年日照时数为</w:t>
      </w:r>
      <w:r>
        <w:rPr>
          <w:rFonts w:hint="eastAsia" w:eastAsia="仿宋_GB2312" w:cs="Times New Roman"/>
          <w:snapToGrid w:val="0"/>
          <w:color w:val="auto"/>
          <w:kern w:val="24"/>
          <w:szCs w:val="24"/>
          <w:highlight w:val="none"/>
          <w:lang w:val="en-US" w:eastAsia="zh-CN"/>
        </w:rPr>
        <w:t>3285.1</w:t>
      </w:r>
      <w:r>
        <w:rPr>
          <w:rFonts w:hint="default" w:ascii="Times New Roman" w:hAnsi="Times New Roman" w:eastAsia="仿宋_GB2312" w:cs="Times New Roman"/>
          <w:snapToGrid w:val="0"/>
          <w:color w:val="auto"/>
          <w:kern w:val="24"/>
          <w:szCs w:val="24"/>
          <w:highlight w:val="none"/>
        </w:rPr>
        <w:t>小时</w:t>
      </w:r>
      <w:r>
        <w:rPr>
          <w:rFonts w:hint="eastAsia" w:eastAsia="仿宋_GB2312" w:cs="Times New Roman"/>
          <w:snapToGrid w:val="0"/>
          <w:color w:val="auto"/>
          <w:kern w:val="24"/>
          <w:szCs w:val="24"/>
          <w:highlight w:val="none"/>
          <w:lang w:eastAsia="zh-CN"/>
        </w:rPr>
        <w:t>，</w:t>
      </w:r>
      <w:r>
        <w:rPr>
          <w:rFonts w:hint="default" w:ascii="Times New Roman" w:hAnsi="Times New Roman" w:eastAsia="仿宋_GB2312" w:cs="Times New Roman"/>
          <w:snapToGrid w:val="0"/>
          <w:color w:val="auto"/>
          <w:kern w:val="24"/>
          <w:szCs w:val="24"/>
          <w:highlight w:val="none"/>
        </w:rPr>
        <w:t>年太阳总辐射量6273.71MJ/m</w:t>
      </w:r>
      <w:r>
        <w:rPr>
          <w:rFonts w:hint="default" w:ascii="Times New Roman" w:hAnsi="Times New Roman" w:eastAsia="仿宋_GB2312" w:cs="Times New Roman"/>
          <w:snapToGrid w:val="0"/>
          <w:color w:val="auto"/>
          <w:kern w:val="24"/>
          <w:szCs w:val="24"/>
          <w:highlight w:val="none"/>
          <w:vertAlign w:val="superscript"/>
        </w:rPr>
        <w:t>2</w:t>
      </w:r>
      <w:r>
        <w:rPr>
          <w:rFonts w:hint="default" w:ascii="Times New Roman" w:hAnsi="Times New Roman" w:eastAsia="仿宋_GB2312" w:cs="Times New Roman"/>
          <w:snapToGrid w:val="0"/>
          <w:color w:val="auto"/>
          <w:kern w:val="24"/>
          <w:szCs w:val="24"/>
          <w:highlight w:val="none"/>
        </w:rPr>
        <w:t>，是中国太阳辐射量高值区之一。多年平均降水量为</w:t>
      </w:r>
      <w:r>
        <w:rPr>
          <w:rFonts w:hint="eastAsia" w:eastAsia="仿宋_GB2312" w:cs="Times New Roman"/>
          <w:snapToGrid w:val="0"/>
          <w:color w:val="auto"/>
          <w:kern w:val="24"/>
          <w:szCs w:val="24"/>
          <w:highlight w:val="none"/>
          <w:lang w:val="en-US" w:eastAsia="zh-CN"/>
        </w:rPr>
        <w:t>34.9</w:t>
      </w:r>
      <w:r>
        <w:rPr>
          <w:rFonts w:hint="default" w:ascii="Times New Roman" w:hAnsi="Times New Roman" w:eastAsia="仿宋_GB2312" w:cs="Times New Roman"/>
          <w:snapToGrid w:val="0"/>
          <w:color w:val="auto"/>
          <w:kern w:val="24"/>
          <w:szCs w:val="24"/>
          <w:highlight w:val="none"/>
        </w:rPr>
        <w:t>mm，年最大日降雨量18.9mm，年平均风速</w:t>
      </w:r>
      <w:r>
        <w:rPr>
          <w:rFonts w:hint="eastAsia" w:eastAsia="仿宋_GB2312" w:cs="Times New Roman"/>
          <w:snapToGrid w:val="0"/>
          <w:color w:val="auto"/>
          <w:kern w:val="24"/>
          <w:szCs w:val="24"/>
          <w:highlight w:val="none"/>
          <w:lang w:val="en-US" w:eastAsia="zh-CN"/>
        </w:rPr>
        <w:t>1.6</w:t>
      </w:r>
      <w:r>
        <w:rPr>
          <w:rFonts w:hint="default" w:ascii="Times New Roman" w:hAnsi="Times New Roman" w:eastAsia="仿宋_GB2312" w:cs="Times New Roman"/>
          <w:snapToGrid w:val="0"/>
          <w:color w:val="auto"/>
          <w:kern w:val="24"/>
          <w:szCs w:val="24"/>
          <w:highlight w:val="none"/>
        </w:rPr>
        <w:t>m/s，多年平均最大风速20.7m/s，多为东北风和北风。年蒸发量达2442.5mm，每年1</w:t>
      </w:r>
      <w:r>
        <w:rPr>
          <w:rFonts w:hint="eastAsia" w:eastAsia="仿宋_GB2312" w:cs="Times New Roman"/>
          <w:snapToGrid w:val="0"/>
          <w:color w:val="auto"/>
          <w:kern w:val="24"/>
          <w:szCs w:val="24"/>
          <w:highlight w:val="none"/>
          <w:lang w:val="en-US" w:eastAsia="zh-CN"/>
        </w:rPr>
        <w:t>0</w:t>
      </w:r>
      <w:r>
        <w:rPr>
          <w:rFonts w:hint="default" w:ascii="Times New Roman" w:hAnsi="Times New Roman" w:eastAsia="仿宋_GB2312" w:cs="Times New Roman"/>
          <w:snapToGrid w:val="0"/>
          <w:color w:val="auto"/>
          <w:kern w:val="24"/>
          <w:szCs w:val="24"/>
          <w:highlight w:val="none"/>
        </w:rPr>
        <w:t>月下旬至次年3月为结冰期，最大冻土深度为1.</w:t>
      </w:r>
      <w:r>
        <w:rPr>
          <w:rFonts w:hint="eastAsia" w:eastAsia="仿宋_GB2312" w:cs="Times New Roman"/>
          <w:snapToGrid w:val="0"/>
          <w:color w:val="auto"/>
          <w:kern w:val="24"/>
          <w:szCs w:val="24"/>
          <w:highlight w:val="none"/>
          <w:lang w:val="en-US" w:eastAsia="zh-CN"/>
        </w:rPr>
        <w:t>65</w:t>
      </w:r>
      <w:r>
        <w:rPr>
          <w:rFonts w:hint="default" w:ascii="Times New Roman" w:hAnsi="Times New Roman" w:eastAsia="仿宋_GB2312" w:cs="Times New Roman"/>
          <w:snapToGrid w:val="0"/>
          <w:color w:val="auto"/>
          <w:kern w:val="24"/>
          <w:szCs w:val="24"/>
          <w:highlight w:val="none"/>
        </w:rPr>
        <w:t>m。项目区大风主要集中于3～5月，风速春夏季较大，冬季较小；降水主要集中于6～8月，占全年总降水量的52%。气象要素统计见表2.8-1。</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表2.7-1       项目区主要气象要素特征值</w:t>
      </w:r>
    </w:p>
    <w:tbl>
      <w:tblPr>
        <w:tblStyle w:val="27"/>
        <w:tblW w:w="905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503"/>
        <w:gridCol w:w="3906"/>
        <w:gridCol w:w="1504"/>
        <w:gridCol w:w="214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exact"/>
          <w:jc w:val="center"/>
        </w:trPr>
        <w:tc>
          <w:tcPr>
            <w:tcW w:w="1503"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3906"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p>
        </w:tc>
        <w:tc>
          <w:tcPr>
            <w:tcW w:w="150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单位</w:t>
            </w:r>
          </w:p>
        </w:tc>
        <w:tc>
          <w:tcPr>
            <w:tcW w:w="2143"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数量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exact"/>
          <w:jc w:val="center"/>
        </w:trPr>
        <w:tc>
          <w:tcPr>
            <w:tcW w:w="1503"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l</w:t>
            </w:r>
          </w:p>
        </w:tc>
        <w:tc>
          <w:tcPr>
            <w:tcW w:w="3906"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多年平均气温</w:t>
            </w:r>
          </w:p>
        </w:tc>
        <w:tc>
          <w:tcPr>
            <w:tcW w:w="150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w:t>
            </w:r>
          </w:p>
        </w:tc>
        <w:tc>
          <w:tcPr>
            <w:tcW w:w="2143" w:type="dxa"/>
            <w:shd w:val="clear" w:color="auto" w:fill="auto"/>
            <w:vAlign w:val="center"/>
          </w:tcPr>
          <w:p>
            <w:pPr>
              <w:pStyle w:val="84"/>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10.1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exact"/>
          <w:jc w:val="center"/>
        </w:trPr>
        <w:tc>
          <w:tcPr>
            <w:tcW w:w="1503"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3906"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多年极端最高气温</w:t>
            </w:r>
          </w:p>
        </w:tc>
        <w:tc>
          <w:tcPr>
            <w:tcW w:w="150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w:t>
            </w:r>
          </w:p>
        </w:tc>
        <w:tc>
          <w:tcPr>
            <w:tcW w:w="2143" w:type="dxa"/>
            <w:shd w:val="clear" w:color="auto" w:fill="auto"/>
            <w:vAlign w:val="center"/>
          </w:tcPr>
          <w:p>
            <w:pPr>
              <w:pStyle w:val="84"/>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43.2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exact"/>
          <w:jc w:val="center"/>
        </w:trPr>
        <w:tc>
          <w:tcPr>
            <w:tcW w:w="1503"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3906"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多年极端最低气温</w:t>
            </w:r>
          </w:p>
        </w:tc>
        <w:tc>
          <w:tcPr>
            <w:tcW w:w="150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w:t>
            </w:r>
          </w:p>
        </w:tc>
        <w:tc>
          <w:tcPr>
            <w:tcW w:w="2143" w:type="dxa"/>
            <w:shd w:val="clear" w:color="auto" w:fill="auto"/>
            <w:vAlign w:val="center"/>
          </w:tcPr>
          <w:p>
            <w:pPr>
              <w:pStyle w:val="84"/>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rPr>
              <w:t>-</w:t>
            </w:r>
            <w:r>
              <w:rPr>
                <w:rFonts w:hint="eastAsia" w:cs="Times New Roman"/>
                <w:color w:val="auto"/>
                <w:highlight w:val="none"/>
                <w:lang w:val="en-US" w:eastAsia="zh-CN"/>
              </w:rPr>
              <w:t>28.9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exact"/>
          <w:jc w:val="center"/>
        </w:trPr>
        <w:tc>
          <w:tcPr>
            <w:tcW w:w="1503"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3906"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年平均风速</w:t>
            </w:r>
          </w:p>
        </w:tc>
        <w:tc>
          <w:tcPr>
            <w:tcW w:w="150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m/s</w:t>
            </w:r>
          </w:p>
        </w:tc>
        <w:tc>
          <w:tcPr>
            <w:tcW w:w="2143" w:type="dxa"/>
            <w:shd w:val="clear" w:color="auto" w:fill="auto"/>
            <w:vAlign w:val="center"/>
          </w:tcPr>
          <w:p>
            <w:pPr>
              <w:pStyle w:val="84"/>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1.6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exact"/>
          <w:jc w:val="center"/>
        </w:trPr>
        <w:tc>
          <w:tcPr>
            <w:tcW w:w="1503"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3906"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年最大风速</w:t>
            </w:r>
          </w:p>
        </w:tc>
        <w:tc>
          <w:tcPr>
            <w:tcW w:w="150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m/s</w:t>
            </w:r>
          </w:p>
        </w:tc>
        <w:tc>
          <w:tcPr>
            <w:tcW w:w="2143" w:type="dxa"/>
            <w:shd w:val="clear" w:color="auto" w:fill="auto"/>
            <w:vAlign w:val="center"/>
          </w:tcPr>
          <w:p>
            <w:pPr>
              <w:pStyle w:val="84"/>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20.7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exact"/>
          <w:jc w:val="center"/>
        </w:trPr>
        <w:tc>
          <w:tcPr>
            <w:tcW w:w="1503" w:type="dxa"/>
            <w:shd w:val="clear" w:color="auto" w:fill="auto"/>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3906" w:type="dxa"/>
            <w:shd w:val="clear" w:color="auto" w:fill="auto"/>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主导风向</w:t>
            </w:r>
          </w:p>
        </w:tc>
        <w:tc>
          <w:tcPr>
            <w:tcW w:w="1504" w:type="dxa"/>
            <w:shd w:val="clear" w:color="auto" w:fill="auto"/>
            <w:vAlign w:val="center"/>
          </w:tcPr>
          <w:p>
            <w:pPr>
              <w:pStyle w:val="84"/>
              <w:ind w:firstLine="0" w:firstLineChars="0"/>
              <w:rPr>
                <w:rFonts w:hint="default" w:ascii="Times New Roman" w:hAnsi="Times New Roman" w:cs="Times New Roman"/>
                <w:color w:val="auto"/>
                <w:highlight w:val="none"/>
              </w:rPr>
            </w:pPr>
          </w:p>
        </w:tc>
        <w:tc>
          <w:tcPr>
            <w:tcW w:w="2143" w:type="dxa"/>
            <w:shd w:val="clear" w:color="auto" w:fill="auto"/>
            <w:vAlign w:val="center"/>
          </w:tcPr>
          <w:p>
            <w:pPr>
              <w:pStyle w:val="84"/>
              <w:ind w:firstLine="0" w:firstLineChars="0"/>
              <w:rPr>
                <w:rFonts w:hint="eastAsia" w:eastAsia="仿宋_GB2312" w:cs="Times New Roman"/>
                <w:snapToGrid w:val="0"/>
                <w:color w:val="auto"/>
                <w:kern w:val="24"/>
                <w:szCs w:val="24"/>
                <w:highlight w:val="none"/>
                <w:lang w:val="en-US" w:eastAsia="zh-CN"/>
              </w:rPr>
            </w:pPr>
            <w:r>
              <w:rPr>
                <w:rFonts w:hint="default" w:ascii="Times New Roman" w:hAnsi="Times New Roman" w:cs="Times New Roman"/>
                <w:color w:val="auto"/>
                <w:highlight w:val="none"/>
              </w:rPr>
              <w:t>NE、N</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exact"/>
          <w:jc w:val="center"/>
        </w:trPr>
        <w:tc>
          <w:tcPr>
            <w:tcW w:w="1503" w:type="dxa"/>
            <w:shd w:val="clear" w:color="auto" w:fill="auto"/>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7</w:t>
            </w:r>
          </w:p>
        </w:tc>
        <w:tc>
          <w:tcPr>
            <w:tcW w:w="3906"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年平均总日照时数 </w:t>
            </w:r>
          </w:p>
        </w:tc>
        <w:tc>
          <w:tcPr>
            <w:tcW w:w="150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h</w:t>
            </w:r>
          </w:p>
        </w:tc>
        <w:tc>
          <w:tcPr>
            <w:tcW w:w="2143" w:type="dxa"/>
            <w:shd w:val="clear" w:color="auto" w:fill="auto"/>
            <w:vAlign w:val="center"/>
          </w:tcPr>
          <w:p>
            <w:pPr>
              <w:pStyle w:val="84"/>
              <w:rPr>
                <w:rFonts w:hint="default" w:ascii="Times New Roman" w:hAnsi="Times New Roman" w:cs="Times New Roman"/>
                <w:color w:val="auto"/>
                <w:highlight w:val="none"/>
              </w:rPr>
            </w:pPr>
            <w:r>
              <w:rPr>
                <w:rFonts w:hint="eastAsia" w:eastAsia="仿宋_GB2312" w:cs="Times New Roman"/>
                <w:snapToGrid w:val="0"/>
                <w:color w:val="auto"/>
                <w:kern w:val="24"/>
                <w:szCs w:val="24"/>
                <w:highlight w:val="none"/>
                <w:lang w:val="en-US" w:eastAsia="zh-CN"/>
              </w:rPr>
              <w:t>3285.1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exact"/>
          <w:jc w:val="center"/>
        </w:trPr>
        <w:tc>
          <w:tcPr>
            <w:tcW w:w="1503" w:type="dxa"/>
            <w:shd w:val="clear" w:color="auto" w:fill="auto"/>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3906" w:type="dxa"/>
            <w:shd w:val="clear" w:color="auto" w:fill="auto"/>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无霜期</w:t>
            </w:r>
          </w:p>
        </w:tc>
        <w:tc>
          <w:tcPr>
            <w:tcW w:w="1504" w:type="dxa"/>
            <w:shd w:val="clear" w:color="auto" w:fill="auto"/>
            <w:vAlign w:val="center"/>
          </w:tcPr>
          <w:p>
            <w:pPr>
              <w:pStyle w:val="84"/>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d</w:t>
            </w:r>
          </w:p>
        </w:tc>
        <w:tc>
          <w:tcPr>
            <w:tcW w:w="2143" w:type="dxa"/>
            <w:shd w:val="clear" w:color="auto" w:fill="auto"/>
            <w:vAlign w:val="center"/>
          </w:tcPr>
          <w:p>
            <w:pPr>
              <w:pStyle w:val="84"/>
              <w:rPr>
                <w:rFonts w:hint="default" w:eastAsia="仿宋_GB2312" w:cs="Times New Roman"/>
                <w:snapToGrid w:val="0"/>
                <w:color w:val="auto"/>
                <w:kern w:val="24"/>
                <w:szCs w:val="24"/>
                <w:highlight w:val="none"/>
                <w:lang w:val="en-US" w:eastAsia="zh-CN"/>
              </w:rPr>
            </w:pPr>
            <w:r>
              <w:rPr>
                <w:rFonts w:hint="eastAsia" w:cs="Times New Roman"/>
                <w:snapToGrid w:val="0"/>
                <w:color w:val="auto"/>
                <w:kern w:val="24"/>
                <w:szCs w:val="24"/>
                <w:highlight w:val="none"/>
                <w:lang w:val="en-US" w:eastAsia="zh-CN"/>
              </w:rPr>
              <w:t>206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exact"/>
          <w:jc w:val="center"/>
        </w:trPr>
        <w:tc>
          <w:tcPr>
            <w:tcW w:w="1503" w:type="dxa"/>
            <w:shd w:val="clear" w:color="auto" w:fill="auto"/>
            <w:vAlign w:val="center"/>
          </w:tcPr>
          <w:p>
            <w:pPr>
              <w:pStyle w:val="84"/>
              <w:ind w:firstLine="0" w:firstLineChars="0"/>
              <w:rPr>
                <w:rFonts w:hint="eastAsia" w:ascii="Times New Roman" w:hAnsi="Times New Roman" w:eastAsia="仿宋_GB2312" w:cs="Times New Roman"/>
                <w:color w:val="auto"/>
                <w:highlight w:val="none"/>
                <w:lang w:eastAsia="zh-CN"/>
              </w:rPr>
            </w:pPr>
            <w:r>
              <w:rPr>
                <w:rFonts w:hint="eastAsia" w:cs="Times New Roman"/>
                <w:color w:val="auto"/>
                <w:highlight w:val="none"/>
                <w:lang w:val="en-US" w:eastAsia="zh-CN"/>
              </w:rPr>
              <w:t>9</w:t>
            </w:r>
          </w:p>
        </w:tc>
        <w:tc>
          <w:tcPr>
            <w:tcW w:w="3906"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年平均降水量</w:t>
            </w:r>
          </w:p>
        </w:tc>
        <w:tc>
          <w:tcPr>
            <w:tcW w:w="150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mm</w:t>
            </w:r>
          </w:p>
        </w:tc>
        <w:tc>
          <w:tcPr>
            <w:tcW w:w="2143" w:type="dxa"/>
            <w:shd w:val="clear" w:color="auto" w:fill="auto"/>
            <w:vAlign w:val="center"/>
          </w:tcPr>
          <w:p>
            <w:pPr>
              <w:pStyle w:val="84"/>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34.9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exact"/>
          <w:jc w:val="center"/>
        </w:trPr>
        <w:tc>
          <w:tcPr>
            <w:tcW w:w="1503" w:type="dxa"/>
            <w:shd w:val="clear" w:color="auto" w:fill="auto"/>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3906"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累年年平均蒸发量</w:t>
            </w:r>
          </w:p>
        </w:tc>
        <w:tc>
          <w:tcPr>
            <w:tcW w:w="150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mm</w:t>
            </w:r>
          </w:p>
        </w:tc>
        <w:tc>
          <w:tcPr>
            <w:tcW w:w="2143" w:type="dxa"/>
            <w:shd w:val="clear" w:color="auto" w:fill="auto"/>
            <w:vAlign w:val="center"/>
          </w:tcPr>
          <w:p>
            <w:pPr>
              <w:pStyle w:val="84"/>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2442.5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exact"/>
          <w:jc w:val="center"/>
        </w:trPr>
        <w:tc>
          <w:tcPr>
            <w:tcW w:w="1503" w:type="dxa"/>
            <w:shd w:val="clear" w:color="auto" w:fill="auto"/>
            <w:vAlign w:val="center"/>
          </w:tcPr>
          <w:p>
            <w:pPr>
              <w:pStyle w:val="84"/>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11</w:t>
            </w:r>
          </w:p>
        </w:tc>
        <w:tc>
          <w:tcPr>
            <w:tcW w:w="3906" w:type="dxa"/>
            <w:shd w:val="clear" w:color="auto" w:fill="auto"/>
            <w:vAlign w:val="center"/>
          </w:tcPr>
          <w:p>
            <w:pPr>
              <w:pStyle w:val="84"/>
              <w:rPr>
                <w:rFonts w:hint="default" w:ascii="Times New Roman" w:hAnsi="Times New Roman" w:cs="Times New Roman"/>
                <w:color w:val="auto"/>
                <w:szCs w:val="24"/>
                <w:highlight w:val="none"/>
              </w:rPr>
            </w:pPr>
            <w:r>
              <w:rPr>
                <w:kern w:val="0"/>
                <w:sz w:val="21"/>
              </w:rPr>
              <w:t>最大冻土深度</w:t>
            </w:r>
          </w:p>
        </w:tc>
        <w:tc>
          <w:tcPr>
            <w:tcW w:w="1504" w:type="dxa"/>
            <w:shd w:val="clear" w:color="auto" w:fill="auto"/>
            <w:vAlign w:val="center"/>
          </w:tcPr>
          <w:p>
            <w:pPr>
              <w:pStyle w:val="84"/>
              <w:rPr>
                <w:rFonts w:hint="default" w:ascii="Times New Roman" w:hAnsi="Times New Roman" w:cs="Times New Roman"/>
                <w:color w:val="auto"/>
                <w:highlight w:val="none"/>
              </w:rPr>
            </w:pPr>
            <w:r>
              <w:rPr>
                <w:kern w:val="0"/>
                <w:sz w:val="21"/>
              </w:rPr>
              <w:t>cm</w:t>
            </w:r>
          </w:p>
        </w:tc>
        <w:tc>
          <w:tcPr>
            <w:tcW w:w="2143" w:type="dxa"/>
            <w:shd w:val="clear" w:color="auto" w:fill="auto"/>
            <w:vAlign w:val="center"/>
          </w:tcPr>
          <w:p>
            <w:pPr>
              <w:pStyle w:val="84"/>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165</w:t>
            </w:r>
          </w:p>
        </w:tc>
      </w:tr>
      <w:bookmarkEnd w:id="83"/>
      <w:bookmarkEnd w:id="84"/>
    </w:tbl>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2.7.4 水文</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（1）地表水</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场址区未发生过洪水危害，同时场址区未见明显的洪水冲刷痕迹。根据现场踏勘、调查，场址内地表分布有宽浅而长的冲沟，植被不发育，冲沟宽度一般2m～10m，切割深度一般0.5m～0.8m左右。</w:t>
      </w:r>
      <w:r>
        <w:rPr>
          <w:rFonts w:hint="eastAsia" w:cs="Times New Roman"/>
          <w:color w:val="auto"/>
          <w:highlight w:val="none"/>
          <w:lang w:eastAsia="zh-CN"/>
        </w:rPr>
        <w:t>场址内</w:t>
      </w:r>
      <w:r>
        <w:rPr>
          <w:rFonts w:hint="default" w:ascii="Times New Roman" w:hAnsi="Times New Roman" w:cs="Times New Roman"/>
          <w:color w:val="auto"/>
          <w:highlight w:val="none"/>
        </w:rPr>
        <w:t>冲沟基本为东北～西南流向，没有形成大面积冲刷。项目区水系图见附图2。</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（2）地下水</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场址区地下水多为孔隙性潜水，一般水位埋深&gt;20m，地下水受北部博格达山 基岩裂隙水、冰雪融水补给。径流方向基本由北向南，排泄于南部的石城子河。 潜水的化学特征主要受地形、气候及径流、排泄条件的制约，蒸发量大，矿化度 较高，含盐量大。</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综上所述，项目区附近没有地表水出露，区内存在冲沟，因此本项目</w:t>
      </w:r>
      <w:r>
        <w:rPr>
          <w:rFonts w:hint="default" w:ascii="Times New Roman" w:hAnsi="Times New Roman" w:cs="Times New Roman"/>
          <w:color w:val="auto"/>
          <w:highlight w:val="none"/>
          <w:lang w:eastAsia="zh-CN"/>
        </w:rPr>
        <w:t>建设时对冲沟进行避让，不采取其他措施</w:t>
      </w:r>
      <w:r>
        <w:rPr>
          <w:rFonts w:hint="default" w:ascii="Times New Roman" w:hAnsi="Times New Roman" w:cs="Times New Roman"/>
          <w:color w:val="auto"/>
          <w:spacing w:val="6"/>
          <w:highlight w:val="none"/>
        </w:rPr>
        <w:t>，避免形成局部内涝对支架基础造成的危害</w:t>
      </w:r>
      <w:r>
        <w:rPr>
          <w:rFonts w:hint="eastAsia" w:cs="Times New Roman"/>
          <w:color w:val="auto"/>
          <w:spacing w:val="6"/>
          <w:highlight w:val="none"/>
          <w:lang w:eastAsia="zh-CN"/>
        </w:rPr>
        <w:t>。因项目所在石城子光伏产业园已修建防洪设施，本工程可依托产业园现有的防洪措施，不考虑新修防洪设施</w:t>
      </w:r>
      <w:r>
        <w:rPr>
          <w:rFonts w:hint="default" w:ascii="Times New Roman" w:hAnsi="Times New Roman" w:cs="Times New Roman"/>
          <w:color w:val="auto"/>
          <w:highlight w:val="none"/>
        </w:rPr>
        <w:t>。同时项目区地下水埋深较深，则本项目建设不受地下水影响。</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2.7.5 土壤植被</w:t>
      </w:r>
    </w:p>
    <w:p>
      <w:pPr>
        <w:pStyle w:val="56"/>
        <w:spacing w:line="360" w:lineRule="auto"/>
        <w:ind w:firstLine="480"/>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bCs w:val="0"/>
          <w:color w:val="auto"/>
          <w:highlight w:val="none"/>
        </w:rPr>
        <w:t>项目区是由砾石戈壁组成的山前冲洪积倾斜平原，地形平坦、开阔，总地势由</w:t>
      </w:r>
      <w:r>
        <w:rPr>
          <w:rFonts w:hint="eastAsia" w:cs="Times New Roman"/>
          <w:bCs w:val="0"/>
          <w:color w:val="auto"/>
          <w:highlight w:val="none"/>
          <w:lang w:eastAsia="zh-CN"/>
        </w:rPr>
        <w:t>北</w:t>
      </w:r>
      <w:r>
        <w:rPr>
          <w:rFonts w:hint="default" w:ascii="Times New Roman" w:hAnsi="Times New Roman" w:eastAsia="仿宋_GB2312" w:cs="Times New Roman"/>
          <w:bCs w:val="0"/>
          <w:color w:val="auto"/>
          <w:highlight w:val="none"/>
        </w:rPr>
        <w:t>向</w:t>
      </w:r>
      <w:r>
        <w:rPr>
          <w:rFonts w:hint="eastAsia" w:cs="Times New Roman"/>
          <w:bCs w:val="0"/>
          <w:color w:val="auto"/>
          <w:highlight w:val="none"/>
          <w:lang w:eastAsia="zh-CN"/>
        </w:rPr>
        <w:t>南</w:t>
      </w:r>
      <w:r>
        <w:rPr>
          <w:rFonts w:hint="default" w:ascii="Times New Roman" w:hAnsi="Times New Roman" w:eastAsia="仿宋_GB2312" w:cs="Times New Roman"/>
          <w:bCs w:val="0"/>
          <w:color w:val="auto"/>
          <w:highlight w:val="none"/>
        </w:rPr>
        <w:t>缓倾，自然坡度</w:t>
      </w:r>
      <w:r>
        <w:rPr>
          <w:rFonts w:hint="eastAsia" w:cs="Times New Roman"/>
          <w:bCs w:val="0"/>
          <w:color w:val="auto"/>
          <w:highlight w:val="none"/>
          <w:lang w:val="en-US" w:eastAsia="zh-CN"/>
        </w:rPr>
        <w:t>1</w:t>
      </w:r>
      <w:r>
        <w:rPr>
          <w:rFonts w:hint="default" w:ascii="Times New Roman" w:hAnsi="Times New Roman" w:eastAsia="仿宋_GB2312" w:cs="Times New Roman"/>
          <w:bCs w:val="0"/>
          <w:color w:val="auto"/>
          <w:highlight w:val="none"/>
        </w:rPr>
        <w:t>%左右，主要呈戈壁荒滩景观，局部植被发育，主要乡土树种有</w:t>
      </w:r>
      <w:r>
        <w:rPr>
          <w:rFonts w:hint="default" w:ascii="Times New Roman" w:hAnsi="Times New Roman" w:eastAsia="仿宋_GB2312" w:cs="Times New Roman"/>
          <w:color w:val="auto"/>
          <w:highlight w:val="none"/>
        </w:rPr>
        <w:t>假木贼、驼绒藜、木碱蓬、梭梭、蒿类、骆驼刺等</w:t>
      </w:r>
      <w:r>
        <w:rPr>
          <w:rFonts w:hint="default" w:ascii="Times New Roman" w:hAnsi="Times New Roman" w:eastAsia="仿宋_GB2312" w:cs="Times New Roman"/>
          <w:bCs w:val="0"/>
          <w:color w:val="auto"/>
          <w:highlight w:val="none"/>
        </w:rPr>
        <w:t>。</w:t>
      </w:r>
    </w:p>
    <w:p>
      <w:pPr>
        <w:pStyle w:val="56"/>
        <w:ind w:firstLine="480"/>
        <w:outlineLvl w:val="9"/>
        <w:rPr>
          <w:rFonts w:hint="default" w:ascii="Times New Roman" w:hAnsi="Times New Roman" w:eastAsia="仿宋_GB2312" w:cs="Times New Roman"/>
          <w:color w:val="000000"/>
          <w:highlight w:val="none"/>
        </w:rPr>
      </w:pPr>
      <w:r>
        <w:rPr>
          <w:rFonts w:hint="default" w:ascii="Times New Roman" w:hAnsi="Times New Roman" w:eastAsia="仿宋_GB2312" w:cs="Times New Roman"/>
          <w:color w:val="000000"/>
          <w:highlight w:val="none"/>
        </w:rPr>
        <w:t>厂区所在区域地面植被稀薄，覆盖度</w:t>
      </w:r>
      <w:r>
        <w:rPr>
          <w:rFonts w:hint="default" w:cs="Times New Roman"/>
          <w:color w:val="auto"/>
          <w:highlight w:val="none"/>
          <w:lang w:eastAsia="zh-CN"/>
        </w:rPr>
        <w:t>小于5</w:t>
      </w:r>
      <w:r>
        <w:rPr>
          <w:rFonts w:hint="default" w:ascii="Times New Roman" w:hAnsi="Times New Roman" w:eastAsia="仿宋_GB2312" w:cs="Times New Roman"/>
          <w:color w:val="000000"/>
          <w:highlight w:val="none"/>
        </w:rPr>
        <w:t>%，项目区植被种类单一，地表零星分布的旱生植物有芨芨草和骆驼刺。</w:t>
      </w:r>
    </w:p>
    <w:p>
      <w:pPr>
        <w:pStyle w:val="66"/>
        <w:ind w:firstLine="148"/>
        <w:rPr>
          <w:rFonts w:hint="default" w:ascii="Times New Roman" w:hAnsi="Times New Roman" w:cs="Times New Roman"/>
          <w:color w:val="auto"/>
          <w:highlight w:val="none"/>
          <w:lang w:val="en-US" w:eastAsia="zh-CN"/>
        </w:rPr>
      </w:pPr>
      <w:bookmarkStart w:id="85" w:name="_Toc6608"/>
      <w:r>
        <w:rPr>
          <w:rFonts w:hint="eastAsia" w:ascii="Times New Roman" w:hAnsi="Times New Roman" w:cs="Times New Roman"/>
          <w:color w:val="auto"/>
          <w:highlight w:val="none"/>
          <w:lang w:val="en-US" w:eastAsia="zh-CN"/>
        </w:rPr>
        <w:t>2.8防洪</w:t>
      </w:r>
      <w:bookmarkEnd w:id="85"/>
    </w:p>
    <w:p>
      <w:pPr>
        <w:pStyle w:val="56"/>
        <w:ind w:firstLine="480"/>
        <w:rPr>
          <w:rFonts w:hint="default" w:ascii="Times New Roman" w:hAnsi="Times New Roman" w:eastAsia="仿宋_GB2312" w:cs="Times New Roman"/>
          <w:snapToGrid w:val="0"/>
          <w:color w:val="auto"/>
          <w:kern w:val="24"/>
          <w:sz w:val="24"/>
          <w:szCs w:val="24"/>
          <w:highlight w:val="none"/>
          <w:lang w:val="en-US" w:eastAsia="zh-CN" w:bidi="ar-SA"/>
        </w:rPr>
      </w:pPr>
      <w:r>
        <w:rPr>
          <w:rFonts w:hint="eastAsia" w:cs="Times New Roman"/>
          <w:color w:val="auto"/>
          <w:highlight w:val="none"/>
          <w:lang w:val="en-US" w:eastAsia="zh-CN"/>
        </w:rPr>
        <w:t>项目所在的</w:t>
      </w:r>
      <w:r>
        <w:rPr>
          <w:rFonts w:hint="eastAsia" w:cs="Times New Roman"/>
          <w:color w:val="auto"/>
          <w:highlight w:val="none"/>
          <w:lang w:eastAsia="zh-CN"/>
        </w:rPr>
        <w:t>石城子光伏园区已修建防洪工程，故本项目防洪依托园区现有防洪工程，不新建防洪设施。</w:t>
      </w:r>
    </w:p>
    <w:p>
      <w:pPr>
        <w:pStyle w:val="66"/>
        <w:ind w:firstLine="148"/>
        <w:rPr>
          <w:rFonts w:hint="default" w:ascii="Times New Roman" w:hAnsi="Times New Roman" w:cs="Times New Roman"/>
          <w:color w:val="auto"/>
          <w:highlight w:val="none"/>
        </w:rPr>
      </w:pPr>
      <w:bookmarkStart w:id="86" w:name="_Toc10483"/>
      <w:r>
        <w:rPr>
          <w:rFonts w:hint="default" w:ascii="Times New Roman" w:hAnsi="Times New Roman" w:cs="Times New Roman"/>
          <w:color w:val="auto"/>
          <w:highlight w:val="none"/>
        </w:rPr>
        <w:t>2.</w:t>
      </w:r>
      <w:r>
        <w:rPr>
          <w:rFonts w:hint="default" w:cs="Times New Roman"/>
          <w:color w:val="auto"/>
          <w:highlight w:val="none"/>
          <w:lang w:val="en-US" w:eastAsia="zh-CN"/>
        </w:rPr>
        <w:t>9</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其他</w:t>
      </w:r>
      <w:bookmarkEnd w:id="86"/>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项目区不涉及饮用水源保护区、水功能一级区的保护区和保留区、自然保护区、世界文化和自然遗产地、风景名胜区、地质公园、森林公园、重要湿地等。</w:t>
      </w:r>
    </w:p>
    <w:p>
      <w:pPr>
        <w:pStyle w:val="56"/>
        <w:ind w:firstLine="480"/>
        <w:rPr>
          <w:rFonts w:hint="eastAsia"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根据水利部办公厅印发《全国水土保持规划国家级水士流失重点预防区和重点治理区复核划分成果》的通知）（办水保〔2013〕188号）文件</w:t>
      </w:r>
      <w:r>
        <w:rPr>
          <w:rFonts w:hint="default" w:ascii="Times New Roman" w:hAnsi="Times New Roman" w:cs="Times New Roman"/>
          <w:color w:val="auto"/>
          <w:highlight w:val="none"/>
          <w:lang w:eastAsia="zh-CN"/>
        </w:rPr>
        <w:t>和</w:t>
      </w:r>
      <w:r>
        <w:rPr>
          <w:rFonts w:hint="default" w:ascii="Times New Roman" w:hAnsi="Times New Roman" w:cs="Times New Roman"/>
          <w:color w:val="auto"/>
          <w:highlight w:val="none"/>
        </w:rPr>
        <w:t>新疆维吾尔自治区水利厅《关于印发新疆自治区级水土流失重点预防区和重点治理区复核划分成果的通知》（新水水保〔2019〕4号），项目区</w:t>
      </w:r>
      <w:r>
        <w:rPr>
          <w:rFonts w:hint="eastAsia" w:cs="Times New Roman"/>
          <w:color w:val="auto"/>
          <w:highlight w:val="none"/>
          <w:lang w:eastAsia="zh-CN"/>
        </w:rPr>
        <w:t>为</w:t>
      </w:r>
      <w:r>
        <w:rPr>
          <w:rFonts w:hint="eastAsia"/>
        </w:rPr>
        <w:t>天山北坡国家级水土流失重点预防区</w:t>
      </w:r>
      <w:r>
        <w:rPr>
          <w:rFonts w:hint="default" w:ascii="Times New Roman" w:hAnsi="Times New Roman" w:cs="Times New Roman"/>
          <w:color w:val="auto"/>
          <w:highlight w:val="none"/>
        </w:rPr>
        <w:t>，</w:t>
      </w:r>
      <w:r>
        <w:rPr>
          <w:rFonts w:hint="eastAsia" w:ascii="仿宋_GB2312" w:hAnsi="仿宋_GB2312" w:eastAsia="仿宋_GB2312" w:cs="仿宋_GB2312"/>
          <w:color w:val="000000"/>
        </w:rPr>
        <w:t>根据《关于印发新疆自治区级水土流失重点预防区和重点治理区复核划分成果的通知》新水水保【2019】4号，</w:t>
      </w:r>
      <w:r>
        <w:rPr>
          <w:rFonts w:hint="eastAsia"/>
        </w:rPr>
        <w:t>项目区为省级水土流失重点治理区</w:t>
      </w:r>
      <w:r>
        <w:rPr>
          <w:rFonts w:hint="eastAsia"/>
          <w:lang w:eastAsia="zh-CN"/>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cs="Times New Roman"/>
          <w:color w:val="auto"/>
          <w:highlight w:val="none"/>
          <w:lang w:eastAsia="zh-CN"/>
        </w:rPr>
        <w:t>区中部现有一条东西走向的地下通信光缆，项目主体工程布置时在两侧各留大于</w:t>
      </w:r>
      <w:r>
        <w:rPr>
          <w:rFonts w:hint="default" w:cs="Times New Roman"/>
          <w:color w:val="auto"/>
          <w:highlight w:val="none"/>
          <w:lang w:val="en-US" w:eastAsia="zh-CN"/>
        </w:rPr>
        <w:t>6米的防护保护区，局部也预留一定的维护检修占用区，在电站施工建设和运行期严格按照《国务院、中央军委关于保护通信线路的规定》和《通信线路工程设计</w:t>
      </w:r>
      <w:r>
        <w:rPr>
          <w:rFonts w:hint="eastAsia" w:cs="Times New Roman"/>
          <w:color w:val="auto"/>
          <w:highlight w:val="none"/>
          <w:lang w:val="en-US" w:eastAsia="zh-CN"/>
        </w:rPr>
        <w:t>规范》等国家法规、规程规范，对场内线路进行保护，建设与运行过程中均不会对此地下通信光缆产生影响。</w:t>
      </w:r>
    </w:p>
    <w:p>
      <w:pPr>
        <w:pStyle w:val="56"/>
        <w:ind w:firstLine="480"/>
        <w:rPr>
          <w:rFonts w:hint="default" w:ascii="Times New Roman" w:hAnsi="Times New Roman" w:cs="Times New Roman"/>
          <w:color w:val="auto"/>
          <w:highlight w:val="none"/>
        </w:rPr>
        <w:sectPr>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26" w:charSpace="0"/>
        </w:sectPr>
      </w:pPr>
    </w:p>
    <w:p>
      <w:pPr>
        <w:pStyle w:val="65"/>
        <w:rPr>
          <w:rFonts w:hint="default" w:ascii="Times New Roman" w:hAnsi="Times New Roman" w:cs="Times New Roman"/>
          <w:color w:val="auto"/>
          <w:highlight w:val="none"/>
        </w:rPr>
      </w:pPr>
      <w:bookmarkStart w:id="87" w:name="_Toc417412319"/>
      <w:bookmarkStart w:id="88" w:name="_Toc564"/>
      <w:r>
        <w:rPr>
          <w:rFonts w:hint="default" w:ascii="Times New Roman" w:hAnsi="Times New Roman" w:cs="Times New Roman"/>
          <w:color w:val="auto"/>
          <w:highlight w:val="none"/>
        </w:rPr>
        <w:t>3 项目水土保持评价</w:t>
      </w:r>
      <w:bookmarkEnd w:id="87"/>
      <w:bookmarkEnd w:id="88"/>
    </w:p>
    <w:p>
      <w:pPr>
        <w:pStyle w:val="66"/>
        <w:ind w:firstLine="148"/>
        <w:rPr>
          <w:rFonts w:hint="default" w:ascii="Times New Roman" w:hAnsi="Times New Roman" w:cs="Times New Roman"/>
          <w:color w:val="auto"/>
          <w:highlight w:val="none"/>
        </w:rPr>
      </w:pPr>
      <w:bookmarkStart w:id="89" w:name="_Toc417412320"/>
      <w:bookmarkStart w:id="90" w:name="_Toc2016"/>
      <w:r>
        <w:rPr>
          <w:rFonts w:hint="default" w:ascii="Times New Roman" w:hAnsi="Times New Roman" w:cs="Times New Roman"/>
          <w:color w:val="auto"/>
          <w:highlight w:val="none"/>
        </w:rPr>
        <w:t>3.1 主体工程选址（线）水土保持评价</w:t>
      </w:r>
      <w:bookmarkEnd w:id="89"/>
      <w:bookmarkEnd w:id="90"/>
    </w:p>
    <w:p>
      <w:pPr>
        <w:pStyle w:val="56"/>
        <w:ind w:firstLine="480"/>
        <w:rPr>
          <w:rFonts w:hint="eastAsia" w:cs="Times New Roman"/>
          <w:color w:val="auto"/>
          <w:highlight w:val="none"/>
          <w:lang w:val="en-US" w:eastAsia="zh-CN"/>
        </w:rPr>
      </w:pPr>
      <w:r>
        <w:rPr>
          <w:rFonts w:hint="default" w:ascii="Times New Roman" w:hAnsi="Times New Roman" w:cs="Times New Roman"/>
          <w:color w:val="auto"/>
          <w:highlight w:val="none"/>
        </w:rPr>
        <w:t>本工程属于新建项目，本工程总工期</w:t>
      </w:r>
      <w:r>
        <w:rPr>
          <w:rFonts w:hint="eastAsia" w:cs="Times New Roman"/>
          <w:color w:val="auto"/>
          <w:highlight w:val="none"/>
          <w:lang w:val="en-US" w:eastAsia="zh-CN"/>
        </w:rPr>
        <w:t>13</w:t>
      </w:r>
      <w:r>
        <w:rPr>
          <w:rFonts w:hint="default" w:ascii="Times New Roman" w:hAnsi="Times New Roman" w:cs="Times New Roman"/>
          <w:color w:val="auto"/>
          <w:highlight w:val="none"/>
        </w:rPr>
        <w:t>个月，工程于20</w:t>
      </w:r>
      <w:r>
        <w:rPr>
          <w:rFonts w:hint="eastAsia" w:cs="Times New Roman"/>
          <w:color w:val="auto"/>
          <w:highlight w:val="none"/>
          <w:lang w:val="en-US" w:eastAsia="zh-CN"/>
        </w:rPr>
        <w:t>12</w:t>
      </w:r>
      <w:r>
        <w:rPr>
          <w:rFonts w:hint="default" w:ascii="Times New Roman" w:hAnsi="Times New Roman" w:cs="Times New Roman"/>
          <w:color w:val="auto"/>
          <w:highlight w:val="none"/>
        </w:rPr>
        <w:t>年</w:t>
      </w:r>
      <w:r>
        <w:rPr>
          <w:rFonts w:hint="eastAsia" w:cs="Times New Roman"/>
          <w:color w:val="auto"/>
          <w:highlight w:val="none"/>
          <w:lang w:val="en-US" w:eastAsia="zh-CN"/>
        </w:rPr>
        <w:t>12</w:t>
      </w:r>
      <w:r>
        <w:rPr>
          <w:rFonts w:hint="default" w:ascii="Times New Roman" w:hAnsi="Times New Roman" w:cs="Times New Roman"/>
          <w:color w:val="auto"/>
          <w:highlight w:val="none"/>
        </w:rPr>
        <w:t>月</w:t>
      </w:r>
      <w:r>
        <w:rPr>
          <w:rFonts w:hint="eastAsia" w:cs="Times New Roman"/>
          <w:color w:val="auto"/>
          <w:highlight w:val="none"/>
          <w:lang w:val="en-US" w:eastAsia="zh-CN"/>
        </w:rPr>
        <w:t>1日</w:t>
      </w:r>
      <w:r>
        <w:rPr>
          <w:rFonts w:hint="default" w:ascii="Times New Roman" w:hAnsi="Times New Roman" w:cs="Times New Roman"/>
          <w:color w:val="auto"/>
          <w:highlight w:val="none"/>
        </w:rPr>
        <w:t>开工建设，于20</w:t>
      </w:r>
      <w:r>
        <w:rPr>
          <w:rFonts w:hint="eastAsia" w:cs="Times New Roman"/>
          <w:color w:val="auto"/>
          <w:highlight w:val="none"/>
          <w:lang w:val="en-US" w:eastAsia="zh-CN"/>
        </w:rPr>
        <w:t>13</w:t>
      </w:r>
      <w:r>
        <w:rPr>
          <w:rFonts w:hint="default" w:ascii="Times New Roman" w:hAnsi="Times New Roman" w:cs="Times New Roman"/>
          <w:color w:val="auto"/>
          <w:highlight w:val="none"/>
        </w:rPr>
        <w:t>年12月</w:t>
      </w:r>
      <w:r>
        <w:rPr>
          <w:rFonts w:hint="eastAsia" w:cs="Times New Roman"/>
          <w:color w:val="auto"/>
          <w:highlight w:val="none"/>
          <w:lang w:val="en-US" w:eastAsia="zh-CN"/>
        </w:rPr>
        <w:t>10日</w:t>
      </w:r>
      <w:r>
        <w:rPr>
          <w:rFonts w:hint="default" w:ascii="Times New Roman" w:hAnsi="Times New Roman" w:cs="Times New Roman"/>
          <w:color w:val="auto"/>
          <w:highlight w:val="none"/>
        </w:rPr>
        <w:t>建设完成</w:t>
      </w:r>
      <w:r>
        <w:rPr>
          <w:rFonts w:hint="eastAsia" w:cs="Times New Roman"/>
          <w:color w:val="auto"/>
          <w:highlight w:val="none"/>
          <w:lang w:eastAsia="zh-CN"/>
        </w:rPr>
        <w:t>，项目于</w:t>
      </w:r>
      <w:r>
        <w:rPr>
          <w:rFonts w:hint="eastAsia" w:cs="Times New Roman"/>
          <w:color w:val="auto"/>
          <w:highlight w:val="none"/>
          <w:lang w:val="en-US" w:eastAsia="zh-CN"/>
        </w:rPr>
        <w:t>2013年12月20日并网11MWp。</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按《中华人民共和国水土保持法》相关规定，《生产建设项目水土保持技术标准》（GB50433-2018）3.2.1及4.3.12节规定及水利部《关于严格开发建设项目水土保持方案审查审批工作的通知》（水保[20</w:t>
      </w:r>
      <w:r>
        <w:rPr>
          <w:rFonts w:hint="eastAsia" w:cs="Times New Roman"/>
          <w:color w:val="auto"/>
          <w:highlight w:val="none"/>
          <w:lang w:val="en-US" w:eastAsia="zh-CN"/>
        </w:rPr>
        <w:t>1</w:t>
      </w:r>
      <w:r>
        <w:rPr>
          <w:rFonts w:hint="default" w:ascii="Times New Roman" w:hAnsi="Times New Roman" w:cs="Times New Roman"/>
          <w:color w:val="auto"/>
          <w:highlight w:val="none"/>
        </w:rPr>
        <w:t>7]184号）中有关限制性条件，逐条分析复核，见表3.1-1，3.1-2，3.1-3。</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表3.1-1    《中华人民共和国水土保持法》相符性分析表</w:t>
      </w:r>
    </w:p>
    <w:tbl>
      <w:tblPr>
        <w:tblStyle w:val="27"/>
        <w:tblW w:w="93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2"/>
        <w:gridCol w:w="4790"/>
        <w:gridCol w:w="3158"/>
        <w:gridCol w:w="9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2" w:type="dxa"/>
            <w:tcBorders>
              <w:top w:val="single" w:color="auto" w:sz="12" w:space="0"/>
              <w:left w:val="single" w:color="auto" w:sz="12"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4790" w:type="dxa"/>
            <w:tcBorders>
              <w:top w:val="single" w:color="auto" w:sz="12" w:space="0"/>
              <w:left w:val="single" w:color="auto" w:sz="4"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《中华人民共和国水土保持法》相符性分析表</w:t>
            </w:r>
          </w:p>
        </w:tc>
        <w:tc>
          <w:tcPr>
            <w:tcW w:w="3158" w:type="dxa"/>
            <w:tcBorders>
              <w:top w:val="single" w:color="auto" w:sz="12" w:space="0"/>
              <w:left w:val="single" w:color="auto" w:sz="4"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本项目的情况</w:t>
            </w:r>
          </w:p>
        </w:tc>
        <w:tc>
          <w:tcPr>
            <w:tcW w:w="960" w:type="dxa"/>
            <w:tcBorders>
              <w:top w:val="single" w:color="auto" w:sz="12" w:space="0"/>
              <w:left w:val="single" w:color="auto" w:sz="4" w:space="0"/>
              <w:bottom w:val="single" w:color="auto" w:sz="4" w:space="0"/>
              <w:right w:val="single" w:color="auto" w:sz="12"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422" w:type="dxa"/>
            <w:tcBorders>
              <w:top w:val="single" w:color="auto" w:sz="4" w:space="0"/>
              <w:left w:val="single" w:color="auto" w:sz="12"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4790"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第十七条禁止在崩塌、滑坡危险区和泥石流易发区从事取土、挖砂、采石等可能造成水土流失的活动。崩塌、滑坡危险区和泥石流易发区的范围，由县级以上地方人民政府划定并公告。崩塌、滑坡危险区和泥石流易发区的划定，应当与地质灾害防治规划确定的地质灾害易发区、重点防治区相衔接。</w:t>
            </w:r>
          </w:p>
        </w:tc>
        <w:tc>
          <w:tcPr>
            <w:tcW w:w="3158"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项目区不位于当地政府划定的在崩塌、滑坡危险区和泥石流易发区，同时本项目未在当地政府划定的在崩塌、滑坡危险区和泥石流易发区等区域取土、挖沙。</w:t>
            </w:r>
          </w:p>
        </w:tc>
        <w:tc>
          <w:tcPr>
            <w:tcW w:w="960" w:type="dxa"/>
            <w:tcBorders>
              <w:top w:val="single" w:color="auto" w:sz="4" w:space="0"/>
              <w:left w:val="single" w:color="auto" w:sz="4" w:space="0"/>
              <w:bottom w:val="single" w:color="auto" w:sz="4" w:space="0"/>
              <w:right w:val="single" w:color="auto" w:sz="12" w:space="0"/>
            </w:tcBorders>
            <w:vAlign w:val="center"/>
          </w:tcPr>
          <w:p>
            <w:pPr>
              <w:pStyle w:val="84"/>
              <w:rPr>
                <w:rFonts w:hint="default" w:ascii="Times New Roman" w:hAnsi="Times New Roman" w:cs="Times New Roman"/>
                <w:color w:val="auto"/>
                <w:highlight w:val="none"/>
              </w:rPr>
            </w:pPr>
            <w:r>
              <w:rPr>
                <w:rFonts w:hint="eastAsia" w:cs="Times New Roman"/>
                <w:color w:val="auto"/>
                <w:highlight w:val="none"/>
                <w:lang w:eastAsia="zh-CN"/>
              </w:rPr>
              <w:t>基本</w:t>
            </w:r>
            <w:r>
              <w:rPr>
                <w:rFonts w:hint="default" w:ascii="Times New Roman" w:hAnsi="Times New Roman" w:cs="Times New Roman"/>
                <w:color w:val="auto"/>
                <w:highlight w:val="none"/>
              </w:rPr>
              <w:t>符合本条规定要求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22" w:type="dxa"/>
            <w:tcBorders>
              <w:top w:val="single" w:color="auto" w:sz="4" w:space="0"/>
              <w:left w:val="single" w:color="auto" w:sz="12"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4790"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第十八条水土流失严重、生态脆弱的地区，应当限制或者禁止可能造成水土流失的生产建设活动，严格保护植物、沙壳、结皮、地衣等。</w:t>
            </w:r>
          </w:p>
        </w:tc>
        <w:tc>
          <w:tcPr>
            <w:tcW w:w="3158"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项目区不属于水土流失严重、生态脆弱地区。</w:t>
            </w:r>
          </w:p>
        </w:tc>
        <w:tc>
          <w:tcPr>
            <w:tcW w:w="960" w:type="dxa"/>
            <w:tcBorders>
              <w:top w:val="single" w:color="auto" w:sz="4" w:space="0"/>
              <w:left w:val="single" w:color="auto" w:sz="4" w:space="0"/>
              <w:bottom w:val="single" w:color="auto" w:sz="4" w:space="0"/>
              <w:right w:val="single" w:color="auto" w:sz="12" w:space="0"/>
            </w:tcBorders>
            <w:vAlign w:val="center"/>
          </w:tcPr>
          <w:p>
            <w:pPr>
              <w:pStyle w:val="84"/>
              <w:rPr>
                <w:rFonts w:hint="default" w:ascii="Times New Roman" w:hAnsi="Times New Roman" w:cs="Times New Roman"/>
                <w:color w:val="auto"/>
                <w:highlight w:val="none"/>
              </w:rPr>
            </w:pPr>
            <w:r>
              <w:rPr>
                <w:rFonts w:hint="eastAsia" w:cs="Times New Roman"/>
                <w:color w:val="auto"/>
                <w:highlight w:val="none"/>
                <w:lang w:eastAsia="zh-CN"/>
              </w:rPr>
              <w:t>基本</w:t>
            </w:r>
            <w:r>
              <w:rPr>
                <w:rFonts w:hint="default" w:ascii="Times New Roman" w:hAnsi="Times New Roman" w:cs="Times New Roman"/>
                <w:color w:val="auto"/>
                <w:highlight w:val="none"/>
              </w:rPr>
              <w:t>符合本条规定要求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422" w:type="dxa"/>
            <w:tcBorders>
              <w:top w:val="single" w:color="auto" w:sz="4" w:space="0"/>
              <w:left w:val="single" w:color="auto" w:sz="12"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4790"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第二十四条生产建设项目选址、选线应当避让水土流失重点预防区和重点治理区；无法避让的，应当提高防治标准，优化施工工艺，减少地表扰动和植被损坏范围，有效控制可能造成的水土流失。</w:t>
            </w:r>
          </w:p>
        </w:tc>
        <w:tc>
          <w:tcPr>
            <w:tcW w:w="3158" w:type="dxa"/>
            <w:tcBorders>
              <w:top w:val="single" w:color="auto" w:sz="4" w:space="0"/>
              <w:left w:val="single" w:color="auto" w:sz="4" w:space="0"/>
              <w:bottom w:val="single" w:color="auto" w:sz="4" w:space="0"/>
              <w:right w:val="single" w:color="auto" w:sz="4" w:space="0"/>
            </w:tcBorders>
            <w:vAlign w:val="center"/>
          </w:tcPr>
          <w:p>
            <w:pPr>
              <w:pStyle w:val="84"/>
              <w:jc w:val="left"/>
              <w:rPr>
                <w:rFonts w:hint="eastAsia" w:ascii="Times New Roman" w:hAnsi="Times New Roman" w:eastAsia="仿宋_GB2312" w:cs="Times New Roman"/>
                <w:color w:val="auto"/>
                <w:sz w:val="21"/>
                <w:szCs w:val="21"/>
                <w:highlight w:val="none"/>
                <w:lang w:eastAsia="zh-CN"/>
              </w:rPr>
            </w:pPr>
            <w:r>
              <w:rPr>
                <w:rFonts w:hint="default" w:ascii="Times New Roman" w:hAnsi="Times New Roman" w:cs="Times New Roman"/>
                <w:color w:val="auto"/>
                <w:sz w:val="21"/>
                <w:szCs w:val="21"/>
                <w:highlight w:val="none"/>
              </w:rPr>
              <w:t>项目区属于</w:t>
            </w:r>
            <w:r>
              <w:rPr>
                <w:rFonts w:hint="eastAsia" w:ascii="仿宋_GB2312" w:hAnsi="仿宋_GB2312" w:eastAsia="仿宋_GB2312" w:cs="仿宋_GB2312"/>
                <w:snapToGrid w:val="0"/>
                <w:color w:val="000000"/>
                <w:sz w:val="21"/>
                <w:szCs w:val="21"/>
                <w:highlight w:val="none"/>
              </w:rPr>
              <w:t>国家级水土流失重点预防区/天山北坡诸小河流域重点治理区</w:t>
            </w:r>
            <w:r>
              <w:rPr>
                <w:rFonts w:hint="default" w:ascii="Times New Roman" w:hAnsi="Times New Roman" w:cs="Times New Roman"/>
                <w:color w:val="auto"/>
                <w:sz w:val="21"/>
                <w:szCs w:val="21"/>
                <w:highlight w:val="none"/>
              </w:rPr>
              <w:t>，项目采取一级标准</w:t>
            </w:r>
            <w:r>
              <w:rPr>
                <w:rFonts w:hint="eastAsia" w:cs="Times New Roman"/>
                <w:color w:val="auto"/>
                <w:sz w:val="21"/>
                <w:szCs w:val="21"/>
                <w:highlight w:val="none"/>
                <w:lang w:eastAsia="zh-CN"/>
              </w:rPr>
              <w:t>，</w:t>
            </w:r>
            <w:r>
              <w:rPr>
                <w:rFonts w:hint="default" w:ascii="Times New Roman" w:hAnsi="Times New Roman" w:cs="Times New Roman"/>
                <w:color w:val="auto"/>
                <w:highlight w:val="none"/>
              </w:rPr>
              <w:t>优化施工工艺，减少地表扰动和植被</w:t>
            </w:r>
            <w:r>
              <w:rPr>
                <w:rFonts w:hint="eastAsia" w:cs="Times New Roman"/>
                <w:color w:val="auto"/>
                <w:highlight w:val="none"/>
                <w:lang w:eastAsia="zh-CN"/>
              </w:rPr>
              <w:t>破坏</w:t>
            </w:r>
            <w:r>
              <w:rPr>
                <w:rFonts w:hint="default" w:ascii="Times New Roman" w:hAnsi="Times New Roman" w:cs="Times New Roman"/>
                <w:color w:val="auto"/>
                <w:highlight w:val="none"/>
              </w:rPr>
              <w:t>，有效控制水土流失</w:t>
            </w:r>
          </w:p>
        </w:tc>
        <w:tc>
          <w:tcPr>
            <w:tcW w:w="960" w:type="dxa"/>
            <w:tcBorders>
              <w:top w:val="single" w:color="auto" w:sz="4" w:space="0"/>
              <w:left w:val="single" w:color="auto" w:sz="4" w:space="0"/>
              <w:bottom w:val="single" w:color="auto" w:sz="4" w:space="0"/>
              <w:right w:val="single" w:color="auto" w:sz="12" w:space="0"/>
            </w:tcBorders>
            <w:vAlign w:val="center"/>
          </w:tcPr>
          <w:p>
            <w:pPr>
              <w:pStyle w:val="84"/>
              <w:rPr>
                <w:rFonts w:hint="default" w:ascii="Times New Roman" w:hAnsi="Times New Roman" w:cs="Times New Roman"/>
                <w:color w:val="auto"/>
                <w:highlight w:val="none"/>
              </w:rPr>
            </w:pPr>
            <w:r>
              <w:rPr>
                <w:rFonts w:hint="eastAsia" w:cs="Times New Roman"/>
                <w:color w:val="auto"/>
                <w:highlight w:val="none"/>
                <w:lang w:eastAsia="zh-CN"/>
              </w:rPr>
              <w:t>基本</w:t>
            </w:r>
            <w:r>
              <w:rPr>
                <w:rFonts w:hint="default" w:ascii="Times New Roman" w:hAnsi="Times New Roman" w:cs="Times New Roman"/>
                <w:color w:val="auto"/>
                <w:highlight w:val="none"/>
              </w:rPr>
              <w:t>符合本条规定要求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422" w:type="dxa"/>
            <w:tcBorders>
              <w:top w:val="single" w:color="auto" w:sz="4" w:space="0"/>
              <w:left w:val="single" w:color="auto" w:sz="12"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4790"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第二十五条在山区、丘陵区、风沙区以及水土保持规划确定的容易发生水土流失的其他区域开办可能造成水土流失的生产建设项目，生产建设单位应当编制水土保持方案，报县级以上人民政府水行政主管部门审批，并按照经批准的水土保持方案，采取水土流失预防和治理措施。没有能力编制水土保持方案的，应当委托具备相应技术条件的机构编制。</w:t>
            </w:r>
          </w:p>
        </w:tc>
        <w:tc>
          <w:tcPr>
            <w:tcW w:w="3158"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已委托我公司编制项目水土保持方案。</w:t>
            </w:r>
          </w:p>
        </w:tc>
        <w:tc>
          <w:tcPr>
            <w:tcW w:w="960" w:type="dxa"/>
            <w:tcBorders>
              <w:top w:val="single" w:color="auto" w:sz="4" w:space="0"/>
              <w:left w:val="single" w:color="auto" w:sz="4" w:space="0"/>
              <w:bottom w:val="single" w:color="auto" w:sz="4" w:space="0"/>
              <w:right w:val="single" w:color="auto" w:sz="12" w:space="0"/>
            </w:tcBorders>
            <w:vAlign w:val="center"/>
          </w:tcPr>
          <w:p>
            <w:pPr>
              <w:pStyle w:val="84"/>
              <w:rPr>
                <w:rFonts w:hint="default" w:ascii="Times New Roman" w:hAnsi="Times New Roman" w:cs="Times New Roman"/>
                <w:color w:val="auto"/>
                <w:highlight w:val="none"/>
              </w:rPr>
            </w:pPr>
            <w:r>
              <w:rPr>
                <w:rFonts w:hint="eastAsia" w:cs="Times New Roman"/>
                <w:color w:val="auto"/>
                <w:highlight w:val="none"/>
                <w:lang w:eastAsia="zh-CN"/>
              </w:rPr>
              <w:t>基本</w:t>
            </w:r>
            <w:r>
              <w:rPr>
                <w:rFonts w:hint="default" w:ascii="Times New Roman" w:hAnsi="Times New Roman" w:cs="Times New Roman"/>
                <w:color w:val="auto"/>
                <w:highlight w:val="none"/>
              </w:rPr>
              <w:t>符合本条规定要求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422" w:type="dxa"/>
            <w:tcBorders>
              <w:top w:val="single" w:color="auto" w:sz="4" w:space="0"/>
              <w:left w:val="single" w:color="auto" w:sz="12"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4790"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第二十八条依法应当编制水土保持方案的生产建设项目，其生产建设活动中排弃的砂、石、土、矸石、尾矿、废渣等应当综合利用；不能综合利用，确需废弃的，应当堆放在水土保持方案确定的专门存放地，并采取措施保证不产生新的危害。</w:t>
            </w:r>
          </w:p>
        </w:tc>
        <w:tc>
          <w:tcPr>
            <w:tcW w:w="3158"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项目建设过程中，挖方最大程度回填利用，无永久弃渣。</w:t>
            </w:r>
          </w:p>
        </w:tc>
        <w:tc>
          <w:tcPr>
            <w:tcW w:w="960" w:type="dxa"/>
            <w:tcBorders>
              <w:top w:val="single" w:color="auto" w:sz="4" w:space="0"/>
              <w:left w:val="single" w:color="auto" w:sz="4" w:space="0"/>
              <w:bottom w:val="single" w:color="auto" w:sz="4" w:space="0"/>
              <w:right w:val="single" w:color="auto" w:sz="12" w:space="0"/>
            </w:tcBorders>
            <w:vAlign w:val="center"/>
          </w:tcPr>
          <w:p>
            <w:pPr>
              <w:pStyle w:val="84"/>
              <w:rPr>
                <w:rFonts w:hint="default" w:ascii="Times New Roman" w:hAnsi="Times New Roman" w:cs="Times New Roman"/>
                <w:color w:val="auto"/>
                <w:highlight w:val="none"/>
              </w:rPr>
            </w:pPr>
            <w:r>
              <w:rPr>
                <w:rFonts w:hint="eastAsia" w:cs="Times New Roman"/>
                <w:color w:val="auto"/>
                <w:highlight w:val="none"/>
                <w:lang w:eastAsia="zh-CN"/>
              </w:rPr>
              <w:t>基本</w:t>
            </w:r>
            <w:r>
              <w:rPr>
                <w:rFonts w:hint="default" w:ascii="Times New Roman" w:hAnsi="Times New Roman" w:cs="Times New Roman"/>
                <w:color w:val="auto"/>
                <w:highlight w:val="none"/>
              </w:rPr>
              <w:t>符合本条规定要求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422" w:type="dxa"/>
            <w:tcBorders>
              <w:top w:val="single" w:color="auto" w:sz="4" w:space="0"/>
              <w:left w:val="single" w:color="auto" w:sz="12"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4790"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第三十二条在山区、丘陵区、风沙区以及水土保持规划确定的容易发生水土流失的其他区域开办生产建设项目或者从事其他生产建设活动，损坏水土保持设施、地貌植被，不能恢复原有水土保持功能的，应当缴纳水土流失补偿费，专项用于水土流失预防和治理。</w:t>
            </w:r>
          </w:p>
        </w:tc>
        <w:tc>
          <w:tcPr>
            <w:tcW w:w="3158"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本项目建设区位于</w:t>
            </w:r>
            <w:r>
              <w:rPr>
                <w:rFonts w:hint="eastAsia" w:cs="Times New Roman"/>
                <w:color w:val="auto"/>
                <w:highlight w:val="none"/>
                <w:lang w:eastAsia="zh-CN"/>
              </w:rPr>
              <w:t>哈密市石城子光伏产业园内</w:t>
            </w:r>
            <w:r>
              <w:rPr>
                <w:rFonts w:hint="default" w:ascii="Times New Roman" w:hAnsi="Times New Roman" w:cs="Times New Roman"/>
                <w:color w:val="auto"/>
                <w:highlight w:val="none"/>
              </w:rPr>
              <w:t>，水土保持方案中计列了工程应缴纳的水土保持补偿费。</w:t>
            </w:r>
          </w:p>
        </w:tc>
        <w:tc>
          <w:tcPr>
            <w:tcW w:w="960" w:type="dxa"/>
            <w:tcBorders>
              <w:top w:val="single" w:color="auto" w:sz="4" w:space="0"/>
              <w:left w:val="single" w:color="auto" w:sz="4" w:space="0"/>
              <w:bottom w:val="single" w:color="auto" w:sz="4" w:space="0"/>
              <w:right w:val="single" w:color="auto" w:sz="12" w:space="0"/>
            </w:tcBorders>
            <w:vAlign w:val="center"/>
          </w:tcPr>
          <w:p>
            <w:pPr>
              <w:pStyle w:val="84"/>
              <w:rPr>
                <w:rFonts w:hint="default" w:ascii="Times New Roman" w:hAnsi="Times New Roman" w:cs="Times New Roman"/>
                <w:color w:val="auto"/>
                <w:highlight w:val="none"/>
              </w:rPr>
            </w:pPr>
            <w:r>
              <w:rPr>
                <w:rFonts w:hint="eastAsia" w:cs="Times New Roman"/>
                <w:color w:val="auto"/>
                <w:highlight w:val="none"/>
                <w:lang w:eastAsia="zh-CN"/>
              </w:rPr>
              <w:t>基本</w:t>
            </w:r>
            <w:r>
              <w:rPr>
                <w:rFonts w:hint="default" w:ascii="Times New Roman" w:hAnsi="Times New Roman" w:cs="Times New Roman"/>
                <w:color w:val="auto"/>
                <w:highlight w:val="none"/>
              </w:rPr>
              <w:t>符合本条规定要求</w:t>
            </w:r>
          </w:p>
        </w:tc>
      </w:tr>
    </w:tbl>
    <w:p>
      <w:pPr>
        <w:widowControl/>
        <w:ind w:firstLine="0" w:firstLineChars="0"/>
        <w:jc w:val="left"/>
        <w:rPr>
          <w:rFonts w:hint="default" w:ascii="Times New Roman" w:hAnsi="Times New Roman" w:cs="Times New Roman"/>
          <w:color w:val="auto"/>
          <w:sz w:val="18"/>
          <w:szCs w:val="18"/>
          <w:highlight w:val="none"/>
        </w:rPr>
        <w:sectPr>
          <w:headerReference r:id="rId20"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表3.1-2   水保【20</w:t>
      </w:r>
      <w:r>
        <w:rPr>
          <w:rFonts w:hint="eastAsia" w:cs="Times New Roman"/>
          <w:color w:val="auto"/>
          <w:highlight w:val="none"/>
          <w:lang w:val="en-US" w:eastAsia="zh-CN"/>
        </w:rPr>
        <w:t>1</w:t>
      </w:r>
      <w:r>
        <w:rPr>
          <w:rFonts w:hint="default" w:ascii="Times New Roman" w:hAnsi="Times New Roman" w:cs="Times New Roman"/>
          <w:color w:val="auto"/>
          <w:highlight w:val="none"/>
        </w:rPr>
        <w:t>7】184号文相符性分析表</w:t>
      </w:r>
    </w:p>
    <w:tbl>
      <w:tblPr>
        <w:tblStyle w:val="27"/>
        <w:tblW w:w="91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4"/>
        <w:gridCol w:w="4543"/>
        <w:gridCol w:w="3122"/>
        <w:gridCol w:w="9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blHeader/>
          <w:jc w:val="center"/>
        </w:trPr>
        <w:tc>
          <w:tcPr>
            <w:tcW w:w="534" w:type="dxa"/>
            <w:tcBorders>
              <w:top w:val="single" w:color="auto" w:sz="12" w:space="0"/>
              <w:left w:val="single" w:color="auto" w:sz="12"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4543" w:type="dxa"/>
            <w:tcBorders>
              <w:top w:val="single" w:color="auto" w:sz="12" w:space="0"/>
              <w:left w:val="single" w:color="auto" w:sz="4"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184号文有关规定</w:t>
            </w:r>
          </w:p>
        </w:tc>
        <w:tc>
          <w:tcPr>
            <w:tcW w:w="3122" w:type="dxa"/>
            <w:tcBorders>
              <w:top w:val="single" w:color="auto" w:sz="12" w:space="0"/>
              <w:left w:val="single" w:color="auto" w:sz="4"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本项目的情况</w:t>
            </w:r>
          </w:p>
        </w:tc>
        <w:tc>
          <w:tcPr>
            <w:tcW w:w="989" w:type="dxa"/>
            <w:tcBorders>
              <w:top w:val="single" w:color="auto" w:sz="12" w:space="0"/>
              <w:left w:val="single" w:color="auto" w:sz="4" w:space="0"/>
              <w:bottom w:val="single" w:color="auto" w:sz="4" w:space="0"/>
              <w:right w:val="single" w:color="auto" w:sz="12"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4" w:type="dxa"/>
            <w:tcBorders>
              <w:top w:val="single" w:color="auto" w:sz="4" w:space="0"/>
              <w:left w:val="single" w:color="auto" w:sz="12"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4543"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《促进产业结构调整暂行规定》、国家发展和改革委员会发布的《产业结构调整指导目录》（2013年修正）限制类和淘汰类产业开发建设项目。</w:t>
            </w:r>
          </w:p>
        </w:tc>
        <w:tc>
          <w:tcPr>
            <w:tcW w:w="3122"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本项目不属于限制类和淘汰类产业开发建设项目。</w:t>
            </w:r>
          </w:p>
        </w:tc>
        <w:tc>
          <w:tcPr>
            <w:tcW w:w="989" w:type="dxa"/>
            <w:tcBorders>
              <w:top w:val="single" w:color="auto" w:sz="4" w:space="0"/>
              <w:left w:val="single" w:color="auto" w:sz="4" w:space="0"/>
              <w:bottom w:val="single" w:color="auto" w:sz="4" w:space="0"/>
              <w:right w:val="single" w:color="auto" w:sz="12" w:space="0"/>
            </w:tcBorders>
            <w:vAlign w:val="center"/>
          </w:tcPr>
          <w:p>
            <w:pPr>
              <w:pStyle w:val="84"/>
              <w:jc w:val="both"/>
              <w:rPr>
                <w:rFonts w:hint="default" w:ascii="Times New Roman" w:hAnsi="Times New Roman" w:cs="Times New Roman"/>
                <w:color w:val="auto"/>
                <w:highlight w:val="none"/>
              </w:rPr>
            </w:pPr>
            <w:r>
              <w:rPr>
                <w:rFonts w:hint="eastAsia" w:cs="Times New Roman"/>
                <w:color w:val="auto"/>
                <w:highlight w:val="none"/>
                <w:lang w:eastAsia="zh-CN"/>
              </w:rPr>
              <w:t>基本</w:t>
            </w:r>
            <w:r>
              <w:rPr>
                <w:rFonts w:hint="default" w:ascii="Times New Roman" w:hAnsi="Times New Roman" w:cs="Times New Roman"/>
                <w:color w:val="auto"/>
                <w:highlight w:val="none"/>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4" w:type="dxa"/>
            <w:tcBorders>
              <w:top w:val="single" w:color="auto" w:sz="4" w:space="0"/>
              <w:left w:val="single" w:color="auto" w:sz="12"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4543"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《国民经济和社会发展第十三个五年规划纲要》确定的禁止开发区域内不符合主体功能定位的开发建设项目。</w:t>
            </w:r>
          </w:p>
        </w:tc>
        <w:tc>
          <w:tcPr>
            <w:tcW w:w="3122"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本项目建设区未处于“十三五规划纲要”中确定的限制开发区域和禁止开发区域。</w:t>
            </w:r>
          </w:p>
        </w:tc>
        <w:tc>
          <w:tcPr>
            <w:tcW w:w="989" w:type="dxa"/>
            <w:tcBorders>
              <w:top w:val="single" w:color="auto" w:sz="4" w:space="0"/>
              <w:left w:val="single" w:color="auto" w:sz="4" w:space="0"/>
              <w:bottom w:val="single" w:color="auto" w:sz="4" w:space="0"/>
              <w:right w:val="single" w:color="auto" w:sz="12" w:space="0"/>
            </w:tcBorders>
            <w:vAlign w:val="center"/>
          </w:tcPr>
          <w:p>
            <w:pPr>
              <w:pStyle w:val="84"/>
              <w:ind w:firstLine="0" w:firstLineChars="0"/>
              <w:jc w:val="both"/>
              <w:rPr>
                <w:rFonts w:hint="default" w:ascii="Times New Roman" w:hAnsi="Times New Roman" w:cs="Times New Roman"/>
                <w:color w:val="auto"/>
                <w:highlight w:val="none"/>
              </w:rPr>
            </w:pPr>
            <w:r>
              <w:rPr>
                <w:rFonts w:hint="eastAsia" w:cs="Times New Roman"/>
                <w:color w:val="auto"/>
                <w:highlight w:val="none"/>
                <w:lang w:eastAsia="zh-CN"/>
              </w:rPr>
              <w:t>基本</w:t>
            </w:r>
            <w:r>
              <w:rPr>
                <w:rFonts w:hint="default" w:ascii="Times New Roman" w:hAnsi="Times New Roman" w:cs="Times New Roman"/>
                <w:color w:val="auto"/>
                <w:highlight w:val="none"/>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4" w:type="dxa"/>
            <w:tcBorders>
              <w:top w:val="single" w:color="auto" w:sz="4" w:space="0"/>
              <w:left w:val="single" w:color="auto" w:sz="12"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4543"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违反《水土保持法》第十四条，在25度以上陡坡地实施的农林开发项目。</w:t>
            </w:r>
          </w:p>
        </w:tc>
        <w:tc>
          <w:tcPr>
            <w:tcW w:w="3122"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工程不属于农林开发项目，同时项目区较为平坦</w:t>
            </w:r>
          </w:p>
        </w:tc>
        <w:tc>
          <w:tcPr>
            <w:tcW w:w="989" w:type="dxa"/>
            <w:tcBorders>
              <w:top w:val="single" w:color="auto" w:sz="4" w:space="0"/>
              <w:left w:val="single" w:color="auto" w:sz="4" w:space="0"/>
              <w:bottom w:val="single" w:color="auto" w:sz="4" w:space="0"/>
              <w:right w:val="single" w:color="auto" w:sz="12" w:space="0"/>
            </w:tcBorders>
            <w:vAlign w:val="center"/>
          </w:tcPr>
          <w:p>
            <w:pPr>
              <w:pStyle w:val="84"/>
              <w:ind w:firstLine="0" w:firstLineChars="0"/>
              <w:jc w:val="both"/>
              <w:rPr>
                <w:rFonts w:hint="default" w:ascii="Times New Roman" w:hAnsi="Times New Roman" w:cs="Times New Roman"/>
                <w:color w:val="auto"/>
                <w:highlight w:val="none"/>
              </w:rPr>
            </w:pPr>
            <w:r>
              <w:rPr>
                <w:rFonts w:hint="eastAsia" w:cs="Times New Roman"/>
                <w:color w:val="auto"/>
                <w:highlight w:val="none"/>
                <w:lang w:eastAsia="zh-CN"/>
              </w:rPr>
              <w:t>基本</w:t>
            </w:r>
            <w:r>
              <w:rPr>
                <w:rFonts w:hint="default" w:ascii="Times New Roman" w:hAnsi="Times New Roman" w:cs="Times New Roman"/>
                <w:color w:val="auto"/>
                <w:highlight w:val="none"/>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4" w:type="dxa"/>
            <w:tcBorders>
              <w:top w:val="single" w:color="auto" w:sz="4" w:space="0"/>
              <w:left w:val="single" w:color="auto" w:sz="12"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4543"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违反《水土保持法》第二十条，在县级以上地方人民政府公告的崩塌滑坡危险区和泥石流易发区内取土、挖砂、取石的开发建设项目。</w:t>
            </w:r>
          </w:p>
        </w:tc>
        <w:tc>
          <w:tcPr>
            <w:tcW w:w="3122"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工程未在县级以上地方人民政府公告的崩塌滑坡危险区和泥石流易发区取土、挖沙取石。</w:t>
            </w:r>
          </w:p>
        </w:tc>
        <w:tc>
          <w:tcPr>
            <w:tcW w:w="989" w:type="dxa"/>
            <w:tcBorders>
              <w:top w:val="single" w:color="auto" w:sz="4" w:space="0"/>
              <w:left w:val="single" w:color="auto" w:sz="4" w:space="0"/>
              <w:bottom w:val="single" w:color="auto" w:sz="4" w:space="0"/>
              <w:right w:val="single" w:color="auto" w:sz="12" w:space="0"/>
            </w:tcBorders>
            <w:vAlign w:val="center"/>
          </w:tcPr>
          <w:p>
            <w:pPr>
              <w:pStyle w:val="84"/>
              <w:ind w:firstLine="0" w:firstLineChars="0"/>
              <w:jc w:val="both"/>
              <w:rPr>
                <w:rFonts w:hint="default" w:ascii="Times New Roman" w:hAnsi="Times New Roman" w:cs="Times New Roman"/>
                <w:color w:val="auto"/>
                <w:highlight w:val="none"/>
              </w:rPr>
            </w:pPr>
            <w:r>
              <w:rPr>
                <w:rFonts w:hint="eastAsia" w:cs="Times New Roman"/>
                <w:color w:val="auto"/>
                <w:highlight w:val="none"/>
                <w:lang w:eastAsia="zh-CN"/>
              </w:rPr>
              <w:t>基本</w:t>
            </w:r>
            <w:r>
              <w:rPr>
                <w:rFonts w:hint="default" w:ascii="Times New Roman" w:hAnsi="Times New Roman" w:cs="Times New Roman"/>
                <w:color w:val="auto"/>
                <w:highlight w:val="none"/>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4" w:type="dxa"/>
            <w:tcBorders>
              <w:top w:val="single" w:color="auto" w:sz="4" w:space="0"/>
              <w:left w:val="single" w:color="auto" w:sz="12"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4543"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违反《中华人民共和国水法》第十九条，不符合流域综合规划的水工程。</w:t>
            </w:r>
          </w:p>
        </w:tc>
        <w:tc>
          <w:tcPr>
            <w:tcW w:w="3122" w:type="dxa"/>
            <w:tcBorders>
              <w:top w:val="single" w:color="auto" w:sz="4" w:space="0"/>
              <w:left w:val="single" w:color="auto" w:sz="4"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不涉及</w:t>
            </w:r>
          </w:p>
        </w:tc>
        <w:tc>
          <w:tcPr>
            <w:tcW w:w="989" w:type="dxa"/>
            <w:tcBorders>
              <w:top w:val="single" w:color="auto" w:sz="4" w:space="0"/>
              <w:left w:val="single" w:color="auto" w:sz="4" w:space="0"/>
              <w:bottom w:val="single" w:color="auto" w:sz="4" w:space="0"/>
              <w:right w:val="single" w:color="auto" w:sz="12" w:space="0"/>
            </w:tcBorders>
            <w:vAlign w:val="center"/>
          </w:tcPr>
          <w:p>
            <w:pPr>
              <w:pStyle w:val="84"/>
              <w:ind w:firstLine="0" w:firstLineChars="0"/>
              <w:jc w:val="both"/>
              <w:rPr>
                <w:rFonts w:hint="default" w:ascii="Times New Roman" w:hAnsi="Times New Roman" w:cs="Times New Roman"/>
                <w:color w:val="auto"/>
                <w:highlight w:val="none"/>
              </w:rPr>
            </w:pPr>
            <w:r>
              <w:rPr>
                <w:rFonts w:hint="eastAsia" w:cs="Times New Roman"/>
                <w:color w:val="auto"/>
                <w:highlight w:val="none"/>
                <w:lang w:eastAsia="zh-CN"/>
              </w:rPr>
              <w:t>基本</w:t>
            </w:r>
            <w:r>
              <w:rPr>
                <w:rFonts w:hint="default" w:ascii="Times New Roman" w:hAnsi="Times New Roman" w:cs="Times New Roman"/>
                <w:color w:val="auto"/>
                <w:highlight w:val="none"/>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4" w:type="dxa"/>
            <w:tcBorders>
              <w:top w:val="single" w:color="auto" w:sz="4" w:space="0"/>
              <w:left w:val="single" w:color="auto" w:sz="12"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4543"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根据国家产业结构调整的有关规定精神，国家发展和改革主管部门同意后方可开展前期工作，但未能提供相应文件依据的开发建设项目。</w:t>
            </w:r>
          </w:p>
        </w:tc>
        <w:tc>
          <w:tcPr>
            <w:tcW w:w="3122"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本项目已获得企业投资项目登记备案证。</w:t>
            </w:r>
          </w:p>
        </w:tc>
        <w:tc>
          <w:tcPr>
            <w:tcW w:w="989" w:type="dxa"/>
            <w:tcBorders>
              <w:top w:val="single" w:color="auto" w:sz="4" w:space="0"/>
              <w:left w:val="single" w:color="auto" w:sz="4" w:space="0"/>
              <w:bottom w:val="single" w:color="auto" w:sz="4" w:space="0"/>
              <w:right w:val="single" w:color="auto" w:sz="12" w:space="0"/>
            </w:tcBorders>
            <w:vAlign w:val="center"/>
          </w:tcPr>
          <w:p>
            <w:pPr>
              <w:pStyle w:val="84"/>
              <w:ind w:firstLine="0" w:firstLineChars="0"/>
              <w:jc w:val="both"/>
              <w:rPr>
                <w:rFonts w:hint="default" w:ascii="Times New Roman" w:hAnsi="Times New Roman" w:cs="Times New Roman"/>
                <w:color w:val="auto"/>
                <w:highlight w:val="none"/>
              </w:rPr>
            </w:pPr>
            <w:r>
              <w:rPr>
                <w:rFonts w:hint="eastAsia" w:cs="Times New Roman"/>
                <w:color w:val="auto"/>
                <w:highlight w:val="none"/>
                <w:lang w:eastAsia="zh-CN"/>
              </w:rPr>
              <w:t>基本</w:t>
            </w:r>
            <w:r>
              <w:rPr>
                <w:rFonts w:hint="default" w:ascii="Times New Roman" w:hAnsi="Times New Roman" w:cs="Times New Roman"/>
                <w:color w:val="auto"/>
                <w:highlight w:val="none"/>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4" w:type="dxa"/>
            <w:tcBorders>
              <w:top w:val="single" w:color="auto" w:sz="4" w:space="0"/>
              <w:left w:val="single" w:color="auto" w:sz="12"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7</w:t>
            </w:r>
          </w:p>
        </w:tc>
        <w:tc>
          <w:tcPr>
            <w:tcW w:w="4543"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分期建设的开发建设项目，其前期工程存在未编报水土保持方案、水土保持方案未落实和水土保持设施未按期验收的。</w:t>
            </w:r>
          </w:p>
        </w:tc>
        <w:tc>
          <w:tcPr>
            <w:tcW w:w="3122"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本项目不属于分期建设项目，不存在上述情况。</w:t>
            </w:r>
          </w:p>
        </w:tc>
        <w:tc>
          <w:tcPr>
            <w:tcW w:w="989" w:type="dxa"/>
            <w:tcBorders>
              <w:top w:val="single" w:color="auto" w:sz="4" w:space="0"/>
              <w:left w:val="single" w:color="auto" w:sz="4" w:space="0"/>
              <w:bottom w:val="single" w:color="auto" w:sz="4" w:space="0"/>
              <w:right w:val="single" w:color="auto" w:sz="12" w:space="0"/>
            </w:tcBorders>
            <w:vAlign w:val="center"/>
          </w:tcPr>
          <w:p>
            <w:pPr>
              <w:pStyle w:val="84"/>
              <w:ind w:firstLine="0" w:firstLineChars="0"/>
              <w:jc w:val="both"/>
              <w:rPr>
                <w:rFonts w:hint="default" w:ascii="Times New Roman" w:hAnsi="Times New Roman" w:cs="Times New Roman"/>
                <w:color w:val="auto"/>
                <w:highlight w:val="none"/>
              </w:rPr>
            </w:pPr>
            <w:r>
              <w:rPr>
                <w:rFonts w:hint="eastAsia" w:cs="Times New Roman"/>
                <w:color w:val="auto"/>
                <w:highlight w:val="none"/>
                <w:lang w:eastAsia="zh-CN"/>
              </w:rPr>
              <w:t>基本</w:t>
            </w:r>
            <w:r>
              <w:rPr>
                <w:rFonts w:hint="default" w:ascii="Times New Roman" w:hAnsi="Times New Roman" w:cs="Times New Roman"/>
                <w:color w:val="auto"/>
                <w:highlight w:val="none"/>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4" w:type="dxa"/>
            <w:tcBorders>
              <w:top w:val="single" w:color="auto" w:sz="4" w:space="0"/>
              <w:left w:val="single" w:color="auto" w:sz="12"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4543"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同一投资主体所属的开发建设项目，在建及生产运行的工程中存在未编报水土保持方案、水土保持方案未落实和水土保持设施未按期验收的。</w:t>
            </w:r>
          </w:p>
        </w:tc>
        <w:tc>
          <w:tcPr>
            <w:tcW w:w="3122" w:type="dxa"/>
            <w:tcBorders>
              <w:top w:val="single" w:color="auto" w:sz="4" w:space="0"/>
              <w:left w:val="single" w:color="auto" w:sz="4" w:space="0"/>
              <w:bottom w:val="single" w:color="auto" w:sz="4" w:space="0"/>
              <w:right w:val="single" w:color="auto" w:sz="4" w:space="0"/>
            </w:tcBorders>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建设单位不涉及上述情况。</w:t>
            </w:r>
          </w:p>
        </w:tc>
        <w:tc>
          <w:tcPr>
            <w:tcW w:w="989" w:type="dxa"/>
            <w:tcBorders>
              <w:top w:val="single" w:color="auto" w:sz="4" w:space="0"/>
              <w:left w:val="single" w:color="auto" w:sz="4" w:space="0"/>
              <w:bottom w:val="single" w:color="auto" w:sz="4" w:space="0"/>
              <w:right w:val="single" w:color="auto" w:sz="12" w:space="0"/>
            </w:tcBorders>
            <w:vAlign w:val="center"/>
          </w:tcPr>
          <w:p>
            <w:pPr>
              <w:pStyle w:val="84"/>
              <w:ind w:firstLine="0" w:firstLineChars="0"/>
              <w:jc w:val="both"/>
              <w:rPr>
                <w:rFonts w:hint="default" w:ascii="Times New Roman" w:hAnsi="Times New Roman" w:cs="Times New Roman"/>
                <w:color w:val="auto"/>
                <w:highlight w:val="none"/>
              </w:rPr>
            </w:pPr>
            <w:r>
              <w:rPr>
                <w:rFonts w:hint="eastAsia" w:cs="Times New Roman"/>
                <w:color w:val="auto"/>
                <w:highlight w:val="none"/>
                <w:lang w:eastAsia="zh-CN"/>
              </w:rPr>
              <w:t>基本</w:t>
            </w:r>
            <w:r>
              <w:rPr>
                <w:rFonts w:hint="default" w:ascii="Times New Roman" w:hAnsi="Times New Roman" w:cs="Times New Roman"/>
                <w:color w:val="auto"/>
                <w:highlight w:val="none"/>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4" w:type="dxa"/>
            <w:tcBorders>
              <w:top w:val="single" w:color="auto" w:sz="4" w:space="0"/>
              <w:left w:val="single" w:color="auto" w:sz="12"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9</w:t>
            </w:r>
          </w:p>
        </w:tc>
        <w:tc>
          <w:tcPr>
            <w:tcW w:w="4543" w:type="dxa"/>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处于重要江河、湖泊以及跨省（自治区、直辖市）的其他江河、湖泊的水功能一级区的保护区和保留区内可能严重影响水质的开发建设项目，以及对水功能二级区的饮用水源区水质有影响的开发建设项目。</w:t>
            </w:r>
          </w:p>
        </w:tc>
        <w:tc>
          <w:tcPr>
            <w:tcW w:w="3122" w:type="dxa"/>
            <w:tcBorders>
              <w:top w:val="single" w:color="auto" w:sz="4" w:space="0"/>
              <w:left w:val="single" w:color="auto" w:sz="4"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项目区不涉及上述区域</w:t>
            </w:r>
          </w:p>
        </w:tc>
        <w:tc>
          <w:tcPr>
            <w:tcW w:w="989" w:type="dxa"/>
            <w:tcBorders>
              <w:top w:val="single" w:color="auto" w:sz="4" w:space="0"/>
              <w:left w:val="single" w:color="auto" w:sz="4" w:space="0"/>
              <w:bottom w:val="single" w:color="auto" w:sz="4" w:space="0"/>
              <w:right w:val="single" w:color="auto" w:sz="12" w:space="0"/>
            </w:tcBorders>
            <w:vAlign w:val="center"/>
          </w:tcPr>
          <w:p>
            <w:pPr>
              <w:pStyle w:val="84"/>
              <w:ind w:firstLine="0" w:firstLineChars="0"/>
              <w:jc w:val="both"/>
              <w:rPr>
                <w:rFonts w:hint="default" w:ascii="Times New Roman" w:hAnsi="Times New Roman" w:cs="Times New Roman"/>
                <w:color w:val="auto"/>
                <w:highlight w:val="none"/>
              </w:rPr>
            </w:pPr>
            <w:r>
              <w:rPr>
                <w:rFonts w:hint="eastAsia" w:cs="Times New Roman"/>
                <w:color w:val="auto"/>
                <w:highlight w:val="none"/>
                <w:lang w:eastAsia="zh-CN"/>
              </w:rPr>
              <w:t>基本</w:t>
            </w:r>
            <w:r>
              <w:rPr>
                <w:rFonts w:hint="default" w:ascii="Times New Roman" w:hAnsi="Times New Roman" w:cs="Times New Roman"/>
                <w:color w:val="auto"/>
                <w:highlight w:val="none"/>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4" w:type="dxa"/>
            <w:tcBorders>
              <w:top w:val="single" w:color="auto" w:sz="4" w:space="0"/>
              <w:left w:val="single" w:color="auto" w:sz="12" w:space="0"/>
              <w:bottom w:val="single" w:color="auto" w:sz="12"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4543" w:type="dxa"/>
            <w:tcBorders>
              <w:top w:val="single" w:color="auto" w:sz="4" w:space="0"/>
              <w:left w:val="single" w:color="auto" w:sz="4" w:space="0"/>
              <w:bottom w:val="single" w:color="auto" w:sz="12" w:space="0"/>
              <w:right w:val="single" w:color="auto" w:sz="4" w:space="0"/>
            </w:tcBorders>
            <w:vAlign w:val="center"/>
          </w:tcPr>
          <w:p>
            <w:pPr>
              <w:pStyle w:val="84"/>
              <w:jc w:val="left"/>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在华北、西北等水资源严重短缺的地区，未通过建设项目水资源论证的开发建设项目。</w:t>
            </w:r>
          </w:p>
        </w:tc>
        <w:tc>
          <w:tcPr>
            <w:tcW w:w="3122" w:type="dxa"/>
            <w:tcBorders>
              <w:top w:val="single" w:color="auto" w:sz="4" w:space="0"/>
              <w:left w:val="single" w:color="auto" w:sz="4" w:space="0"/>
              <w:bottom w:val="single" w:color="auto" w:sz="12" w:space="0"/>
              <w:right w:val="single" w:color="auto" w:sz="4" w:space="0"/>
            </w:tcBorders>
            <w:vAlign w:val="center"/>
          </w:tcPr>
          <w:p>
            <w:pPr>
              <w:pStyle w:val="84"/>
              <w:rPr>
                <w:rFonts w:hint="default" w:ascii="Times New Roman" w:hAnsi="Times New Roman" w:cs="Times New Roman"/>
                <w:snapToGrid w:val="0"/>
                <w:color w:val="auto"/>
                <w:highlight w:val="none"/>
              </w:rPr>
            </w:pPr>
            <w:r>
              <w:rPr>
                <w:rFonts w:hint="default" w:ascii="Times New Roman" w:hAnsi="Times New Roman" w:cs="Times New Roman"/>
                <w:color w:val="auto"/>
                <w:highlight w:val="none"/>
              </w:rPr>
              <w:t>本工程用水</w:t>
            </w:r>
            <w:r>
              <w:rPr>
                <w:rFonts w:hint="eastAsia" w:cs="Times New Roman"/>
                <w:color w:val="auto"/>
                <w:highlight w:val="none"/>
                <w:lang w:eastAsia="zh-CN"/>
              </w:rPr>
              <w:t>从光伏产业园区引用自来水，且已通过</w:t>
            </w:r>
            <w:r>
              <w:rPr>
                <w:rFonts w:hint="default" w:ascii="Times New Roman" w:hAnsi="Times New Roman" w:cs="Times New Roman"/>
                <w:color w:val="auto"/>
                <w:highlight w:val="none"/>
              </w:rPr>
              <w:t>水资源论证。</w:t>
            </w:r>
          </w:p>
        </w:tc>
        <w:tc>
          <w:tcPr>
            <w:tcW w:w="989" w:type="dxa"/>
            <w:tcBorders>
              <w:top w:val="single" w:color="auto" w:sz="4" w:space="0"/>
              <w:left w:val="single" w:color="auto" w:sz="4" w:space="0"/>
              <w:bottom w:val="single" w:color="auto" w:sz="12" w:space="0"/>
              <w:right w:val="single" w:color="auto" w:sz="12" w:space="0"/>
            </w:tcBorders>
            <w:vAlign w:val="center"/>
          </w:tcPr>
          <w:p>
            <w:pPr>
              <w:pStyle w:val="84"/>
              <w:ind w:firstLine="0" w:firstLineChars="0"/>
              <w:jc w:val="both"/>
              <w:rPr>
                <w:rFonts w:hint="default" w:ascii="Times New Roman" w:hAnsi="Times New Roman" w:cs="Times New Roman"/>
                <w:snapToGrid w:val="0"/>
                <w:color w:val="auto"/>
                <w:highlight w:val="none"/>
              </w:rPr>
            </w:pPr>
            <w:r>
              <w:rPr>
                <w:rFonts w:hint="eastAsia" w:cs="Times New Roman"/>
                <w:color w:val="auto"/>
                <w:highlight w:val="none"/>
                <w:lang w:eastAsia="zh-CN"/>
              </w:rPr>
              <w:t>基本</w:t>
            </w:r>
            <w:r>
              <w:rPr>
                <w:rFonts w:hint="default" w:ascii="Times New Roman" w:hAnsi="Times New Roman" w:cs="Times New Roman"/>
                <w:color w:val="auto"/>
                <w:highlight w:val="none"/>
              </w:rPr>
              <w:t>符合要求</w:t>
            </w:r>
          </w:p>
        </w:tc>
      </w:tr>
    </w:tbl>
    <w:p>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pPr>
        <w:pStyle w:val="75"/>
        <w:spacing w:before="120" w:beforeLines="50"/>
        <w:rPr>
          <w:rFonts w:hint="default" w:ascii="Times New Roman" w:hAnsi="Times New Roman" w:cs="Times New Roman"/>
          <w:color w:val="auto"/>
          <w:highlight w:val="none"/>
        </w:rPr>
      </w:pPr>
      <w:r>
        <w:rPr>
          <w:rFonts w:hint="default" w:ascii="Times New Roman" w:hAnsi="Times New Roman" w:cs="Times New Roman"/>
          <w:color w:val="auto"/>
          <w:highlight w:val="none"/>
        </w:rPr>
        <w:t>表3.1-3   生产及建设项目水土保持技术标准(GB50433-2018)的水土保持约束性分析</w:t>
      </w:r>
    </w:p>
    <w:tbl>
      <w:tblPr>
        <w:tblStyle w:val="27"/>
        <w:tblW w:w="90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2"/>
        <w:gridCol w:w="4392"/>
        <w:gridCol w:w="3542"/>
        <w:gridCol w:w="7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 w:hRule="atLeast"/>
        </w:trPr>
        <w:tc>
          <w:tcPr>
            <w:tcW w:w="422" w:type="dxa"/>
            <w:tcBorders>
              <w:top w:val="single" w:color="auto" w:sz="12" w:space="0"/>
              <w:left w:val="single" w:color="auto" w:sz="12"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4392" w:type="dxa"/>
            <w:tcBorders>
              <w:top w:val="single" w:color="auto" w:sz="12" w:space="0"/>
              <w:left w:val="single" w:color="auto" w:sz="6"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基本规定</w:t>
            </w:r>
          </w:p>
        </w:tc>
        <w:tc>
          <w:tcPr>
            <w:tcW w:w="3542" w:type="dxa"/>
            <w:tcBorders>
              <w:top w:val="single" w:color="auto" w:sz="12" w:space="0"/>
              <w:left w:val="single" w:color="auto" w:sz="6"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本项目实施情况</w:t>
            </w:r>
          </w:p>
        </w:tc>
        <w:tc>
          <w:tcPr>
            <w:tcW w:w="704" w:type="dxa"/>
            <w:tcBorders>
              <w:top w:val="single" w:color="auto" w:sz="12" w:space="0"/>
              <w:left w:val="single" w:color="auto" w:sz="6" w:space="0"/>
              <w:bottom w:val="single" w:color="auto" w:sz="6" w:space="0"/>
              <w:right w:val="single" w:color="auto" w:sz="12"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是否满足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422" w:type="dxa"/>
            <w:tcBorders>
              <w:top w:val="single" w:color="auto" w:sz="6" w:space="0"/>
              <w:left w:val="single" w:color="auto" w:sz="12"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4392" w:type="dxa"/>
            <w:tcBorders>
              <w:top w:val="single" w:color="auto" w:sz="6" w:space="0"/>
              <w:left w:val="single" w:color="auto" w:sz="6" w:space="0"/>
              <w:bottom w:val="single" w:color="auto" w:sz="6" w:space="0"/>
              <w:right w:val="single" w:color="auto" w:sz="6"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主体工程选址（线）应避让水土流失重点预防区和重点治理区；</w:t>
            </w:r>
          </w:p>
        </w:tc>
        <w:tc>
          <w:tcPr>
            <w:tcW w:w="3542" w:type="dxa"/>
            <w:tcBorders>
              <w:top w:val="single" w:color="auto" w:sz="6" w:space="0"/>
              <w:left w:val="single" w:color="auto" w:sz="6" w:space="0"/>
              <w:bottom w:val="single" w:color="auto" w:sz="6" w:space="0"/>
              <w:right w:val="single" w:color="auto" w:sz="6"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项目区属于</w:t>
            </w:r>
            <w:r>
              <w:rPr>
                <w:rFonts w:hint="eastAsia" w:ascii="仿宋_GB2312" w:hAnsi="仿宋_GB2312" w:eastAsia="仿宋_GB2312" w:cs="仿宋_GB2312"/>
                <w:snapToGrid w:val="0"/>
                <w:color w:val="000000"/>
                <w:sz w:val="21"/>
                <w:szCs w:val="21"/>
                <w:highlight w:val="none"/>
              </w:rPr>
              <w:t>国家级水土流失重点预防区/天山北坡诸小河流域重点治理区</w:t>
            </w:r>
            <w:r>
              <w:rPr>
                <w:rFonts w:hint="eastAsia" w:ascii="仿宋_GB2312" w:hAnsi="仿宋_GB2312" w:cs="仿宋_GB2312"/>
                <w:snapToGrid w:val="0"/>
                <w:color w:val="000000"/>
                <w:sz w:val="21"/>
                <w:szCs w:val="21"/>
                <w:highlight w:val="none"/>
                <w:lang w:eastAsia="zh-CN"/>
              </w:rPr>
              <w:t>，</w:t>
            </w:r>
            <w:r>
              <w:rPr>
                <w:rFonts w:hint="default" w:ascii="Times New Roman" w:hAnsi="Times New Roman" w:cs="Times New Roman"/>
                <w:color w:val="auto"/>
                <w:highlight w:val="none"/>
              </w:rPr>
              <w:t>已采取一级标准，建议主体后续施工期间优化施工工艺，最大程度减少对周边扰动。</w:t>
            </w:r>
          </w:p>
        </w:tc>
        <w:tc>
          <w:tcPr>
            <w:tcW w:w="704" w:type="dxa"/>
            <w:tcBorders>
              <w:top w:val="single" w:color="auto" w:sz="6" w:space="0"/>
              <w:left w:val="single" w:color="auto" w:sz="6" w:space="0"/>
              <w:bottom w:val="single" w:color="auto" w:sz="6" w:space="0"/>
              <w:right w:val="single" w:color="auto" w:sz="12"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基本满足规范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6" w:hRule="atLeast"/>
        </w:trPr>
        <w:tc>
          <w:tcPr>
            <w:tcW w:w="422" w:type="dxa"/>
            <w:tcBorders>
              <w:top w:val="single" w:color="auto" w:sz="6" w:space="0"/>
              <w:left w:val="single" w:color="auto" w:sz="12"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4392" w:type="dxa"/>
            <w:tcBorders>
              <w:top w:val="single" w:color="auto" w:sz="6" w:space="0"/>
              <w:left w:val="single" w:color="auto" w:sz="6" w:space="0"/>
              <w:bottom w:val="single" w:color="auto" w:sz="6" w:space="0"/>
              <w:right w:val="single" w:color="auto" w:sz="6"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主体工程选址（线）应避让河流两岸、湖泊和水库周边的植物保护带；</w:t>
            </w:r>
          </w:p>
        </w:tc>
        <w:tc>
          <w:tcPr>
            <w:tcW w:w="3542" w:type="dxa"/>
            <w:tcBorders>
              <w:top w:val="single" w:color="auto" w:sz="6" w:space="0"/>
              <w:left w:val="single" w:color="auto" w:sz="6"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项目区不涉及上述区域</w:t>
            </w:r>
          </w:p>
        </w:tc>
        <w:tc>
          <w:tcPr>
            <w:tcW w:w="704" w:type="dxa"/>
            <w:tcBorders>
              <w:top w:val="single" w:color="auto" w:sz="6" w:space="0"/>
              <w:left w:val="single" w:color="auto" w:sz="6" w:space="0"/>
              <w:bottom w:val="single" w:color="auto" w:sz="6" w:space="0"/>
              <w:right w:val="single" w:color="auto" w:sz="12" w:space="0"/>
            </w:tcBorders>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基本满足规范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1" w:hRule="atLeast"/>
        </w:trPr>
        <w:tc>
          <w:tcPr>
            <w:tcW w:w="422" w:type="dxa"/>
            <w:tcBorders>
              <w:top w:val="single" w:color="auto" w:sz="6" w:space="0"/>
              <w:left w:val="single" w:color="auto" w:sz="12"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4392" w:type="dxa"/>
            <w:tcBorders>
              <w:top w:val="single" w:color="auto" w:sz="6" w:space="0"/>
              <w:left w:val="single" w:color="auto" w:sz="6" w:space="0"/>
              <w:bottom w:val="single" w:color="auto" w:sz="6" w:space="0"/>
              <w:right w:val="single" w:color="auto" w:sz="6"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主体工程选址（线）应避让全国水土保持监测网络中的水土保持监测站点、重点实验区、不得占用国家确定的水土保持长期定位观测站。</w:t>
            </w:r>
          </w:p>
        </w:tc>
        <w:tc>
          <w:tcPr>
            <w:tcW w:w="3542" w:type="dxa"/>
            <w:tcBorders>
              <w:top w:val="single" w:color="auto" w:sz="6" w:space="0"/>
              <w:left w:val="single" w:color="auto" w:sz="6"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项目区不涉及上述区域</w:t>
            </w:r>
          </w:p>
        </w:tc>
        <w:tc>
          <w:tcPr>
            <w:tcW w:w="704" w:type="dxa"/>
            <w:tcBorders>
              <w:top w:val="single" w:color="auto" w:sz="6" w:space="0"/>
              <w:left w:val="single" w:color="auto" w:sz="6" w:space="0"/>
              <w:bottom w:val="single" w:color="auto" w:sz="6" w:space="0"/>
              <w:right w:val="single" w:color="auto" w:sz="12" w:space="0"/>
            </w:tcBorders>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基本满足规范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1" w:hRule="atLeast"/>
        </w:trPr>
        <w:tc>
          <w:tcPr>
            <w:tcW w:w="422" w:type="dxa"/>
            <w:tcBorders>
              <w:top w:val="single" w:color="auto" w:sz="6" w:space="0"/>
              <w:left w:val="single" w:color="auto" w:sz="12"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4392" w:type="dxa"/>
            <w:tcBorders>
              <w:top w:val="single" w:color="auto" w:sz="6" w:space="0"/>
              <w:left w:val="single" w:color="auto" w:sz="6" w:space="0"/>
              <w:bottom w:val="single" w:color="auto" w:sz="6" w:space="0"/>
              <w:right w:val="single" w:color="auto" w:sz="6"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施工活动应控制在设计的施工道路、施工场地内</w:t>
            </w:r>
          </w:p>
        </w:tc>
        <w:tc>
          <w:tcPr>
            <w:tcW w:w="3542" w:type="dxa"/>
            <w:tcBorders>
              <w:top w:val="single" w:color="auto" w:sz="6" w:space="0"/>
              <w:left w:val="single" w:color="auto" w:sz="6"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主体后续施工期间需严格限制施工扰动，仅在施工道路等范围内施工</w:t>
            </w:r>
          </w:p>
        </w:tc>
        <w:tc>
          <w:tcPr>
            <w:tcW w:w="704" w:type="dxa"/>
            <w:tcBorders>
              <w:top w:val="single" w:color="auto" w:sz="6" w:space="0"/>
              <w:left w:val="single" w:color="auto" w:sz="6" w:space="0"/>
              <w:bottom w:val="single" w:color="auto" w:sz="6" w:space="0"/>
              <w:right w:val="single" w:color="auto" w:sz="12" w:space="0"/>
            </w:tcBorders>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基本满足规范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1" w:hRule="atLeast"/>
        </w:trPr>
        <w:tc>
          <w:tcPr>
            <w:tcW w:w="422" w:type="dxa"/>
            <w:tcBorders>
              <w:top w:val="single" w:color="auto" w:sz="6" w:space="0"/>
              <w:left w:val="single" w:color="auto" w:sz="12"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4392" w:type="dxa"/>
            <w:tcBorders>
              <w:top w:val="single" w:color="auto" w:sz="6" w:space="0"/>
              <w:left w:val="single" w:color="auto" w:sz="6" w:space="0"/>
              <w:bottom w:val="single" w:color="auto" w:sz="6" w:space="0"/>
              <w:right w:val="single" w:color="auto" w:sz="6"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施工开始时应首先对表土进行剥离或保护，剥离的表土应集中堆放，并采取防护措施。</w:t>
            </w:r>
          </w:p>
        </w:tc>
        <w:tc>
          <w:tcPr>
            <w:tcW w:w="3542" w:type="dxa"/>
            <w:tcBorders>
              <w:top w:val="single" w:color="auto" w:sz="6" w:space="0"/>
              <w:left w:val="single" w:color="auto" w:sz="6"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本项目无腐殖质表层，不涉及表土剥离</w:t>
            </w:r>
          </w:p>
        </w:tc>
        <w:tc>
          <w:tcPr>
            <w:tcW w:w="704" w:type="dxa"/>
            <w:tcBorders>
              <w:top w:val="single" w:color="auto" w:sz="6" w:space="0"/>
              <w:left w:val="single" w:color="auto" w:sz="6" w:space="0"/>
              <w:bottom w:val="single" w:color="auto" w:sz="6" w:space="0"/>
              <w:right w:val="single" w:color="auto" w:sz="12" w:space="0"/>
            </w:tcBorders>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基本满足规范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1" w:hRule="atLeast"/>
        </w:trPr>
        <w:tc>
          <w:tcPr>
            <w:tcW w:w="422" w:type="dxa"/>
            <w:tcBorders>
              <w:top w:val="single" w:color="auto" w:sz="6" w:space="0"/>
              <w:left w:val="single" w:color="auto" w:sz="12"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4392" w:type="dxa"/>
            <w:tcBorders>
              <w:top w:val="single" w:color="auto" w:sz="6" w:space="0"/>
              <w:left w:val="single" w:color="auto" w:sz="6" w:space="0"/>
              <w:bottom w:val="single" w:color="auto" w:sz="6" w:space="0"/>
              <w:right w:val="single" w:color="auto" w:sz="6"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裸露地表应及时防护，减少裸露时；填筑土方时应随挖、随运、随填、随压。</w:t>
            </w:r>
          </w:p>
        </w:tc>
        <w:tc>
          <w:tcPr>
            <w:tcW w:w="3542" w:type="dxa"/>
            <w:tcBorders>
              <w:top w:val="single" w:color="auto" w:sz="6" w:space="0"/>
              <w:left w:val="single" w:color="auto" w:sz="6"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主体现阶段仅三通一平，后续施工期间及时对裸露地表防护，填筑土严禁临时堆置</w:t>
            </w:r>
          </w:p>
        </w:tc>
        <w:tc>
          <w:tcPr>
            <w:tcW w:w="704" w:type="dxa"/>
            <w:tcBorders>
              <w:top w:val="single" w:color="auto" w:sz="6" w:space="0"/>
              <w:left w:val="single" w:color="auto" w:sz="6" w:space="0"/>
              <w:bottom w:val="single" w:color="auto" w:sz="6" w:space="0"/>
              <w:right w:val="single" w:color="auto" w:sz="12" w:space="0"/>
            </w:tcBorders>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基本满足规范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1" w:hRule="atLeast"/>
        </w:trPr>
        <w:tc>
          <w:tcPr>
            <w:tcW w:w="422" w:type="dxa"/>
            <w:tcBorders>
              <w:top w:val="single" w:color="auto" w:sz="6" w:space="0"/>
              <w:left w:val="single" w:color="auto" w:sz="12"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7</w:t>
            </w:r>
          </w:p>
        </w:tc>
        <w:tc>
          <w:tcPr>
            <w:tcW w:w="4392" w:type="dxa"/>
            <w:tcBorders>
              <w:top w:val="single" w:color="auto" w:sz="6" w:space="0"/>
              <w:left w:val="single" w:color="auto" w:sz="6" w:space="0"/>
              <w:bottom w:val="single" w:color="auto" w:sz="6" w:space="0"/>
              <w:right w:val="single" w:color="auto" w:sz="6"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临时堆土（石、渣）应集中堆放，并采取临时拦挡、苫盖、排水、沉沙等措施。</w:t>
            </w:r>
          </w:p>
        </w:tc>
        <w:tc>
          <w:tcPr>
            <w:tcW w:w="3542" w:type="dxa"/>
            <w:tcBorders>
              <w:top w:val="single" w:color="auto" w:sz="6" w:space="0"/>
              <w:left w:val="single" w:color="auto" w:sz="6"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建构筑物基坑开挖堆土临时堆置期间对采取防护</w:t>
            </w:r>
          </w:p>
        </w:tc>
        <w:tc>
          <w:tcPr>
            <w:tcW w:w="704" w:type="dxa"/>
            <w:tcBorders>
              <w:top w:val="single" w:color="auto" w:sz="6" w:space="0"/>
              <w:left w:val="single" w:color="auto" w:sz="6" w:space="0"/>
              <w:bottom w:val="single" w:color="auto" w:sz="6" w:space="0"/>
              <w:right w:val="single" w:color="auto" w:sz="12" w:space="0"/>
            </w:tcBorders>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基本满足规范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1" w:hRule="atLeast"/>
        </w:trPr>
        <w:tc>
          <w:tcPr>
            <w:tcW w:w="422" w:type="dxa"/>
            <w:tcBorders>
              <w:top w:val="single" w:color="auto" w:sz="6" w:space="0"/>
              <w:left w:val="single" w:color="auto" w:sz="12"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4392" w:type="dxa"/>
            <w:tcBorders>
              <w:top w:val="single" w:color="auto" w:sz="6" w:space="0"/>
              <w:left w:val="single" w:color="auto" w:sz="6" w:space="0"/>
              <w:bottom w:val="single" w:color="auto" w:sz="6" w:space="0"/>
              <w:right w:val="single" w:color="auto" w:sz="6"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施工产生的泥浆应先通过泥浆沉淀池沉淀，再采取其他处置措施。</w:t>
            </w:r>
          </w:p>
        </w:tc>
        <w:tc>
          <w:tcPr>
            <w:tcW w:w="3542" w:type="dxa"/>
            <w:tcBorders>
              <w:top w:val="single" w:color="auto" w:sz="6" w:space="0"/>
              <w:left w:val="single" w:color="auto" w:sz="6"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本项目不涉及泥浆的产生</w:t>
            </w:r>
          </w:p>
        </w:tc>
        <w:tc>
          <w:tcPr>
            <w:tcW w:w="704" w:type="dxa"/>
            <w:tcBorders>
              <w:top w:val="single" w:color="auto" w:sz="6" w:space="0"/>
              <w:left w:val="single" w:color="auto" w:sz="6" w:space="0"/>
              <w:bottom w:val="single" w:color="auto" w:sz="6" w:space="0"/>
              <w:right w:val="single" w:color="auto" w:sz="12" w:space="0"/>
            </w:tcBorders>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基本满足规范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1" w:hRule="atLeast"/>
        </w:trPr>
        <w:tc>
          <w:tcPr>
            <w:tcW w:w="422" w:type="dxa"/>
            <w:tcBorders>
              <w:top w:val="single" w:color="auto" w:sz="6" w:space="0"/>
              <w:left w:val="single" w:color="auto" w:sz="12"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9</w:t>
            </w:r>
          </w:p>
        </w:tc>
        <w:tc>
          <w:tcPr>
            <w:tcW w:w="4392" w:type="dxa"/>
            <w:tcBorders>
              <w:top w:val="single" w:color="auto" w:sz="6" w:space="0"/>
              <w:left w:val="single" w:color="auto" w:sz="6" w:space="0"/>
              <w:bottom w:val="single" w:color="auto" w:sz="6" w:space="0"/>
              <w:right w:val="single" w:color="auto" w:sz="6"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围堰填筑、拆除应采取减少水土流失的有效措施</w:t>
            </w:r>
          </w:p>
        </w:tc>
        <w:tc>
          <w:tcPr>
            <w:tcW w:w="3542" w:type="dxa"/>
            <w:tcBorders>
              <w:top w:val="single" w:color="auto" w:sz="6" w:space="0"/>
              <w:left w:val="single" w:color="auto" w:sz="6"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本项目仅涉及防洪堤的填筑，填筑期间及时回填碾压</w:t>
            </w:r>
          </w:p>
        </w:tc>
        <w:tc>
          <w:tcPr>
            <w:tcW w:w="704" w:type="dxa"/>
            <w:tcBorders>
              <w:top w:val="single" w:color="auto" w:sz="6" w:space="0"/>
              <w:left w:val="single" w:color="auto" w:sz="6" w:space="0"/>
              <w:bottom w:val="single" w:color="auto" w:sz="6" w:space="0"/>
              <w:right w:val="single" w:color="auto" w:sz="12" w:space="0"/>
            </w:tcBorders>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基本满足规范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1" w:hRule="atLeast"/>
        </w:trPr>
        <w:tc>
          <w:tcPr>
            <w:tcW w:w="422" w:type="dxa"/>
            <w:tcBorders>
              <w:top w:val="single" w:color="auto" w:sz="6" w:space="0"/>
              <w:left w:val="single" w:color="auto" w:sz="12"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4392" w:type="dxa"/>
            <w:tcBorders>
              <w:top w:val="single" w:color="auto" w:sz="6" w:space="0"/>
              <w:left w:val="single" w:color="auto" w:sz="6" w:space="0"/>
              <w:bottom w:val="single" w:color="auto" w:sz="6" w:space="0"/>
              <w:right w:val="single" w:color="auto" w:sz="6"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弃土（石、渣）场地应事先设置拦挡措施，弃土（石、渣）应有序堆放。</w:t>
            </w:r>
          </w:p>
        </w:tc>
        <w:tc>
          <w:tcPr>
            <w:tcW w:w="3542" w:type="dxa"/>
            <w:tcBorders>
              <w:top w:val="single" w:color="auto" w:sz="6" w:space="0"/>
              <w:left w:val="single" w:color="auto" w:sz="6"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本项目无弃土（石、渣）</w:t>
            </w:r>
          </w:p>
        </w:tc>
        <w:tc>
          <w:tcPr>
            <w:tcW w:w="704" w:type="dxa"/>
            <w:tcBorders>
              <w:top w:val="single" w:color="auto" w:sz="6" w:space="0"/>
              <w:left w:val="single" w:color="auto" w:sz="6" w:space="0"/>
              <w:bottom w:val="single" w:color="auto" w:sz="6" w:space="0"/>
              <w:right w:val="single" w:color="auto" w:sz="12" w:space="0"/>
            </w:tcBorders>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基本满足规范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1" w:hRule="atLeast"/>
        </w:trPr>
        <w:tc>
          <w:tcPr>
            <w:tcW w:w="422" w:type="dxa"/>
            <w:tcBorders>
              <w:top w:val="single" w:color="auto" w:sz="6" w:space="0"/>
              <w:left w:val="single" w:color="auto" w:sz="12"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11</w:t>
            </w:r>
          </w:p>
        </w:tc>
        <w:tc>
          <w:tcPr>
            <w:tcW w:w="4392" w:type="dxa"/>
            <w:tcBorders>
              <w:top w:val="single" w:color="auto" w:sz="6" w:space="0"/>
              <w:left w:val="single" w:color="auto" w:sz="6" w:space="0"/>
              <w:bottom w:val="single" w:color="auto" w:sz="6" w:space="0"/>
              <w:right w:val="single" w:color="auto" w:sz="6"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取土（石、砂）场开挖前应设置截（排）水、沉沙措施。</w:t>
            </w:r>
          </w:p>
        </w:tc>
        <w:tc>
          <w:tcPr>
            <w:tcW w:w="3542" w:type="dxa"/>
            <w:tcBorders>
              <w:top w:val="single" w:color="auto" w:sz="6" w:space="0"/>
              <w:left w:val="single" w:color="auto" w:sz="6"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本项目不涉及取土（石、砂）场</w:t>
            </w:r>
          </w:p>
        </w:tc>
        <w:tc>
          <w:tcPr>
            <w:tcW w:w="704" w:type="dxa"/>
            <w:tcBorders>
              <w:top w:val="single" w:color="auto" w:sz="6" w:space="0"/>
              <w:left w:val="single" w:color="auto" w:sz="6" w:space="0"/>
              <w:bottom w:val="single" w:color="auto" w:sz="6" w:space="0"/>
              <w:right w:val="single" w:color="auto" w:sz="12" w:space="0"/>
            </w:tcBorders>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基本满足规范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1" w:hRule="atLeast"/>
        </w:trPr>
        <w:tc>
          <w:tcPr>
            <w:tcW w:w="422" w:type="dxa"/>
            <w:tcBorders>
              <w:top w:val="single" w:color="auto" w:sz="6" w:space="0"/>
              <w:left w:val="single" w:color="auto" w:sz="12"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12</w:t>
            </w:r>
          </w:p>
        </w:tc>
        <w:tc>
          <w:tcPr>
            <w:tcW w:w="4392" w:type="dxa"/>
            <w:tcBorders>
              <w:top w:val="single" w:color="auto" w:sz="6" w:space="0"/>
              <w:left w:val="single" w:color="auto" w:sz="6" w:space="0"/>
              <w:bottom w:val="single" w:color="auto" w:sz="6" w:space="0"/>
              <w:right w:val="single" w:color="auto" w:sz="6" w:space="0"/>
            </w:tcBorders>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土（石、料、渣、矸石）方在运输过程中应采取保护措施，防止沿途散溢。</w:t>
            </w:r>
          </w:p>
        </w:tc>
        <w:tc>
          <w:tcPr>
            <w:tcW w:w="3542" w:type="dxa"/>
            <w:tcBorders>
              <w:top w:val="single" w:color="auto" w:sz="6" w:space="0"/>
              <w:left w:val="single" w:color="auto" w:sz="6" w:space="0"/>
              <w:bottom w:val="single" w:color="auto" w:sz="6" w:space="0"/>
              <w:right w:val="single" w:color="auto" w:sz="6"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本项目仅道路结构回填需长途运输砂石料，建设单位在运输过程中加强监管，严禁超载、裸露拉运等</w:t>
            </w:r>
          </w:p>
        </w:tc>
        <w:tc>
          <w:tcPr>
            <w:tcW w:w="704" w:type="dxa"/>
            <w:tcBorders>
              <w:top w:val="single" w:color="auto" w:sz="6" w:space="0"/>
              <w:left w:val="single" w:color="auto" w:sz="6" w:space="0"/>
              <w:bottom w:val="single" w:color="auto" w:sz="6" w:space="0"/>
              <w:right w:val="single" w:color="auto" w:sz="12" w:space="0"/>
            </w:tcBorders>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基本满足规范</w:t>
            </w:r>
          </w:p>
        </w:tc>
      </w:tr>
    </w:tbl>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根据主体资料确定，项目区周边交通便利，光照条件良好，接入系统较近，方便接入电网，无相应重要的需避让的敏感区域，选址唯一。</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以上分析，按照主体建设方案，通过对项目区水土流失与水土保持调查，对照《中华人民共和国水土保持法》、《生产建设项目水土保持技术标准》（GB50433-2018）和水保[2007]184号文对主体工程的约束性规定，项目区未涉及饮用水源保护区、自然保护区、世界文化和自然遗产地、风景名胜区、地质公园、森林公园、重要湿地，主体工程选址不涉及泥石流易发区、崩塌滑坡危险区以及易引发严重水土流失和生态恶化的地区；不占用全国水土保持网络中的水土保持监测点、重点试验区，不占用国家确定的水土保持长期定位观测站；不在重要江河、湖泊以及跨省（自治区、直辖市）的湖泊的水功能一级区的保护区和保留区，以及水功能二级区的饮用水源区；</w:t>
      </w:r>
      <w:r>
        <w:rPr>
          <w:rFonts w:hint="default" w:ascii="Times New Roman" w:hAnsi="Times New Roman" w:cs="Times New Roman"/>
          <w:color w:val="auto"/>
          <w:highlight w:val="none"/>
          <w:lang w:eastAsia="zh-CN"/>
        </w:rPr>
        <w:t>本项目</w:t>
      </w:r>
      <w:r>
        <w:rPr>
          <w:rFonts w:hint="default" w:cs="Times New Roman"/>
          <w:color w:val="auto"/>
          <w:highlight w:val="none"/>
          <w:lang w:eastAsia="zh-CN"/>
        </w:rPr>
        <w:t>区中部现有一条东西走向的地下通信光缆，项目主体工程布置时在两侧各留大于</w:t>
      </w:r>
      <w:r>
        <w:rPr>
          <w:rFonts w:hint="default" w:cs="Times New Roman"/>
          <w:color w:val="auto"/>
          <w:highlight w:val="none"/>
          <w:lang w:val="en-US" w:eastAsia="zh-CN"/>
        </w:rPr>
        <w:t>6米的防护保护区，局部也预留一定的维护检修占用区，在电站施工建设和运行期严格按照《国务院、中央军委关于保护通信线路的规定》和《通信线路工程设计</w:t>
      </w:r>
      <w:r>
        <w:rPr>
          <w:rFonts w:hint="eastAsia" w:cs="Times New Roman"/>
          <w:color w:val="auto"/>
          <w:highlight w:val="none"/>
          <w:lang w:val="en-US" w:eastAsia="zh-CN"/>
        </w:rPr>
        <w:t>规范》等国家法规、规程规范，对场内线路进行保护，建设与运行过程中均不会对此地下通信光缆产生影响。</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对照《中华人民共和国水土保持法》、《关于严格开发建设项目水土保持方案审查审批工作的通知》水保[2007]184号文及《生产建设项目水土保持技术标准》对主体工程的制约性分析认为，该项目符合水土保持的要求，不存在水土保持制约因素，项目建设具有可行性。</w:t>
      </w:r>
    </w:p>
    <w:p>
      <w:pPr>
        <w:pStyle w:val="66"/>
        <w:ind w:firstLine="148"/>
        <w:rPr>
          <w:rFonts w:hint="default" w:ascii="Times New Roman" w:hAnsi="Times New Roman" w:cs="Times New Roman"/>
          <w:color w:val="auto"/>
          <w:highlight w:val="none"/>
        </w:rPr>
      </w:pPr>
      <w:bookmarkStart w:id="91" w:name="_Toc4668"/>
      <w:r>
        <w:rPr>
          <w:rFonts w:hint="default" w:ascii="Times New Roman" w:hAnsi="Times New Roman" w:cs="Times New Roman"/>
          <w:color w:val="auto"/>
          <w:highlight w:val="none"/>
        </w:rPr>
        <w:t>3.2 建设方案与布局水土保持评价</w:t>
      </w:r>
      <w:bookmarkEnd w:id="91"/>
    </w:p>
    <w:p>
      <w:pPr>
        <w:pStyle w:val="69"/>
        <w:rPr>
          <w:rFonts w:hint="default" w:ascii="Times New Roman" w:hAnsi="Times New Roman" w:cs="Times New Roman"/>
          <w:color w:val="auto"/>
          <w:szCs w:val="22"/>
          <w:highlight w:val="none"/>
        </w:rPr>
      </w:pPr>
      <w:r>
        <w:rPr>
          <w:rFonts w:hint="default" w:ascii="Times New Roman" w:hAnsi="Times New Roman" w:cs="Times New Roman"/>
          <w:color w:val="auto"/>
          <w:highlight w:val="none"/>
        </w:rPr>
        <w:t>3.2.1 建设方案评价</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整体较为平整，主体设计项目区施工期间达到平整要求后建设各建构筑物及道路等，不存在高填深挖情况，且利用场地内土方顺坡平整场地，有利于减少土石方的动迁，最大程度利用挖方，无永久弃方。同时本项目位于倾斜平原区，不涉及汇水洪水影响</w:t>
      </w:r>
      <w:r>
        <w:rPr>
          <w:rFonts w:hint="default" w:ascii="Times New Roman" w:hAnsi="Times New Roman" w:cs="Times New Roman"/>
          <w:color w:val="auto"/>
          <w:highlight w:val="none"/>
          <w:lang w:eastAsia="zh-CN"/>
        </w:rPr>
        <w:t>，但项目区</w:t>
      </w:r>
      <w:r>
        <w:rPr>
          <w:rFonts w:hint="default" w:ascii="Times New Roman" w:hAnsi="Times New Roman" w:cs="Times New Roman"/>
          <w:color w:val="auto"/>
          <w:highlight w:val="none"/>
        </w:rPr>
        <w:t>局部发育宽浅冲沟，冲沟方向基本为由</w:t>
      </w:r>
      <w:r>
        <w:rPr>
          <w:rFonts w:hint="eastAsia" w:cs="Times New Roman"/>
          <w:color w:val="auto"/>
          <w:highlight w:val="none"/>
          <w:lang w:eastAsia="zh-CN"/>
        </w:rPr>
        <w:t>北</w:t>
      </w:r>
      <w:r>
        <w:rPr>
          <w:rFonts w:hint="default" w:ascii="Times New Roman" w:hAnsi="Times New Roman" w:cs="Times New Roman"/>
          <w:color w:val="auto"/>
          <w:highlight w:val="none"/>
        </w:rPr>
        <w:t>向</w:t>
      </w:r>
      <w:r>
        <w:rPr>
          <w:rFonts w:hint="eastAsia" w:cs="Times New Roman"/>
          <w:color w:val="auto"/>
          <w:highlight w:val="none"/>
          <w:lang w:eastAsia="zh-CN"/>
        </w:rPr>
        <w:t>南</w:t>
      </w:r>
      <w:r>
        <w:rPr>
          <w:rFonts w:hint="default" w:ascii="Times New Roman" w:hAnsi="Times New Roman" w:cs="Times New Roman"/>
          <w:color w:val="auto"/>
          <w:highlight w:val="none"/>
          <w:lang w:eastAsia="zh-CN"/>
        </w:rPr>
        <w:t>，建设时对冲沟进行避让，不采取其他措施</w:t>
      </w:r>
      <w:r>
        <w:rPr>
          <w:rFonts w:hint="default" w:ascii="Times New Roman" w:hAnsi="Times New Roman" w:cs="Times New Roman"/>
          <w:color w:val="auto"/>
          <w:highlight w:val="none"/>
        </w:rPr>
        <w:t>。项目用地按功能区划分为光伏发电区、道路工程区、</w:t>
      </w:r>
      <w:r>
        <w:rPr>
          <w:rFonts w:hint="eastAsia" w:cs="Times New Roman"/>
          <w:color w:val="auto"/>
          <w:highlight w:val="none"/>
          <w:lang w:eastAsia="zh-CN"/>
        </w:rPr>
        <w:t>生产管理</w:t>
      </w:r>
      <w:r>
        <w:rPr>
          <w:rFonts w:hint="default" w:ascii="Times New Roman" w:hAnsi="Times New Roman" w:cs="Times New Roman"/>
          <w:color w:val="auto"/>
          <w:highlight w:val="none"/>
        </w:rPr>
        <w:t>区，光伏发电区内根据需要和要求设有通道，相互之间减少影响。同时整个区域以环状道路网将不同区域分开，在厂区的</w:t>
      </w:r>
      <w:r>
        <w:rPr>
          <w:rFonts w:hint="eastAsia" w:cs="Times New Roman"/>
          <w:color w:val="auto"/>
          <w:highlight w:val="none"/>
          <w:lang w:eastAsia="zh-CN"/>
        </w:rPr>
        <w:t>南</w:t>
      </w:r>
      <w:r>
        <w:rPr>
          <w:rFonts w:hint="default" w:ascii="Times New Roman" w:hAnsi="Times New Roman" w:cs="Times New Roman"/>
          <w:color w:val="auto"/>
          <w:highlight w:val="none"/>
        </w:rPr>
        <w:t>侧设一个出入口，便于管理。主体整体布局较为紧凑，最大程度利用减少周边现有设施，减少扰动地表面积，有利于水土保持。同时</w:t>
      </w:r>
      <w:r>
        <w:rPr>
          <w:rFonts w:hint="eastAsia" w:cs="Times New Roman"/>
          <w:color w:val="auto"/>
          <w:highlight w:val="none"/>
          <w:lang w:eastAsia="zh-CN"/>
        </w:rPr>
        <w:t>施工生产生活区</w:t>
      </w:r>
      <w:r>
        <w:rPr>
          <w:rFonts w:hint="default" w:ascii="Times New Roman" w:hAnsi="Times New Roman" w:cs="Times New Roman"/>
          <w:color w:val="auto"/>
          <w:highlight w:val="none"/>
        </w:rPr>
        <w:t>为减少对项目建设影响，布设在项目区</w:t>
      </w:r>
      <w:r>
        <w:rPr>
          <w:rFonts w:hint="eastAsia" w:cs="Times New Roman"/>
          <w:color w:val="auto"/>
          <w:highlight w:val="none"/>
          <w:lang w:eastAsia="zh-CN"/>
        </w:rPr>
        <w:t>东</w:t>
      </w:r>
      <w:r>
        <w:rPr>
          <w:rFonts w:hint="default" w:ascii="Times New Roman" w:hAnsi="Times New Roman" w:cs="Times New Roman"/>
          <w:color w:val="auto"/>
          <w:highlight w:val="none"/>
        </w:rPr>
        <w:t>侧</w:t>
      </w:r>
      <w:r>
        <w:rPr>
          <w:rFonts w:hint="eastAsia" w:cs="Times New Roman"/>
          <w:color w:val="auto"/>
          <w:highlight w:val="none"/>
          <w:lang w:eastAsia="zh-CN"/>
        </w:rPr>
        <w:t>预留空地内</w:t>
      </w:r>
      <w:r>
        <w:rPr>
          <w:rFonts w:hint="default" w:ascii="Times New Roman" w:hAnsi="Times New Roman" w:cs="Times New Roman"/>
          <w:color w:val="auto"/>
          <w:highlight w:val="none"/>
        </w:rPr>
        <w:t>，属于临时占地。</w:t>
      </w:r>
    </w:p>
    <w:p>
      <w:pPr>
        <w:pStyle w:val="56"/>
        <w:ind w:firstLine="480"/>
        <w:rPr>
          <w:rFonts w:hint="default" w:ascii="Times New Roman" w:hAnsi="Times New Roman" w:cs="Times New Roman"/>
          <w:color w:val="auto"/>
          <w:highlight w:val="none"/>
        </w:rPr>
      </w:pPr>
      <w:r>
        <w:rPr>
          <w:rFonts w:hint="eastAsia" w:eastAsia="仿宋_GB2312" w:cs="Times New Roman"/>
          <w:snapToGrid w:val="0"/>
          <w:color w:val="auto"/>
          <w:kern w:val="24"/>
          <w:szCs w:val="24"/>
          <w:highlight w:val="none"/>
          <w:lang w:eastAsia="zh-CN"/>
        </w:rPr>
        <w:t>项目区</w:t>
      </w:r>
      <w:r>
        <w:rPr>
          <w:rFonts w:hint="default" w:ascii="Times New Roman" w:hAnsi="Times New Roman" w:cs="Times New Roman"/>
          <w:color w:val="auto"/>
          <w:highlight w:val="none"/>
        </w:rPr>
        <w:t>场址地貌</w:t>
      </w:r>
      <w:r>
        <w:rPr>
          <w:rFonts w:hint="eastAsia" w:cs="Times New Roman"/>
          <w:color w:val="auto"/>
          <w:highlight w:val="none"/>
          <w:lang w:eastAsia="zh-CN"/>
        </w:rPr>
        <w:t>单元</w:t>
      </w:r>
      <w:r>
        <w:rPr>
          <w:rFonts w:hint="default" w:ascii="Times New Roman" w:hAnsi="Times New Roman" w:cs="Times New Roman"/>
          <w:color w:val="auto"/>
          <w:highlight w:val="none"/>
        </w:rPr>
        <w:t>属山前冲洪积平原，</w:t>
      </w:r>
      <w:r>
        <w:rPr>
          <w:rFonts w:hint="eastAsia" w:cs="Times New Roman"/>
          <w:color w:val="auto"/>
          <w:highlight w:val="none"/>
          <w:lang w:eastAsia="zh-CN"/>
        </w:rPr>
        <w:t>地貌上属于低山丘陵和洪积扇。</w:t>
      </w:r>
      <w:r>
        <w:rPr>
          <w:rFonts w:hint="default" w:ascii="Times New Roman" w:hAnsi="Times New Roman" w:cs="Times New Roman"/>
          <w:color w:val="auto"/>
          <w:highlight w:val="none"/>
        </w:rPr>
        <w:t>地面高程 1100m～1130m，场址东北高，西南低，地形坡度小于 1°</w:t>
      </w:r>
      <w:r>
        <w:rPr>
          <w:rFonts w:hint="eastAsia" w:cs="Times New Roman"/>
          <w:color w:val="auto"/>
          <w:highlight w:val="none"/>
          <w:lang w:eastAsia="zh-CN"/>
        </w:rPr>
        <w:t>，</w:t>
      </w:r>
      <w:r>
        <w:rPr>
          <w:rFonts w:hint="default" w:ascii="Times New Roman" w:hAnsi="Times New Roman" w:cs="Times New Roman"/>
          <w:color w:val="auto"/>
          <w:highlight w:val="none"/>
        </w:rPr>
        <w:t>地势平缓、开阔。同时项目区存在部分较小的冲沟，主体为减少项目区整体平整的工程量及土方量，采取微区域的小范围平整，同时将高差明显的冲沟填平平整，使区域内顺坡布设，无明显高差，最大程度的减少平整土方及工程量。</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项目区整体布局紧凑，各建构筑物布置合理，项目区内部空地均得到有效利用。同时项目区位于倾斜平原区内，整体较为平坦，无明显高差，不涉及洪水影响，主体工程符合《生产建设项目水土保持技术标准》(GB-50433-2018)中规定的工程选址、建设方案及布局要求。</w:t>
      </w:r>
    </w:p>
    <w:p>
      <w:pPr>
        <w:pStyle w:val="69"/>
        <w:rPr>
          <w:rFonts w:hint="default" w:ascii="Times New Roman" w:hAnsi="Times New Roman" w:cs="Times New Roman"/>
          <w:color w:val="auto"/>
          <w:highlight w:val="none"/>
        </w:rPr>
      </w:pPr>
      <w:bookmarkStart w:id="92" w:name="_Toc407014535"/>
      <w:bookmarkStart w:id="93" w:name="_Toc417412321"/>
      <w:r>
        <w:rPr>
          <w:rFonts w:hint="default" w:ascii="Times New Roman" w:hAnsi="Times New Roman" w:cs="Times New Roman"/>
          <w:color w:val="auto"/>
          <w:highlight w:val="none"/>
        </w:rPr>
        <w:t>3.2.2 工程占地评价</w:t>
      </w:r>
      <w:bookmarkEnd w:id="92"/>
      <w:bookmarkEnd w:id="93"/>
    </w:p>
    <w:p>
      <w:pPr>
        <w:pStyle w:val="56"/>
        <w:ind w:firstLine="480"/>
        <w:rPr>
          <w:rFonts w:hint="default" w:ascii="Times New Roman" w:hAnsi="Times New Roman" w:cs="Times New Roman"/>
          <w:color w:val="auto"/>
          <w:highlight w:val="none"/>
        </w:rPr>
      </w:pPr>
      <w:bookmarkStart w:id="94" w:name="_Toc407014536"/>
      <w:bookmarkStart w:id="95" w:name="_Toc417412322"/>
      <w:r>
        <w:rPr>
          <w:rFonts w:hint="default" w:ascii="Times New Roman" w:hAnsi="Times New Roman" w:cs="Times New Roman"/>
          <w:color w:val="auto"/>
          <w:highlight w:val="none"/>
        </w:rPr>
        <w:t>（1）占地性质分析评价：在施工过程中，项目区永久征地范围内道路采取永临结合的布置方式，施工期间分区域集中布设，能够有效减少施工扰动面积；项目区建设土石方均回填利用，无永久弃渣，建设后期采取场地平整，减少了项目建设周边的影响。工程设计遵循施工方便，工程布置选择便捷，力求减少扰动面积。</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占地类型分析评价：工程建设占用的建设占地植被覆盖率较低，周边土地贫瘠，土壤条件较差，生产力水平低，不会对当地居民的生产生活造成明显影响，也不会对当地的生态环境和自然植被造成明显破坏。因此占地符合中华人民共和国国家标准《生产建设项目水土保持技术标准》（GB50433-2018）的相关规定，不占用基本农田、园地等生产力较高的土地，有利于保护水土资源，符合水土保持要求。</w:t>
      </w:r>
    </w:p>
    <w:p>
      <w:pPr>
        <w:pStyle w:val="56"/>
        <w:ind w:firstLine="480"/>
        <w:rPr>
          <w:highlight w:val="none"/>
        </w:rPr>
      </w:pPr>
      <w:r>
        <w:rPr>
          <w:rFonts w:hint="default" w:ascii="Times New Roman" w:hAnsi="Times New Roman" w:cs="Times New Roman"/>
          <w:color w:val="auto"/>
          <w:highlight w:val="none"/>
        </w:rPr>
        <w:t>（3）占地面积分析评价：</w:t>
      </w:r>
      <w:r>
        <w:rPr>
          <w:highlight w:val="none"/>
        </w:rPr>
        <w:t>占地面积分析评价：本项目属于</w:t>
      </w:r>
      <w:r>
        <w:rPr>
          <w:rFonts w:hint="eastAsia" w:ascii="宋体" w:hAnsi="宋体" w:eastAsia="宋体" w:cs="宋体"/>
          <w:highlight w:val="none"/>
        </w:rPr>
        <w:t>Ⅰ</w:t>
      </w:r>
      <w:r>
        <w:rPr>
          <w:highlight w:val="none"/>
        </w:rPr>
        <w:t>类地形区，根据国土资源部关于发布《光伏发</w:t>
      </w:r>
      <w:r>
        <w:rPr>
          <w:rFonts w:hint="eastAsia"/>
          <w:highlight w:val="none"/>
          <w:lang w:eastAsia="zh-CN"/>
        </w:rPr>
        <w:t>发电项目</w:t>
      </w:r>
      <w:r>
        <w:rPr>
          <w:highlight w:val="none"/>
        </w:rPr>
        <w:t>项目用地控制指标》的通知（国土资规〔2015〕11号）确定，本项目光伏发电站主体总征占地</w:t>
      </w:r>
      <w:r>
        <w:rPr>
          <w:rFonts w:hint="eastAsia"/>
          <w:highlight w:val="none"/>
          <w:lang w:val="en-US" w:eastAsia="zh-CN"/>
        </w:rPr>
        <w:t>49.46</w:t>
      </w:r>
      <w:r>
        <w:rPr>
          <w:highlight w:val="none"/>
        </w:rPr>
        <w:t>hm²，小于指标用地面积；场内道路宽度运用地指标一致。整体上，本项目占地均小于光伏发</w:t>
      </w:r>
      <w:r>
        <w:rPr>
          <w:rFonts w:hint="eastAsia"/>
          <w:highlight w:val="none"/>
          <w:lang w:eastAsia="zh-CN"/>
        </w:rPr>
        <w:t>发电项目</w:t>
      </w:r>
      <w:r>
        <w:rPr>
          <w:highlight w:val="none"/>
        </w:rPr>
        <w:t>项目用地控制指标》要求确定占地，最大程度的减少了用地面积，减少扰动地表面积，有利于水土保持。同时工程施工区在保证工程正常施工用地的前提下，尽量利用现有设施建设场内道路，避免了新增临时占用土地数量，减少了扰动原地貌，可在一定程度上减少水土流失。因此，主体工程在占地性质上是基本合理的。</w:t>
      </w:r>
    </w:p>
    <w:p>
      <w:pPr>
        <w:pStyle w:val="56"/>
        <w:ind w:firstLine="480"/>
        <w:rPr>
          <w:rFonts w:hint="eastAsia" w:ascii="Times New Roman" w:hAnsi="Times New Roman" w:eastAsia="仿宋_GB2312" w:cs="Times New Roman"/>
          <w:color w:val="auto"/>
          <w:highlight w:val="none"/>
          <w:lang w:eastAsia="zh-CN"/>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4</w:t>
      </w:r>
      <w:r>
        <w:rPr>
          <w:rFonts w:hint="eastAsia" w:ascii="Times New Roman" w:hAnsi="Times New Roman" w:cs="Times New Roman"/>
          <w:color w:val="auto"/>
          <w:highlight w:val="none"/>
          <w:lang w:eastAsia="zh-CN"/>
        </w:rPr>
        <w:t>）核增减面积分析：</w:t>
      </w:r>
      <w:r>
        <w:rPr>
          <w:rFonts w:hint="default" w:ascii="Times New Roman" w:hAnsi="Times New Roman" w:cs="Times New Roman"/>
          <w:color w:val="auto"/>
          <w:highlight w:val="none"/>
        </w:rPr>
        <w:t>根据主体勘界确定，本项目</w:t>
      </w:r>
      <w:r>
        <w:rPr>
          <w:rFonts w:hint="eastAsia" w:cs="Times New Roman"/>
          <w:color w:val="auto"/>
          <w:highlight w:val="none"/>
          <w:lang w:eastAsia="zh-CN"/>
        </w:rPr>
        <w:t>原批复规划用地</w:t>
      </w:r>
      <w:r>
        <w:rPr>
          <w:rFonts w:hint="eastAsia" w:cs="Times New Roman"/>
          <w:color w:val="auto"/>
          <w:highlight w:val="none"/>
          <w:lang w:val="en-US" w:eastAsia="zh-CN"/>
        </w:rPr>
        <w:t>69</w:t>
      </w:r>
      <w:r>
        <w:rPr>
          <w:rFonts w:hint="default" w:ascii="Times New Roman" w:hAnsi="Times New Roman" w:cs="Times New Roman"/>
          <w:color w:val="auto"/>
          <w:highlight w:val="none"/>
        </w:rPr>
        <w:t>hm²，原实际征占地</w:t>
      </w:r>
      <w:r>
        <w:rPr>
          <w:rFonts w:hint="eastAsia" w:cs="Times New Roman"/>
          <w:color w:val="auto"/>
          <w:highlight w:val="none"/>
          <w:lang w:val="en-US" w:eastAsia="zh-CN"/>
        </w:rPr>
        <w:t>49.46</w:t>
      </w:r>
      <w:r>
        <w:rPr>
          <w:rFonts w:hint="default" w:ascii="Times New Roman" w:hAnsi="Times New Roman" w:cs="Times New Roman"/>
          <w:color w:val="auto"/>
          <w:highlight w:val="none"/>
        </w:rPr>
        <w:t>hm²，通过</w:t>
      </w:r>
      <w:r>
        <w:rPr>
          <w:rFonts w:hint="eastAsia" w:cs="Times New Roman"/>
          <w:color w:val="auto"/>
          <w:highlight w:val="none"/>
          <w:lang w:eastAsia="zh-CN"/>
        </w:rPr>
        <w:t>踏勘</w:t>
      </w:r>
      <w:r>
        <w:rPr>
          <w:rFonts w:hint="default" w:ascii="Times New Roman" w:hAnsi="Times New Roman" w:cs="Times New Roman"/>
          <w:color w:val="auto"/>
          <w:highlight w:val="none"/>
        </w:rPr>
        <w:t>现场情况确定，本项目</w:t>
      </w:r>
      <w:r>
        <w:rPr>
          <w:rFonts w:hint="eastAsia" w:cs="Times New Roman"/>
          <w:color w:val="auto"/>
          <w:highlight w:val="none"/>
          <w:lang w:eastAsia="zh-CN"/>
        </w:rPr>
        <w:t>占地均在指标用地范围内。</w:t>
      </w:r>
    </w:p>
    <w:p>
      <w:pPr>
        <w:pStyle w:val="56"/>
        <w:keepNext w:val="0"/>
        <w:keepLines w:val="0"/>
        <w:pageBreakBefore w:val="0"/>
        <w:widowControl w:val="0"/>
        <w:kinsoku/>
        <w:wordWrap/>
        <w:overflowPunct/>
        <w:topLinePunct w:val="0"/>
        <w:autoSpaceDE/>
        <w:autoSpaceDN/>
        <w:bidi w:val="0"/>
        <w:adjustRightInd w:val="0"/>
        <w:snapToGrid w:val="0"/>
        <w:ind w:firstLine="480"/>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）占地可恢复性分析评价：项目所在地多年平均降水量在</w:t>
      </w:r>
      <w:r>
        <w:rPr>
          <w:rFonts w:hint="eastAsia" w:cs="Times New Roman"/>
          <w:color w:val="auto"/>
          <w:highlight w:val="none"/>
          <w:lang w:val="en-US" w:eastAsia="zh-CN"/>
        </w:rPr>
        <w:t>34.9</w:t>
      </w:r>
      <w:r>
        <w:rPr>
          <w:rFonts w:hint="default" w:ascii="Times New Roman" w:hAnsi="Times New Roman" w:cs="Times New Roman"/>
          <w:color w:val="auto"/>
          <w:highlight w:val="none"/>
        </w:rPr>
        <w:t>mm左右，项目区内原地貌植被主要为荒漠植被，植被覆盖度</w:t>
      </w:r>
      <w:r>
        <w:rPr>
          <w:rFonts w:hint="eastAsia" w:cs="Times New Roman"/>
          <w:color w:val="auto"/>
          <w:highlight w:val="none"/>
          <w:lang w:eastAsia="zh-CN"/>
        </w:rPr>
        <w:t>小于</w:t>
      </w:r>
      <w:r>
        <w:rPr>
          <w:rFonts w:hint="eastAsia" w:cs="Times New Roman"/>
          <w:color w:val="auto"/>
          <w:highlight w:val="none"/>
          <w:lang w:val="en-US" w:eastAsia="zh-CN"/>
        </w:rPr>
        <w:t>5</w:t>
      </w:r>
      <w:r>
        <w:rPr>
          <w:rFonts w:hint="default" w:ascii="Times New Roman" w:hAnsi="Times New Roman" w:cs="Times New Roman"/>
          <w:color w:val="auto"/>
          <w:highlight w:val="none"/>
        </w:rPr>
        <w:t>%。根据项目区自然环境条件，原始地表被破坏后，受项目区降水量和土壤等因素的影响，通过一定时间的自然恢复，部分施工扰动区域可以实现自然恢复。</w:t>
      </w:r>
    </w:p>
    <w:p>
      <w:pPr>
        <w:pStyle w:val="56"/>
        <w:keepNext w:val="0"/>
        <w:keepLines w:val="0"/>
        <w:pageBreakBefore w:val="0"/>
        <w:widowControl w:val="0"/>
        <w:kinsoku/>
        <w:wordWrap/>
        <w:overflowPunct/>
        <w:topLinePunct w:val="0"/>
        <w:autoSpaceDE/>
        <w:autoSpaceDN/>
        <w:bidi w:val="0"/>
        <w:adjustRightInd w:val="0"/>
        <w:snapToGrid w:val="0"/>
        <w:ind w:firstLine="480"/>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综上所述，主体工程在占地类型、面积和占地性质等方面对水土保持未形成制约性因素，符合水土保持要求。建议建设单位施工期间严格控制施工范围，并对</w:t>
      </w:r>
      <w:r>
        <w:rPr>
          <w:rFonts w:hint="eastAsia" w:cs="Times New Roman"/>
          <w:color w:val="auto"/>
          <w:highlight w:val="none"/>
          <w:lang w:eastAsia="zh-CN"/>
        </w:rPr>
        <w:t>施工生产生活区</w:t>
      </w:r>
      <w:r>
        <w:rPr>
          <w:rFonts w:hint="default" w:ascii="Times New Roman" w:hAnsi="Times New Roman" w:cs="Times New Roman"/>
          <w:color w:val="auto"/>
          <w:highlight w:val="none"/>
        </w:rPr>
        <w:t>做好后期治理恢复。</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3.2.3 土石方平衡评价</w:t>
      </w:r>
      <w:bookmarkEnd w:id="94"/>
      <w:bookmarkEnd w:id="95"/>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项目厂址所在区域原为空地，覆盖有荒漠植被，无腐殖质表层，原生植被覆盖率</w:t>
      </w:r>
      <w:r>
        <w:rPr>
          <w:rFonts w:hint="eastAsia" w:cs="Times New Roman"/>
          <w:color w:val="auto"/>
          <w:highlight w:val="none"/>
          <w:lang w:eastAsia="zh-CN"/>
        </w:rPr>
        <w:t>小于</w:t>
      </w:r>
      <w:r>
        <w:rPr>
          <w:rFonts w:hint="eastAsia" w:cs="Times New Roman"/>
          <w:color w:val="auto"/>
          <w:highlight w:val="none"/>
          <w:lang w:val="en-US" w:eastAsia="zh-CN"/>
        </w:rPr>
        <w:t>5</w:t>
      </w:r>
      <w:r>
        <w:rPr>
          <w:rFonts w:hint="default" w:ascii="Times New Roman" w:hAnsi="Times New Roman" w:cs="Times New Roman"/>
          <w:color w:val="auto"/>
          <w:highlight w:val="none"/>
        </w:rPr>
        <w:t>%，不涉及腐殖质土表层，因此本项目不涉及表土剥离。同时根据主体资料，本工程总挖</w:t>
      </w:r>
      <w:r>
        <w:rPr>
          <w:rFonts w:hint="eastAsia" w:cs="Times New Roman"/>
          <w:color w:val="auto"/>
          <w:highlight w:val="none"/>
          <w:lang w:val="en-US" w:eastAsia="zh-CN"/>
        </w:rPr>
        <w:t>4.968</w:t>
      </w:r>
      <w:r>
        <w:rPr>
          <w:rFonts w:hint="default" w:ascii="Times New Roman" w:hAnsi="Times New Roman" w:cs="Times New Roman"/>
          <w:color w:val="auto"/>
          <w:highlight w:val="none"/>
        </w:rPr>
        <w:t>万m³，填方</w:t>
      </w:r>
      <w:r>
        <w:rPr>
          <w:rFonts w:hint="eastAsia" w:cs="Times New Roman"/>
          <w:color w:val="auto"/>
          <w:highlight w:val="none"/>
          <w:lang w:val="en-US" w:eastAsia="zh-CN"/>
        </w:rPr>
        <w:t>4.968</w:t>
      </w:r>
      <w:r>
        <w:rPr>
          <w:rFonts w:hint="default" w:ascii="Times New Roman" w:hAnsi="Times New Roman" w:cs="Times New Roman"/>
          <w:color w:val="auto"/>
          <w:highlight w:val="none"/>
        </w:rPr>
        <w:t>万m³，无借方，无弃方</w:t>
      </w:r>
      <w:r>
        <w:rPr>
          <w:rFonts w:hint="default" w:ascii="Times New Roman" w:hAnsi="Times New Roman" w:cs="Times New Roman"/>
          <w:color w:val="auto"/>
          <w:highlight w:val="none"/>
          <w:lang w:eastAsia="zh-CN"/>
        </w:rPr>
        <w:t>，多余土方就地摊平</w:t>
      </w:r>
      <w:r>
        <w:rPr>
          <w:rFonts w:hint="default" w:ascii="Times New Roman" w:hAnsi="Times New Roman" w:cs="Times New Roman"/>
          <w:color w:val="auto"/>
          <w:highlight w:val="none"/>
        </w:rPr>
        <w:t>。涉及土方主要为场地平整和管沟开挖回填。场内电缆沟开挖土方临时堆置在管沟开挖一侧，后期管线铺设完成后回填利用。同时为减少工程建设产生的土石方，主体最优布设相应的地埋管线，最大程度减少工程重复扰动以及减少土石方开挖量。</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综上所述，本项目土石方来源及去向明确，土石方利用和调配合理、有序；土石方组成符合要求，运距合理。</w:t>
      </w:r>
      <w:r>
        <w:rPr>
          <w:rFonts w:hint="default" w:ascii="Times New Roman" w:hAnsi="Times New Roman" w:cs="Times New Roman"/>
          <w:bCs/>
          <w:color w:val="auto"/>
          <w:highlight w:val="none"/>
        </w:rPr>
        <w:t>工程开挖土方全部得到了合理处置，满足水土保持的要求。</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3.2.4 取土（石、砂）场设置评价</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本项目建设所需的混凝土砂砾石拌合料从当地合法商品料场购买，其水土保持责任由砂砾石料厂承担，不设置专用料场。</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3.2.5 弃渣（石、渣、灰、矸石、尾矿）场设置评价</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本工程建设期间挖方均用于后期回填，无永久弃渣，未设置永久弃渣场地。</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虽未设置永弃渣场地，但建设期间各地埋电缆沟管沟开挖土方临时堆置在开挖管沟一侧，后期回填利用。主体考虑管沟开挖土方较小较分散，因此沿开挖基坑堆置，便于后期回填利用，有效避免了临时开挖堆土的二次倒运以及倒运期间产生的水土流失，有利于水土保持。</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3.2.6 施工方法与工艺评价</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（1）各区建构筑物施工工艺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根据勘查，建构筑物施工以机械为主，配合少量人工。建筑物基础采用机械开挖，速度较快，可减少扰动时间。地下工程边坡开挖较浅，边坡稳定，施工方法合理。</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（2）道路施工工艺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路基施工为常规施工，以机械施工为主，并以人工辅助。施工中，运输车辆运土，推土机摊铺，振动碾分层碾压，工艺合理，施工便捷，步骤紧凑，速度较快，堆填、平整、碾压步骤合理、连贯，减少土壤流失。施工期间道路硬化前在风季容易造成水土流失，故应注意防尘。</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（3）管线施工工艺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管沟施工现场按照设计图纸放线并开挖基坑、基槽，以机械开挖为主，同时辅以人工开挖，载重汽车运送施工材料。</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）场平施工</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地貌单元属于冲洪积平原，微地貌为平地，总体地势北低南高、地势开阔，主体为减少项目区整体平整的工程量及土方量，采取微区域的小范围平整，同时将高差明显的冲沟填平平整，使区域内顺坡布设，无明显高差，最大程度的减少平整土方及工程量，同时有效减少扰动面积，有利于水土保持。</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综上所述，各区均为常规施工，施工机械化程度高，施工速度快，施工布置合理，施工时序有利于项目水土流失的防治，能够进一步减少施工过程中的水土流失，使项目施工组织符合水土保持要求。</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3.2.7 主体工程设计中具有水土保持功能工程的评价</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为保证本项目施工的安全，主体工程设计</w:t>
      </w:r>
      <w:r>
        <w:rPr>
          <w:rFonts w:hint="eastAsia" w:cs="Times New Roman"/>
          <w:color w:val="auto"/>
          <w:highlight w:val="none"/>
          <w:lang w:eastAsia="zh-CN"/>
        </w:rPr>
        <w:t>了一些</w:t>
      </w:r>
      <w:r>
        <w:rPr>
          <w:rFonts w:hint="default" w:ascii="Times New Roman" w:hAnsi="Times New Roman" w:cs="Times New Roman"/>
          <w:color w:val="auto"/>
          <w:highlight w:val="none"/>
        </w:rPr>
        <w:t>具有水土保持功能的措施：光伏发电区的土地平整</w:t>
      </w:r>
      <w:r>
        <w:rPr>
          <w:rFonts w:hint="eastAsia" w:cs="Times New Roman"/>
          <w:color w:val="auto"/>
          <w:highlight w:val="none"/>
          <w:lang w:eastAsia="zh-CN"/>
        </w:rPr>
        <w:t>、洒水、防尘网苫盖；</w:t>
      </w:r>
      <w:r>
        <w:rPr>
          <w:rFonts w:hint="default" w:ascii="Times New Roman" w:hAnsi="Times New Roman" w:cs="Times New Roman"/>
          <w:color w:val="auto"/>
          <w:highlight w:val="none"/>
        </w:rPr>
        <w:t>道路工程区的</w:t>
      </w:r>
      <w:r>
        <w:rPr>
          <w:rFonts w:hint="eastAsia" w:cs="Times New Roman"/>
          <w:color w:val="auto"/>
          <w:highlight w:val="none"/>
          <w:lang w:eastAsia="zh-CN"/>
        </w:rPr>
        <w:t>洒水；运行管理</w:t>
      </w:r>
      <w:r>
        <w:rPr>
          <w:rFonts w:hint="default" w:ascii="Times New Roman" w:hAnsi="Times New Roman" w:cs="Times New Roman"/>
          <w:color w:val="auto"/>
          <w:highlight w:val="none"/>
          <w:lang w:eastAsia="zh-CN"/>
        </w:rPr>
        <w:t>区的土地平整</w:t>
      </w:r>
      <w:r>
        <w:rPr>
          <w:rFonts w:hint="eastAsia" w:cs="Times New Roman"/>
          <w:color w:val="auto"/>
          <w:highlight w:val="none"/>
          <w:lang w:eastAsia="zh-CN"/>
        </w:rPr>
        <w:t>、防尘网苫盖；施工生产生活区的土地平整、彩钢板围栏，</w:t>
      </w:r>
      <w:r>
        <w:rPr>
          <w:rFonts w:hint="eastAsia" w:ascii="仿宋_GB2312" w:hAnsi="仿宋_GB2312" w:eastAsia="仿宋_GB2312" w:cs="仿宋_GB2312"/>
          <w:color w:val="000000"/>
        </w:rPr>
        <w:t>起到了隔离和防治水土流失的作用</w:t>
      </w:r>
      <w:r>
        <w:rPr>
          <w:rFonts w:hint="default" w:ascii="Times New Roman" w:hAnsi="Times New Roman" w:cs="Times New Roman"/>
          <w:color w:val="auto"/>
          <w:highlight w:val="none"/>
        </w:rPr>
        <w:t>。现对主体工程设计并实施的具有水土保持功能的措施进行分析评价。</w:t>
      </w:r>
    </w:p>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3.2.7.1 光伏发电区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（1）光伏阵列区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根据主体</w:t>
      </w:r>
      <w:r>
        <w:rPr>
          <w:rFonts w:hint="eastAsia" w:cs="Times New Roman"/>
          <w:color w:val="auto"/>
          <w:highlight w:val="none"/>
          <w:lang w:eastAsia="zh-CN"/>
        </w:rPr>
        <w:t>设计及工程实际施工情况</w:t>
      </w:r>
      <w:r>
        <w:rPr>
          <w:rFonts w:hint="default" w:ascii="Times New Roman" w:hAnsi="Times New Roman" w:cs="Times New Roman"/>
          <w:color w:val="auto"/>
          <w:highlight w:val="none"/>
        </w:rPr>
        <w:t>分析</w:t>
      </w:r>
      <w:r>
        <w:rPr>
          <w:rFonts w:hint="eastAsia" w:cs="Times New Roman"/>
          <w:color w:val="auto"/>
          <w:highlight w:val="none"/>
          <w:lang w:eastAsia="zh-CN"/>
        </w:rPr>
        <w:t>，</w:t>
      </w:r>
      <w:r>
        <w:rPr>
          <w:rFonts w:hint="default" w:ascii="Times New Roman" w:hAnsi="Times New Roman" w:cs="Times New Roman"/>
          <w:color w:val="auto"/>
          <w:highlight w:val="none"/>
        </w:rPr>
        <w:t>光伏阵列区</w:t>
      </w:r>
      <w:r>
        <w:rPr>
          <w:rFonts w:hint="eastAsia" w:cs="Times New Roman"/>
          <w:color w:val="auto"/>
          <w:highlight w:val="none"/>
          <w:lang w:eastAsia="zh-CN"/>
        </w:rPr>
        <w:t>施工期对扰动区洒水降尘，</w:t>
      </w:r>
      <w:r>
        <w:rPr>
          <w:rFonts w:hint="default" w:ascii="Times New Roman" w:hAnsi="Times New Roman" w:cs="Times New Roman"/>
          <w:color w:val="auto"/>
          <w:highlight w:val="none"/>
        </w:rPr>
        <w:t>施工后期对</w:t>
      </w:r>
      <w:r>
        <w:rPr>
          <w:rFonts w:hint="eastAsia" w:cs="Times New Roman"/>
          <w:color w:val="auto"/>
          <w:highlight w:val="none"/>
          <w:lang w:eastAsia="zh-CN"/>
        </w:rPr>
        <w:t>桩基础及光伏支架周边施工产生的</w:t>
      </w:r>
      <w:r>
        <w:rPr>
          <w:rFonts w:hint="default" w:ascii="Times New Roman" w:hAnsi="Times New Roman" w:cs="Times New Roman"/>
          <w:color w:val="auto"/>
          <w:highlight w:val="none"/>
        </w:rPr>
        <w:t>扰动区域采取土地平整。</w:t>
      </w:r>
    </w:p>
    <w:p>
      <w:pPr>
        <w:pStyle w:val="56"/>
        <w:numPr>
          <w:ilvl w:val="0"/>
          <w:numId w:val="10"/>
        </w:numPr>
        <w:ind w:firstLine="480"/>
        <w:rPr>
          <w:rFonts w:hint="default" w:ascii="Times New Roman" w:hAnsi="Times New Roman" w:cs="Times New Roman"/>
          <w:color w:val="auto"/>
          <w:highlight w:val="none"/>
        </w:rPr>
      </w:pPr>
      <w:r>
        <w:rPr>
          <w:rFonts w:hint="eastAsia" w:cs="Times New Roman"/>
          <w:color w:val="auto"/>
          <w:highlight w:val="none"/>
          <w:lang w:eastAsia="zh-CN"/>
        </w:rPr>
        <w:t>工程措施</w:t>
      </w:r>
    </w:p>
    <w:p>
      <w:pPr>
        <w:pStyle w:val="56"/>
        <w:numPr>
          <w:ilvl w:val="-1"/>
          <w:numId w:val="0"/>
        </w:numPr>
        <w:ind w:firstLine="480"/>
        <w:rPr>
          <w:rFonts w:hint="eastAsia" w:ascii="Times New Roman" w:hAnsi="Times New Roman" w:cs="Times New Roman"/>
          <w:color w:val="auto"/>
          <w:highlight w:val="none"/>
        </w:rPr>
      </w:pPr>
      <w:r>
        <w:rPr>
          <w:rFonts w:hint="default" w:ascii="Times New Roman" w:hAnsi="Times New Roman" w:cs="Times New Roman"/>
          <w:color w:val="auto"/>
          <w:highlight w:val="none"/>
        </w:rPr>
        <w:t>土地平整（主体已列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r>
        <w:rPr>
          <w:rFonts w:hint="eastAsia" w:cs="Times New Roman"/>
          <w:color w:val="auto"/>
          <w:highlight w:val="none"/>
          <w:lang w:eastAsia="zh-CN"/>
        </w:rPr>
        <w:t>根据主体设计及工程实施情况，光伏阵列区施工后期对施工扰动区域实施土地平整，施工扰动区域约为光伏支架基础向外</w:t>
      </w:r>
      <w:r>
        <w:rPr>
          <w:rFonts w:hint="eastAsia" w:cs="Times New Roman"/>
          <w:color w:val="auto"/>
          <w:highlight w:val="none"/>
          <w:lang w:val="en-US" w:eastAsia="zh-CN"/>
        </w:rPr>
        <w:t>4m，</w:t>
      </w:r>
      <w:r>
        <w:rPr>
          <w:rFonts w:hint="default" w:ascii="Times New Roman" w:hAnsi="Times New Roman" w:cs="Times New Roman"/>
          <w:color w:val="auto"/>
          <w:highlight w:val="none"/>
        </w:rPr>
        <w:t>平</w:t>
      </w:r>
      <w:r>
        <w:rPr>
          <w:rFonts w:hint="eastAsia" w:ascii="Times New Roman" w:hAnsi="Times New Roman" w:cs="Times New Roman"/>
          <w:color w:val="auto"/>
          <w:highlight w:val="none"/>
        </w:rPr>
        <w:t>整面积共</w:t>
      </w:r>
      <w:r>
        <w:rPr>
          <w:rFonts w:hint="default" w:cs="Times New Roman"/>
          <w:color w:val="auto"/>
          <w:highlight w:val="none"/>
          <w:lang w:val="en-US" w:eastAsia="zh-CN"/>
        </w:rPr>
        <w:t>6.87</w:t>
      </w:r>
      <w:r>
        <w:rPr>
          <w:rFonts w:hint="eastAsia" w:ascii="Times New Roman" w:hAnsi="Times New Roman" w:cs="Times New Roman"/>
          <w:color w:val="auto"/>
          <w:highlight w:val="none"/>
        </w:rPr>
        <w:t>hm²</w:t>
      </w:r>
      <w:r>
        <w:rPr>
          <w:rFonts w:hint="default" w:cs="Times New Roman"/>
          <w:color w:val="auto"/>
          <w:highlight w:val="none"/>
          <w:lang w:eastAsia="zh-CN"/>
        </w:rPr>
        <w:t>。</w:t>
      </w:r>
      <w:r>
        <w:rPr>
          <w:rFonts w:hint="eastAsia"/>
          <w:color w:val="auto"/>
          <w:highlight w:val="none"/>
        </w:rPr>
        <w:t>土地平整能够一定程度上减轻裸露地表的水土流失程度，提高土层抗风蚀、水蚀能力，具有水土保持功能。</w:t>
      </w:r>
    </w:p>
    <w:p>
      <w:pPr>
        <w:pStyle w:val="56"/>
        <w:numPr>
          <w:ilvl w:val="0"/>
          <w:numId w:val="10"/>
        </w:numPr>
        <w:ind w:firstLine="480"/>
        <w:rPr>
          <w:rFonts w:hint="default" w:ascii="Times New Roman" w:hAnsi="Times New Roman" w:cs="Times New Roman"/>
          <w:color w:val="auto"/>
          <w:highlight w:val="none"/>
        </w:rPr>
      </w:pPr>
      <w:r>
        <w:rPr>
          <w:rFonts w:hint="eastAsia" w:cs="Times New Roman"/>
          <w:color w:val="auto"/>
          <w:highlight w:val="none"/>
          <w:lang w:eastAsia="zh-CN"/>
        </w:rPr>
        <w:t>临时措施</w:t>
      </w:r>
    </w:p>
    <w:p>
      <w:pPr>
        <w:pStyle w:val="56"/>
        <w:numPr>
          <w:ilvl w:val="-1"/>
          <w:numId w:val="0"/>
        </w:numPr>
        <w:ind w:firstLine="480"/>
        <w:rPr>
          <w:rFonts w:hint="eastAsia"/>
          <w:lang w:eastAsia="zh-CN"/>
        </w:rPr>
      </w:pPr>
      <w:r>
        <w:rPr>
          <w:rFonts w:hint="eastAsia" w:cs="Times New Roman"/>
          <w:color w:val="auto"/>
          <w:highlight w:val="none"/>
          <w:lang w:eastAsia="zh-CN"/>
        </w:rPr>
        <w:t>洒水</w:t>
      </w:r>
      <w:r>
        <w:rPr>
          <w:rFonts w:hint="default" w:ascii="Times New Roman" w:hAnsi="Times New Roman" w:cs="Times New Roman"/>
          <w:color w:val="auto"/>
          <w:highlight w:val="none"/>
        </w:rPr>
        <w:t>（主体已列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r>
        <w:rPr>
          <w:rFonts w:hint="eastAsia" w:cs="Times New Roman"/>
          <w:color w:val="auto"/>
          <w:highlight w:val="none"/>
          <w:lang w:eastAsia="zh-CN"/>
        </w:rPr>
        <w:t>：</w:t>
      </w:r>
      <w:r>
        <w:t>在施工期间，光伏板基础及支架施工扰动区域施工车辆及人为扰动易造成扬尘</w:t>
      </w:r>
      <w:r>
        <w:rPr>
          <w:rFonts w:hint="eastAsia"/>
          <w:lang w:eastAsia="zh-CN"/>
        </w:rPr>
        <w:t>和水土流失</w:t>
      </w:r>
      <w:r>
        <w:t>，</w:t>
      </w:r>
      <w:r>
        <w:rPr>
          <w:rFonts w:hint="eastAsia"/>
          <w:lang w:eastAsia="zh-CN"/>
        </w:rPr>
        <w:t>根据主体设计和实际工程情况分析，光伏阵列区施工期间与</w:t>
      </w:r>
      <w:r>
        <w:t>主体分区域分段施工</w:t>
      </w:r>
      <w:r>
        <w:rPr>
          <w:rFonts w:hint="eastAsia"/>
          <w:lang w:eastAsia="zh-CN"/>
        </w:rPr>
        <w:t>时间保持一致，对光伏列阵施工扰动区</w:t>
      </w:r>
      <w:r>
        <w:t>洒水</w:t>
      </w:r>
      <w:r>
        <w:rPr>
          <w:rFonts w:hint="eastAsia"/>
          <w:lang w:eastAsia="zh-CN"/>
        </w:rPr>
        <w:t>降尘</w:t>
      </w:r>
      <w:r>
        <w:t>，</w:t>
      </w:r>
      <w:r>
        <w:rPr>
          <w:rFonts w:hint="eastAsia"/>
          <w:lang w:eastAsia="zh-CN"/>
        </w:rPr>
        <w:t>洒水时段为</w:t>
      </w:r>
      <w:r>
        <w:rPr>
          <w:rFonts w:hint="eastAsia"/>
          <w:lang w:val="en-US" w:eastAsia="zh-CN"/>
        </w:rPr>
        <w:t>3月至6月，每天洒水一次，洒水厚度</w:t>
      </w:r>
      <w:r>
        <w:t>2.0mm，</w:t>
      </w:r>
      <w:r>
        <w:rPr>
          <w:rFonts w:hint="eastAsia"/>
          <w:lang w:eastAsia="zh-CN"/>
        </w:rPr>
        <w:t>即洒水指标</w:t>
      </w:r>
      <w:r>
        <w:rPr>
          <w:rFonts w:hint="eastAsia"/>
          <w:lang w:val="en-US" w:eastAsia="zh-CN"/>
        </w:rPr>
        <w:t>2L/</w:t>
      </w:r>
      <w:r>
        <w:rPr>
          <w:rFonts w:hint="eastAsia"/>
          <w:highlight w:val="none"/>
          <w:lang w:val="en-US" w:eastAsia="zh-CN"/>
        </w:rPr>
        <w:t>m</w:t>
      </w:r>
      <w:r>
        <w:rPr>
          <w:rFonts w:hint="eastAsia"/>
          <w:highlight w:val="none"/>
          <w:vertAlign w:val="superscript"/>
          <w:lang w:val="en-US" w:eastAsia="zh-CN"/>
        </w:rPr>
        <w:t>2</w:t>
      </w:r>
      <w:r>
        <w:rPr>
          <w:rFonts w:hint="eastAsia"/>
          <w:lang w:val="en-US" w:eastAsia="zh-CN"/>
        </w:rPr>
        <w:t>，</w:t>
      </w:r>
      <w:r>
        <w:rPr>
          <w:rFonts w:hint="eastAsia"/>
          <w:lang w:eastAsia="zh-CN"/>
        </w:rPr>
        <w:t>共计洒</w:t>
      </w:r>
      <w:r>
        <w:rPr>
          <w:rFonts w:hint="eastAsia"/>
          <w:highlight w:val="none"/>
          <w:lang w:eastAsia="zh-CN"/>
        </w:rPr>
        <w:t>水</w:t>
      </w:r>
      <w:r>
        <w:rPr>
          <w:rFonts w:hint="eastAsia"/>
          <w:highlight w:val="none"/>
          <w:lang w:val="en-US" w:eastAsia="zh-CN"/>
        </w:rPr>
        <w:t>2120m</w:t>
      </w:r>
      <w:r>
        <w:rPr>
          <w:rFonts w:hint="eastAsia"/>
          <w:highlight w:val="none"/>
          <w:vertAlign w:val="superscript"/>
          <w:lang w:val="en-US" w:eastAsia="zh-CN"/>
        </w:rPr>
        <w:t>3</w:t>
      </w:r>
      <w:r>
        <w:rPr>
          <w:rFonts w:hint="eastAsia"/>
          <w:lang w:val="en-US" w:eastAsia="zh-CN"/>
        </w:rPr>
        <w:t>，</w:t>
      </w:r>
      <w:r>
        <w:t>洒水水源与主体一致，由</w:t>
      </w:r>
      <w:r>
        <w:rPr>
          <w:rFonts w:hint="eastAsia"/>
          <w:lang w:eastAsia="zh-CN"/>
        </w:rPr>
        <w:t>工业园区引水</w:t>
      </w:r>
      <w:r>
        <w:t>，采用8m³洒水车洒水。</w:t>
      </w:r>
      <w:r>
        <w:rPr>
          <w:rFonts w:hint="eastAsia"/>
          <w:lang w:eastAsia="zh-CN"/>
        </w:rPr>
        <w:t>洒水可有效抑制扬尘，减少水土流失，具有水土保持功能。</w:t>
      </w:r>
    </w:p>
    <w:p>
      <w:pPr>
        <w:pStyle w:val="56"/>
        <w:numPr>
          <w:ilvl w:val="-1"/>
          <w:numId w:val="0"/>
        </w:numPr>
        <w:ind w:firstLine="480"/>
        <w:rPr>
          <w:rFonts w:hint="eastAsia" w:eastAsia="仿宋_GB2312"/>
          <w:lang w:val="en-US" w:eastAsia="zh-CN"/>
        </w:rPr>
      </w:pPr>
      <w:r>
        <w:rPr>
          <w:rFonts w:hint="eastAsia"/>
          <w:lang w:eastAsia="zh-CN"/>
        </w:rPr>
        <w:t>分析评价：本项目采取的土地平整和洒水均能有效地防止水土流失，具有水土保持功能。</w:t>
      </w:r>
      <w:r>
        <w:rPr>
          <w:rFonts w:hint="eastAsia" w:cs="Times New Roman"/>
          <w:color w:val="auto"/>
          <w:highlight w:val="none"/>
          <w:lang w:eastAsia="zh-CN"/>
        </w:rPr>
        <w:t>因项目现已进入运行期，本次水土保持方案编制在光伏区外围界域新增钢丝网围栏，起到一定拦挡的作用，减少人为对空地原生地貌的扰动，减少水土流失。，减少人为对空地原生地貌的扰动，减少水土流失。</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（2）集电线路区</w:t>
      </w:r>
    </w:p>
    <w:p>
      <w:pPr>
        <w:pStyle w:val="56"/>
        <w:ind w:firstLine="480"/>
        <w:rPr>
          <w:rFonts w:hint="eastAsia" w:cs="Times New Roman"/>
          <w:color w:val="auto"/>
          <w:highlight w:val="none"/>
          <w:lang w:eastAsia="zh-CN"/>
        </w:rPr>
      </w:pPr>
      <w:r>
        <w:rPr>
          <w:rFonts w:hint="default" w:ascii="Times New Roman" w:hAnsi="Times New Roman" w:cs="Times New Roman"/>
          <w:color w:val="auto"/>
          <w:highlight w:val="none"/>
        </w:rPr>
        <w:t>根据主体</w:t>
      </w:r>
      <w:r>
        <w:rPr>
          <w:rFonts w:hint="eastAsia" w:cs="Times New Roman"/>
          <w:color w:val="auto"/>
          <w:highlight w:val="none"/>
          <w:lang w:eastAsia="zh-CN"/>
        </w:rPr>
        <w:t>设计及工程实际施工情况</w:t>
      </w:r>
      <w:r>
        <w:rPr>
          <w:rFonts w:hint="default" w:ascii="Times New Roman" w:hAnsi="Times New Roman" w:cs="Times New Roman"/>
          <w:color w:val="auto"/>
          <w:highlight w:val="none"/>
        </w:rPr>
        <w:t>分析，集电线路区</w:t>
      </w:r>
      <w:r>
        <w:rPr>
          <w:rFonts w:hint="eastAsia" w:cs="Times New Roman"/>
          <w:color w:val="auto"/>
          <w:highlight w:val="none"/>
          <w:lang w:eastAsia="zh-CN"/>
        </w:rPr>
        <w:t>施工期对临时堆土采取防尘网苫盖，施工结束后对扰动区域采取土地平整</w:t>
      </w:r>
      <w:r>
        <w:rPr>
          <w:rFonts w:hint="default" w:ascii="Times New Roman" w:hAnsi="Times New Roman" w:cs="Times New Roman"/>
          <w:color w:val="auto"/>
          <w:highlight w:val="none"/>
        </w:rPr>
        <w:t>。</w:t>
      </w:r>
    </w:p>
    <w:p>
      <w:pPr>
        <w:pStyle w:val="56"/>
        <w:numPr>
          <w:ilvl w:val="0"/>
          <w:numId w:val="11"/>
        </w:numPr>
        <w:ind w:firstLine="480"/>
        <w:rPr>
          <w:rFonts w:hint="default" w:ascii="Times New Roman" w:hAnsi="Times New Roman" w:cs="Times New Roman"/>
          <w:color w:val="auto"/>
          <w:highlight w:val="none"/>
        </w:rPr>
      </w:pPr>
      <w:r>
        <w:rPr>
          <w:rFonts w:hint="eastAsia" w:cs="Times New Roman"/>
          <w:color w:val="auto"/>
          <w:highlight w:val="none"/>
          <w:lang w:eastAsia="zh-CN"/>
        </w:rPr>
        <w:t>工程措施</w:t>
      </w:r>
    </w:p>
    <w:p>
      <w:pPr>
        <w:pStyle w:val="56"/>
        <w:numPr>
          <w:ilvl w:val="-1"/>
          <w:numId w:val="0"/>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土地平整（主体已列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）：施工后期对集电线路区施工扰动区域采取土地平整，清理建筑垃圾及堆置的建筑材料，平整面积共</w:t>
      </w:r>
      <w:r>
        <w:rPr>
          <w:rFonts w:hint="eastAsia" w:cs="Times New Roman"/>
          <w:color w:val="auto"/>
          <w:highlight w:val="none"/>
          <w:lang w:val="en-US" w:eastAsia="zh-CN"/>
        </w:rPr>
        <w:t>2.76</w:t>
      </w:r>
      <w:r>
        <w:rPr>
          <w:rFonts w:hint="default" w:ascii="Times New Roman" w:hAnsi="Times New Roman" w:cs="Times New Roman"/>
          <w:color w:val="auto"/>
          <w:highlight w:val="none"/>
        </w:rPr>
        <w:t>hm²，</w:t>
      </w:r>
      <w:r>
        <w:rPr>
          <w:rFonts w:hint="eastAsia"/>
          <w:color w:val="auto"/>
          <w:highlight w:val="none"/>
        </w:rPr>
        <w:t>土地平整能够一定程度上减轻裸露地表的水土流失程度，提高土层抗风蚀、水蚀能力，具有水土保持功能。</w:t>
      </w:r>
    </w:p>
    <w:p>
      <w:pPr>
        <w:pStyle w:val="56"/>
        <w:numPr>
          <w:ilvl w:val="0"/>
          <w:numId w:val="11"/>
        </w:numPr>
        <w:ind w:firstLine="480"/>
        <w:rPr>
          <w:rFonts w:hint="default" w:ascii="Times New Roman" w:hAnsi="Times New Roman" w:cs="Times New Roman"/>
          <w:color w:val="auto"/>
          <w:highlight w:val="none"/>
        </w:rPr>
      </w:pPr>
      <w:r>
        <w:rPr>
          <w:rFonts w:hint="eastAsia" w:cs="Times New Roman"/>
          <w:color w:val="auto"/>
          <w:highlight w:val="none"/>
          <w:lang w:eastAsia="zh-CN"/>
        </w:rPr>
        <w:t>临时措施</w:t>
      </w:r>
    </w:p>
    <w:p>
      <w:pPr>
        <w:pStyle w:val="56"/>
        <w:numPr>
          <w:ilvl w:val="-1"/>
          <w:numId w:val="0"/>
        </w:numPr>
        <w:ind w:firstLine="480"/>
        <w:rPr>
          <w:rFonts w:hint="eastAsia"/>
          <w:lang w:eastAsia="zh-CN"/>
        </w:rPr>
      </w:pPr>
      <w:r>
        <w:rPr>
          <w:rFonts w:hint="eastAsia" w:cs="Times New Roman"/>
          <w:color w:val="auto"/>
          <w:highlight w:val="none"/>
          <w:lang w:eastAsia="zh-CN"/>
        </w:rPr>
        <w:t>防尘网苫盖</w:t>
      </w:r>
      <w:r>
        <w:rPr>
          <w:rFonts w:hint="default" w:ascii="Times New Roman" w:hAnsi="Times New Roman" w:cs="Times New Roman"/>
          <w:color w:val="auto"/>
          <w:highlight w:val="none"/>
        </w:rPr>
        <w:t>（主体已列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r>
        <w:t>建设期间管沟开挖土方堆置在开挖管沟一侧，不采取集中堆置，后期回填利用，施工期间对管沟开挖临时堆土采取防尘网苫盖，防尘网苫盖共计</w:t>
      </w:r>
      <w:r>
        <w:rPr>
          <w:rFonts w:hint="eastAsia"/>
          <w:lang w:val="en-US" w:eastAsia="zh-CN"/>
        </w:rPr>
        <w:t>36</w:t>
      </w:r>
      <w:r>
        <w:t>00m²。</w:t>
      </w:r>
      <w:r>
        <w:rPr>
          <w:rFonts w:hint="eastAsia"/>
          <w:lang w:eastAsia="zh-CN"/>
        </w:rPr>
        <w:t>防尘网苫盖可有效防止临时堆土堆渣水土流失，具有水土保持功能。</w:t>
      </w:r>
    </w:p>
    <w:p>
      <w:pPr>
        <w:pStyle w:val="56"/>
        <w:numPr>
          <w:ilvl w:val="-1"/>
          <w:numId w:val="0"/>
        </w:numPr>
        <w:ind w:firstLine="480"/>
        <w:rPr>
          <w:rFonts w:hint="eastAsia"/>
          <w:lang w:eastAsia="zh-CN"/>
        </w:rPr>
      </w:pPr>
      <w:r>
        <w:rPr>
          <w:rFonts w:hint="eastAsia"/>
          <w:lang w:eastAsia="zh-CN"/>
        </w:rPr>
        <w:t>分析评价：项目采取的土地平整和防尘网苫盖可有效减少水土流失，具有水土保持功能，本次方案无新增水土保持措施。</w:t>
      </w:r>
    </w:p>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3.2.7.2 道路工程区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（1）进场道路</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根据主体</w:t>
      </w:r>
      <w:r>
        <w:rPr>
          <w:rFonts w:hint="eastAsia" w:cs="Times New Roman"/>
          <w:color w:val="auto"/>
          <w:highlight w:val="none"/>
          <w:lang w:eastAsia="zh-CN"/>
        </w:rPr>
        <w:t>设计及工程实际施工情况</w:t>
      </w:r>
      <w:r>
        <w:rPr>
          <w:rFonts w:hint="default" w:ascii="Times New Roman" w:hAnsi="Times New Roman" w:cs="Times New Roman"/>
          <w:color w:val="auto"/>
          <w:highlight w:val="none"/>
        </w:rPr>
        <w:t>分析，</w:t>
      </w:r>
      <w:r>
        <w:rPr>
          <w:rFonts w:hint="eastAsia" w:cs="Times New Roman"/>
          <w:color w:val="auto"/>
          <w:highlight w:val="none"/>
          <w:lang w:eastAsia="zh-CN"/>
        </w:rPr>
        <w:t>进场道路施工期对</w:t>
      </w:r>
      <w:r>
        <w:rPr>
          <w:rFonts w:hint="default" w:ascii="Times New Roman" w:hAnsi="Times New Roman" w:cs="Times New Roman"/>
          <w:color w:val="auto"/>
          <w:highlight w:val="none"/>
        </w:rPr>
        <w:t>扰动碾压区域洒水。</w:t>
      </w:r>
    </w:p>
    <w:p>
      <w:pPr>
        <w:pStyle w:val="56"/>
        <w:keepNext w:val="0"/>
        <w:keepLines w:val="0"/>
        <w:pageBreakBefore w:val="0"/>
        <w:widowControl/>
        <w:numPr>
          <w:ilvl w:val="0"/>
          <w:numId w:val="0"/>
        </w:numPr>
        <w:kinsoku/>
        <w:wordWrap/>
        <w:overflowPunct/>
        <w:topLinePunct w:val="0"/>
        <w:autoSpaceDE/>
        <w:autoSpaceDN/>
        <w:bidi w:val="0"/>
        <w:adjustRightInd w:val="0"/>
        <w:snapToGrid w:val="0"/>
        <w:ind w:firstLine="480" w:firstLineChars="200"/>
        <w:textAlignment w:val="auto"/>
        <w:outlineLvl w:val="9"/>
        <w:rPr>
          <w:rFonts w:hint="eastAsia" w:cs="Times New Roman"/>
          <w:color w:val="auto"/>
          <w:highlight w:val="none"/>
          <w:lang w:val="en-US" w:eastAsia="zh-CN"/>
        </w:rPr>
      </w:pPr>
      <w:r>
        <w:rPr>
          <w:rFonts w:hint="eastAsia" w:cs="Times New Roman"/>
          <w:color w:val="auto"/>
          <w:highlight w:val="none"/>
          <w:lang w:val="en-US" w:eastAsia="zh-CN"/>
        </w:rPr>
        <w:t>1）临时措施</w:t>
      </w:r>
    </w:p>
    <w:p>
      <w:pPr>
        <w:pStyle w:val="56"/>
        <w:numPr>
          <w:ilvl w:val="-1"/>
          <w:numId w:val="0"/>
        </w:numPr>
        <w:ind w:firstLine="480"/>
        <w:rPr>
          <w:rFonts w:hint="eastAsia"/>
          <w:lang w:eastAsia="zh-CN"/>
        </w:rPr>
      </w:pPr>
      <w:r>
        <w:rPr>
          <w:rFonts w:hint="eastAsia" w:cs="Times New Roman"/>
          <w:color w:val="auto"/>
          <w:highlight w:val="none"/>
          <w:lang w:eastAsia="zh-CN"/>
        </w:rPr>
        <w:t>洒水</w:t>
      </w:r>
      <w:r>
        <w:rPr>
          <w:rFonts w:hint="default" w:ascii="Times New Roman" w:hAnsi="Times New Roman" w:cs="Times New Roman"/>
          <w:color w:val="auto"/>
          <w:highlight w:val="none"/>
        </w:rPr>
        <w:t>（主体已列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r>
        <w:rPr>
          <w:rFonts w:hint="eastAsia" w:cs="Times New Roman"/>
          <w:color w:val="auto"/>
          <w:highlight w:val="none"/>
          <w:lang w:eastAsia="zh-CN"/>
        </w:rPr>
        <w:t>：</w:t>
      </w:r>
      <w:r>
        <w:t>在</w:t>
      </w:r>
      <w:r>
        <w:rPr>
          <w:rFonts w:hint="eastAsia"/>
          <w:lang w:eastAsia="zh-CN"/>
        </w:rPr>
        <w:t>进场道路</w:t>
      </w:r>
      <w:r>
        <w:t>施工期</w:t>
      </w:r>
      <w:r>
        <w:rPr>
          <w:rFonts w:hint="eastAsia" w:cs="Times New Roman"/>
          <w:color w:val="auto"/>
          <w:highlight w:val="none"/>
          <w:lang w:eastAsia="zh-CN"/>
        </w:rPr>
        <w:t>对</w:t>
      </w:r>
      <w:r>
        <w:rPr>
          <w:rFonts w:hint="default" w:ascii="Times New Roman" w:hAnsi="Times New Roman" w:cs="Times New Roman"/>
          <w:color w:val="auto"/>
          <w:highlight w:val="none"/>
        </w:rPr>
        <w:t>扰动碾压区域洒水</w:t>
      </w:r>
      <w:r>
        <w:t>，</w:t>
      </w:r>
      <w:r>
        <w:rPr>
          <w:rFonts w:hint="eastAsia"/>
          <w:lang w:eastAsia="zh-CN"/>
        </w:rPr>
        <w:t>洒水时段为</w:t>
      </w:r>
      <w:r>
        <w:rPr>
          <w:rFonts w:hint="eastAsia"/>
          <w:lang w:val="en-US" w:eastAsia="zh-CN"/>
        </w:rPr>
        <w:t>3月，每天洒水一次，洒水厚度</w:t>
      </w:r>
      <w:r>
        <w:t>2.0mm，</w:t>
      </w:r>
      <w:r>
        <w:rPr>
          <w:rFonts w:hint="eastAsia"/>
          <w:lang w:eastAsia="zh-CN"/>
        </w:rPr>
        <w:t>即洒水指标</w:t>
      </w:r>
      <w:r>
        <w:rPr>
          <w:rFonts w:hint="eastAsia"/>
          <w:lang w:val="en-US" w:eastAsia="zh-CN"/>
        </w:rPr>
        <w:t>2L/</w:t>
      </w:r>
      <w:r>
        <w:rPr>
          <w:rFonts w:hint="eastAsia"/>
          <w:highlight w:val="none"/>
          <w:lang w:val="en-US" w:eastAsia="zh-CN"/>
        </w:rPr>
        <w:t>m</w:t>
      </w:r>
      <w:r>
        <w:rPr>
          <w:rFonts w:hint="eastAsia"/>
          <w:highlight w:val="none"/>
          <w:vertAlign w:val="superscript"/>
          <w:lang w:val="en-US" w:eastAsia="zh-CN"/>
        </w:rPr>
        <w:t>2</w:t>
      </w:r>
      <w:r>
        <w:rPr>
          <w:rFonts w:hint="eastAsia"/>
          <w:lang w:val="en-US" w:eastAsia="zh-CN"/>
        </w:rPr>
        <w:t>，</w:t>
      </w:r>
      <w:r>
        <w:rPr>
          <w:rFonts w:hint="eastAsia"/>
          <w:lang w:eastAsia="zh-CN"/>
        </w:rPr>
        <w:t>共计洒</w:t>
      </w:r>
      <w:r>
        <w:rPr>
          <w:rFonts w:hint="eastAsia"/>
          <w:highlight w:val="none"/>
          <w:lang w:eastAsia="zh-CN"/>
        </w:rPr>
        <w:t>水</w:t>
      </w:r>
      <w:r>
        <w:rPr>
          <w:rFonts w:hint="eastAsia"/>
          <w:highlight w:val="none"/>
          <w:lang w:val="en-US" w:eastAsia="zh-CN"/>
        </w:rPr>
        <w:t>18m</w:t>
      </w:r>
      <w:r>
        <w:rPr>
          <w:rFonts w:hint="eastAsia"/>
          <w:highlight w:val="none"/>
          <w:vertAlign w:val="superscript"/>
          <w:lang w:val="en-US" w:eastAsia="zh-CN"/>
        </w:rPr>
        <w:t>3</w:t>
      </w:r>
      <w:r>
        <w:rPr>
          <w:rFonts w:hint="eastAsia"/>
          <w:lang w:val="en-US" w:eastAsia="zh-CN"/>
        </w:rPr>
        <w:t>，</w:t>
      </w:r>
      <w:r>
        <w:t>洒水水源与主体一致，由</w:t>
      </w:r>
      <w:r>
        <w:rPr>
          <w:rFonts w:hint="eastAsia"/>
          <w:lang w:eastAsia="zh-CN"/>
        </w:rPr>
        <w:t>工业园区引水</w:t>
      </w:r>
      <w:r>
        <w:t>，采用8m³洒水车洒水。</w:t>
      </w:r>
      <w:r>
        <w:rPr>
          <w:rFonts w:hint="eastAsia"/>
          <w:lang w:eastAsia="zh-CN"/>
        </w:rPr>
        <w:t>洒水可有效抑制扬尘，减少水土流失，具有水土保持功能。</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（2）场内道路</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根据主体</w:t>
      </w:r>
      <w:r>
        <w:rPr>
          <w:rFonts w:hint="eastAsia" w:cs="Times New Roman"/>
          <w:color w:val="auto"/>
          <w:highlight w:val="none"/>
          <w:lang w:eastAsia="zh-CN"/>
        </w:rPr>
        <w:t>设计及工程实际施工情况</w:t>
      </w:r>
      <w:r>
        <w:rPr>
          <w:rFonts w:hint="default" w:ascii="Times New Roman" w:hAnsi="Times New Roman" w:cs="Times New Roman"/>
          <w:color w:val="auto"/>
          <w:highlight w:val="none"/>
        </w:rPr>
        <w:t>分析，</w:t>
      </w:r>
      <w:r>
        <w:rPr>
          <w:rFonts w:hint="eastAsia" w:cs="Times New Roman"/>
          <w:color w:val="auto"/>
          <w:highlight w:val="none"/>
          <w:lang w:eastAsia="zh-CN"/>
        </w:rPr>
        <w:t>场内道路施工期对</w:t>
      </w:r>
      <w:r>
        <w:rPr>
          <w:rFonts w:hint="default" w:ascii="Times New Roman" w:hAnsi="Times New Roman" w:cs="Times New Roman"/>
          <w:color w:val="auto"/>
          <w:highlight w:val="none"/>
        </w:rPr>
        <w:t>扰动碾压区域洒水。</w:t>
      </w:r>
    </w:p>
    <w:p>
      <w:pPr>
        <w:pStyle w:val="56"/>
        <w:numPr>
          <w:ilvl w:val="0"/>
          <w:numId w:val="12"/>
        </w:numPr>
        <w:ind w:firstLine="480"/>
        <w:rPr>
          <w:rFonts w:hint="eastAsia" w:cs="Times New Roman"/>
          <w:color w:val="auto"/>
          <w:highlight w:val="none"/>
          <w:lang w:eastAsia="zh-CN"/>
        </w:rPr>
      </w:pPr>
      <w:r>
        <w:rPr>
          <w:rFonts w:hint="eastAsia" w:cs="Times New Roman"/>
          <w:color w:val="auto"/>
          <w:highlight w:val="none"/>
          <w:lang w:val="en-US" w:eastAsia="zh-CN"/>
        </w:rPr>
        <w:t>临时措施</w:t>
      </w:r>
    </w:p>
    <w:p>
      <w:pPr>
        <w:pStyle w:val="56"/>
        <w:numPr>
          <w:ilvl w:val="0"/>
          <w:numId w:val="0"/>
        </w:numPr>
        <w:ind w:firstLine="480"/>
        <w:rPr>
          <w:rFonts w:hint="default" w:ascii="Times New Roman" w:hAnsi="Times New Roman" w:cs="Times New Roman"/>
          <w:color w:val="auto"/>
          <w:highlight w:val="none"/>
        </w:rPr>
      </w:pPr>
      <w:r>
        <w:rPr>
          <w:rFonts w:hint="eastAsia" w:cs="Times New Roman"/>
          <w:color w:val="auto"/>
          <w:highlight w:val="none"/>
          <w:lang w:eastAsia="zh-CN"/>
        </w:rPr>
        <w:t>洒水</w:t>
      </w:r>
      <w:r>
        <w:rPr>
          <w:rFonts w:hint="default" w:ascii="Times New Roman" w:hAnsi="Times New Roman" w:cs="Times New Roman"/>
          <w:color w:val="auto"/>
          <w:highlight w:val="none"/>
        </w:rPr>
        <w:t>（主体已列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r>
        <w:rPr>
          <w:rFonts w:hint="eastAsia" w:cs="Times New Roman"/>
          <w:color w:val="auto"/>
          <w:highlight w:val="none"/>
          <w:lang w:eastAsia="zh-CN"/>
        </w:rPr>
        <w:t>：</w:t>
      </w:r>
      <w:r>
        <w:t>在</w:t>
      </w:r>
      <w:r>
        <w:rPr>
          <w:rFonts w:hint="eastAsia" w:cs="Times New Roman"/>
          <w:color w:val="auto"/>
          <w:highlight w:val="none"/>
          <w:lang w:eastAsia="zh-CN"/>
        </w:rPr>
        <w:t>场内道路施工期对</w:t>
      </w:r>
      <w:r>
        <w:rPr>
          <w:rFonts w:hint="default" w:ascii="Times New Roman" w:hAnsi="Times New Roman" w:cs="Times New Roman"/>
          <w:color w:val="auto"/>
          <w:highlight w:val="none"/>
        </w:rPr>
        <w:t>扰动碾压区域洒水</w:t>
      </w:r>
      <w:r>
        <w:rPr>
          <w:highlight w:val="none"/>
        </w:rPr>
        <w:t>，</w:t>
      </w:r>
      <w:r>
        <w:rPr>
          <w:rFonts w:hint="eastAsia"/>
          <w:highlight w:val="none"/>
          <w:lang w:eastAsia="zh-CN"/>
        </w:rPr>
        <w:t>洒水时段为</w:t>
      </w:r>
      <w:r>
        <w:rPr>
          <w:rFonts w:hint="eastAsia"/>
          <w:highlight w:val="none"/>
          <w:lang w:val="en-US" w:eastAsia="zh-CN"/>
        </w:rPr>
        <w:t>3月至8月，每天洒水一次，洒水厚度</w:t>
      </w:r>
      <w:r>
        <w:rPr>
          <w:highlight w:val="none"/>
        </w:rPr>
        <w:t>2.0mm，</w:t>
      </w:r>
      <w:r>
        <w:rPr>
          <w:rFonts w:hint="eastAsia"/>
          <w:lang w:eastAsia="zh-CN"/>
        </w:rPr>
        <w:t>即洒水指标</w:t>
      </w:r>
      <w:r>
        <w:rPr>
          <w:rFonts w:hint="eastAsia"/>
          <w:lang w:val="en-US" w:eastAsia="zh-CN"/>
        </w:rPr>
        <w:t>2L/</w:t>
      </w:r>
      <w:r>
        <w:rPr>
          <w:rFonts w:hint="eastAsia"/>
          <w:highlight w:val="none"/>
          <w:lang w:val="en-US" w:eastAsia="zh-CN"/>
        </w:rPr>
        <w:t>m</w:t>
      </w:r>
      <w:r>
        <w:rPr>
          <w:rFonts w:hint="eastAsia"/>
          <w:highlight w:val="none"/>
          <w:vertAlign w:val="superscript"/>
          <w:lang w:val="en-US" w:eastAsia="zh-CN"/>
        </w:rPr>
        <w:t>2</w:t>
      </w:r>
      <w:r>
        <w:rPr>
          <w:rFonts w:hint="eastAsia"/>
          <w:lang w:val="en-US" w:eastAsia="zh-CN"/>
        </w:rPr>
        <w:t>，</w:t>
      </w:r>
      <w:r>
        <w:rPr>
          <w:rFonts w:hint="eastAsia"/>
          <w:highlight w:val="none"/>
          <w:lang w:eastAsia="zh-CN"/>
        </w:rPr>
        <w:t>共计洒水</w:t>
      </w:r>
      <w:r>
        <w:rPr>
          <w:rFonts w:hint="eastAsia"/>
          <w:highlight w:val="none"/>
          <w:lang w:val="en-US" w:eastAsia="zh-CN"/>
        </w:rPr>
        <w:t>6912m</w:t>
      </w:r>
      <w:r>
        <w:rPr>
          <w:rFonts w:hint="eastAsia"/>
          <w:highlight w:val="none"/>
          <w:vertAlign w:val="superscript"/>
          <w:lang w:val="en-US" w:eastAsia="zh-CN"/>
        </w:rPr>
        <w:t>3</w:t>
      </w:r>
      <w:r>
        <w:rPr>
          <w:rFonts w:hint="eastAsia"/>
          <w:lang w:val="en-US" w:eastAsia="zh-CN"/>
        </w:rPr>
        <w:t>，</w:t>
      </w:r>
      <w:r>
        <w:t>洒水水源与主体一致，由</w:t>
      </w:r>
      <w:r>
        <w:rPr>
          <w:rFonts w:hint="eastAsia"/>
          <w:lang w:eastAsia="zh-CN"/>
        </w:rPr>
        <w:t>工业园区引水</w:t>
      </w:r>
      <w:r>
        <w:t>，采用8m³洒水车洒水。</w:t>
      </w:r>
      <w:r>
        <w:rPr>
          <w:rFonts w:hint="eastAsia"/>
          <w:lang w:eastAsia="zh-CN"/>
        </w:rPr>
        <w:t>洒水可有效抑制扬尘，减少水土流失，具有水土保持功能。</w:t>
      </w:r>
    </w:p>
    <w:p>
      <w:pPr>
        <w:pStyle w:val="56"/>
        <w:numPr>
          <w:ilvl w:val="-1"/>
          <w:numId w:val="0"/>
        </w:numPr>
        <w:ind w:firstLine="480"/>
        <w:rPr>
          <w:rFonts w:hint="eastAsia"/>
          <w:lang w:eastAsia="zh-CN"/>
        </w:rPr>
      </w:pPr>
      <w:r>
        <w:rPr>
          <w:rFonts w:hint="default" w:ascii="Times New Roman" w:hAnsi="Times New Roman" w:cs="Times New Roman"/>
          <w:color w:val="auto"/>
          <w:highlight w:val="none"/>
        </w:rPr>
        <w:t>分析评价：</w:t>
      </w:r>
      <w:r>
        <w:rPr>
          <w:rFonts w:hint="eastAsia"/>
          <w:lang w:eastAsia="zh-CN"/>
        </w:rPr>
        <w:t>项目采取的洒水抑尘可有效减少水土流失，具有水土保持功能，本次方案无新增水土保持措施。</w:t>
      </w:r>
    </w:p>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3.2.7.3 </w:t>
      </w:r>
      <w:r>
        <w:rPr>
          <w:rFonts w:hint="eastAsia" w:cs="Times New Roman"/>
          <w:color w:val="auto"/>
          <w:highlight w:val="none"/>
          <w:lang w:eastAsia="zh-CN"/>
        </w:rPr>
        <w:t>运行管理</w:t>
      </w:r>
      <w:r>
        <w:rPr>
          <w:rFonts w:hint="default" w:ascii="Times New Roman" w:hAnsi="Times New Roman" w:cs="Times New Roman"/>
          <w:color w:val="auto"/>
          <w:highlight w:val="none"/>
        </w:rPr>
        <w:t>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根据主体</w:t>
      </w:r>
      <w:r>
        <w:rPr>
          <w:rFonts w:hint="eastAsia" w:cs="Times New Roman"/>
          <w:color w:val="auto"/>
          <w:highlight w:val="none"/>
          <w:lang w:eastAsia="zh-CN"/>
        </w:rPr>
        <w:t>设计及工程实际施工情况</w:t>
      </w:r>
      <w:r>
        <w:rPr>
          <w:rFonts w:hint="default" w:ascii="Times New Roman" w:hAnsi="Times New Roman" w:cs="Times New Roman"/>
          <w:color w:val="auto"/>
          <w:highlight w:val="none"/>
        </w:rPr>
        <w:t>分析，</w:t>
      </w:r>
      <w:r>
        <w:rPr>
          <w:rFonts w:hint="eastAsia" w:cs="Times New Roman"/>
          <w:color w:val="auto"/>
          <w:highlight w:val="none"/>
          <w:lang w:eastAsia="zh-CN"/>
        </w:rPr>
        <w:t>运行管理</w:t>
      </w:r>
      <w:r>
        <w:rPr>
          <w:rFonts w:hint="default" w:ascii="Times New Roman" w:hAnsi="Times New Roman" w:cs="Times New Roman"/>
          <w:color w:val="auto"/>
          <w:highlight w:val="none"/>
        </w:rPr>
        <w:t>区</w:t>
      </w:r>
      <w:r>
        <w:rPr>
          <w:rFonts w:hint="eastAsia" w:cs="Times New Roman"/>
          <w:color w:val="auto"/>
          <w:highlight w:val="none"/>
          <w:lang w:eastAsia="zh-CN"/>
        </w:rPr>
        <w:t>施工期间</w:t>
      </w:r>
      <w:r>
        <w:t>对建构筑物基坑开挖临时堆土采取防尘网苫盖</w:t>
      </w:r>
      <w:r>
        <w:rPr>
          <w:rFonts w:hint="eastAsia" w:cs="Times New Roman"/>
          <w:color w:val="auto"/>
          <w:highlight w:val="none"/>
          <w:lang w:eastAsia="zh-CN"/>
        </w:rPr>
        <w:t>，施工</w:t>
      </w:r>
      <w:r>
        <w:rPr>
          <w:rFonts w:hint="default" w:ascii="Times New Roman" w:hAnsi="Times New Roman" w:cs="Times New Roman"/>
          <w:color w:val="auto"/>
          <w:highlight w:val="none"/>
        </w:rPr>
        <w:t>后期对扰动区域采取土地平整。</w:t>
      </w:r>
    </w:p>
    <w:p>
      <w:pPr>
        <w:pStyle w:val="56"/>
        <w:ind w:firstLine="480"/>
        <w:rPr>
          <w:rFonts w:hint="eastAsia"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（1）</w:t>
      </w:r>
      <w:r>
        <w:rPr>
          <w:rFonts w:hint="eastAsia" w:cs="Times New Roman"/>
          <w:color w:val="auto"/>
          <w:highlight w:val="none"/>
          <w:lang w:eastAsia="zh-CN"/>
        </w:rPr>
        <w:t>工程措施</w:t>
      </w:r>
    </w:p>
    <w:p>
      <w:pPr>
        <w:pStyle w:val="56"/>
        <w:ind w:firstLine="480"/>
      </w:pPr>
      <w:r>
        <w:rPr>
          <w:rFonts w:hint="default" w:ascii="Times New Roman" w:hAnsi="Times New Roman" w:cs="Times New Roman"/>
          <w:color w:val="auto"/>
          <w:highlight w:val="none"/>
        </w:rPr>
        <w:t>土地平整（主体已列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r>
        <w:t>运行管理区各建构筑物基础回填完成后，对施工迹地进行了平整措施，平整面</w:t>
      </w:r>
      <w:r>
        <w:rPr>
          <w:highlight w:val="none"/>
        </w:rPr>
        <w:t>积约</w:t>
      </w:r>
      <w:r>
        <w:rPr>
          <w:rFonts w:hint="eastAsia"/>
          <w:highlight w:val="none"/>
          <w:lang w:val="en-US" w:eastAsia="zh-CN"/>
        </w:rPr>
        <w:t>0.41</w:t>
      </w:r>
      <w:r>
        <w:rPr>
          <w:highlight w:val="none"/>
        </w:rPr>
        <w:t>hm²，</w:t>
      </w:r>
      <w:r>
        <w:t>土地平整能够一定程度上减轻裸露地表的水土流失程度，提高土层抗风蚀、水蚀能力，具有水土保持功能。</w:t>
      </w:r>
    </w:p>
    <w:p>
      <w:pPr>
        <w:pStyle w:val="56"/>
        <w:numPr>
          <w:ilvl w:val="0"/>
          <w:numId w:val="13"/>
        </w:numPr>
        <w:ind w:firstLine="480"/>
        <w:rPr>
          <w:rFonts w:hint="eastAsia"/>
          <w:lang w:val="en-US" w:eastAsia="zh-CN"/>
        </w:rPr>
      </w:pPr>
      <w:r>
        <w:rPr>
          <w:rFonts w:hint="eastAsia"/>
          <w:lang w:val="en-US" w:eastAsia="zh-CN"/>
        </w:rPr>
        <w:t>临时措施</w:t>
      </w:r>
    </w:p>
    <w:p>
      <w:pPr>
        <w:pStyle w:val="56"/>
        <w:ind w:firstLine="480"/>
      </w:pPr>
      <w:r>
        <w:rPr>
          <w:rFonts w:hint="eastAsia" w:cs="Times New Roman"/>
          <w:color w:val="auto"/>
          <w:highlight w:val="none"/>
          <w:lang w:eastAsia="zh-CN"/>
        </w:rPr>
        <w:t>防尘网苫盖</w:t>
      </w:r>
      <w:r>
        <w:rPr>
          <w:rFonts w:hint="default" w:ascii="Times New Roman" w:hAnsi="Times New Roman" w:cs="Times New Roman"/>
          <w:color w:val="auto"/>
          <w:highlight w:val="none"/>
        </w:rPr>
        <w:t>（主体已列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r>
        <w:rPr>
          <w:rFonts w:hint="eastAsia" w:cs="Times New Roman"/>
          <w:color w:val="auto"/>
          <w:highlight w:val="none"/>
          <w:lang w:eastAsia="zh-CN"/>
        </w:rPr>
        <w:t>：</w:t>
      </w:r>
      <w:r>
        <w:t>施工期间对建构筑物基坑开挖临时堆土采取防尘网苫盖，防尘网苫盖共计1000m²。</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分析评价：</w:t>
      </w:r>
      <w:r>
        <w:rPr>
          <w:rFonts w:hint="eastAsia"/>
          <w:lang w:eastAsia="zh-CN"/>
        </w:rPr>
        <w:t>项目采取的</w:t>
      </w:r>
      <w:r>
        <w:rPr>
          <w:rFonts w:hint="eastAsia" w:cs="Times New Roman"/>
          <w:color w:val="auto"/>
          <w:highlight w:val="none"/>
          <w:lang w:eastAsia="zh-CN"/>
        </w:rPr>
        <w:t>防尘网苫盖</w:t>
      </w:r>
      <w:r>
        <w:rPr>
          <w:rFonts w:hint="eastAsia"/>
          <w:lang w:eastAsia="zh-CN"/>
        </w:rPr>
        <w:t>和土地平整可有效减少水土流失，具有水土保持功能，本次方案无新增水土保持措施。</w:t>
      </w:r>
    </w:p>
    <w:p>
      <w:pPr>
        <w:pStyle w:val="72"/>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 xml:space="preserve">3.2.7.4 </w:t>
      </w:r>
      <w:r>
        <w:rPr>
          <w:rFonts w:hint="eastAsia" w:cs="Times New Roman"/>
          <w:color w:val="auto"/>
          <w:highlight w:val="none"/>
          <w:lang w:eastAsia="zh-CN"/>
        </w:rPr>
        <w:t>施工生产生活区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根据主体</w:t>
      </w:r>
      <w:r>
        <w:rPr>
          <w:rFonts w:hint="eastAsia" w:cs="Times New Roman"/>
          <w:color w:val="auto"/>
          <w:highlight w:val="none"/>
          <w:lang w:eastAsia="zh-CN"/>
        </w:rPr>
        <w:t>设计及工程实际施工情况</w:t>
      </w:r>
      <w:r>
        <w:rPr>
          <w:rFonts w:hint="default" w:ascii="Times New Roman" w:hAnsi="Times New Roman" w:cs="Times New Roman"/>
          <w:color w:val="auto"/>
          <w:highlight w:val="none"/>
        </w:rPr>
        <w:t>分析，</w:t>
      </w:r>
      <w:r>
        <w:rPr>
          <w:rFonts w:hint="eastAsia" w:cs="Times New Roman"/>
          <w:color w:val="auto"/>
          <w:highlight w:val="none"/>
          <w:lang w:eastAsia="zh-CN"/>
        </w:rPr>
        <w:t>施工生产生活区</w:t>
      </w:r>
      <w:r>
        <w:rPr>
          <w:rFonts w:hint="default" w:ascii="Times New Roman" w:hAnsi="Times New Roman" w:cs="Times New Roman"/>
          <w:color w:val="auto"/>
          <w:highlight w:val="none"/>
        </w:rPr>
        <w:t>在施工期间对周边采取彩钢板围栏，施工后期对施工迹地采取土地平整。</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（1）工程措施</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土地平整（主体已列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）：工程建设完成后，主体对施工迹地区域采取土地平整，清理建筑垃圾及堆置的建筑材料，平整面积共0.</w:t>
      </w:r>
      <w:r>
        <w:rPr>
          <w:rFonts w:hint="eastAsia" w:cs="Times New Roman"/>
          <w:color w:val="auto"/>
          <w:highlight w:val="none"/>
          <w:lang w:val="en-US" w:eastAsia="zh-CN"/>
        </w:rPr>
        <w:t>46</w:t>
      </w:r>
      <w:r>
        <w:rPr>
          <w:rFonts w:hint="default" w:ascii="Times New Roman" w:hAnsi="Times New Roman" w:cs="Times New Roman"/>
          <w:color w:val="auto"/>
          <w:highlight w:val="none"/>
        </w:rPr>
        <w:t>hm²。</w:t>
      </w:r>
    </w:p>
    <w:p>
      <w:pPr>
        <w:pStyle w:val="56"/>
        <w:ind w:firstLine="480"/>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cs="Times New Roman"/>
          <w:color w:val="auto"/>
          <w:highlight w:val="none"/>
          <w:lang w:eastAsia="zh-CN"/>
        </w:rPr>
        <w:t>临时措施</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彩钢板围栏（主体已列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）：本项目</w:t>
      </w:r>
      <w:r>
        <w:rPr>
          <w:rFonts w:hint="eastAsia" w:cs="Times New Roman"/>
          <w:color w:val="auto"/>
          <w:highlight w:val="none"/>
          <w:lang w:eastAsia="zh-CN"/>
        </w:rPr>
        <w:t>施工生产生活区</w:t>
      </w:r>
      <w:r>
        <w:rPr>
          <w:rFonts w:hint="default" w:ascii="Times New Roman" w:hAnsi="Times New Roman" w:cs="Times New Roman"/>
          <w:color w:val="auto"/>
          <w:highlight w:val="none"/>
        </w:rPr>
        <w:t>为临时占地，周边为未扰动</w:t>
      </w:r>
      <w:r>
        <w:rPr>
          <w:rFonts w:hint="eastAsia" w:cs="Times New Roman"/>
          <w:color w:val="auto"/>
          <w:highlight w:val="none"/>
          <w:lang w:eastAsia="zh-CN"/>
        </w:rPr>
        <w:t>区域</w:t>
      </w:r>
      <w:r>
        <w:rPr>
          <w:rFonts w:hint="default" w:ascii="Times New Roman" w:hAnsi="Times New Roman" w:cs="Times New Roman"/>
          <w:color w:val="auto"/>
          <w:highlight w:val="none"/>
        </w:rPr>
        <w:t>，为限制施工边界及车辆行驶边界，</w:t>
      </w:r>
      <w:r>
        <w:rPr>
          <w:rFonts w:hint="eastAsia" w:cs="Times New Roman"/>
          <w:color w:val="auto"/>
          <w:highlight w:val="none"/>
          <w:lang w:eastAsia="zh-CN"/>
        </w:rPr>
        <w:t>主体</w:t>
      </w:r>
      <w:r>
        <w:rPr>
          <w:rFonts w:hint="default" w:ascii="Times New Roman" w:hAnsi="Times New Roman" w:cs="Times New Roman"/>
          <w:color w:val="auto"/>
          <w:highlight w:val="none"/>
        </w:rPr>
        <w:t>方案</w:t>
      </w:r>
      <w:r>
        <w:rPr>
          <w:rFonts w:hint="eastAsia" w:cs="Times New Roman"/>
          <w:color w:val="auto"/>
          <w:highlight w:val="none"/>
          <w:lang w:eastAsia="zh-CN"/>
        </w:rPr>
        <w:t>设计</w:t>
      </w:r>
      <w:r>
        <w:rPr>
          <w:rFonts w:hint="default" w:ascii="Times New Roman" w:hAnsi="Times New Roman" w:cs="Times New Roman"/>
          <w:color w:val="auto"/>
          <w:highlight w:val="none"/>
        </w:rPr>
        <w:t>对</w:t>
      </w:r>
      <w:r>
        <w:rPr>
          <w:rFonts w:hint="eastAsia" w:cs="Times New Roman"/>
          <w:color w:val="auto"/>
          <w:highlight w:val="none"/>
          <w:lang w:eastAsia="zh-CN"/>
        </w:rPr>
        <w:t>施工生产生活区</w:t>
      </w:r>
      <w:r>
        <w:rPr>
          <w:rFonts w:hint="default" w:ascii="Times New Roman" w:hAnsi="Times New Roman" w:cs="Times New Roman"/>
          <w:color w:val="auto"/>
          <w:highlight w:val="none"/>
        </w:rPr>
        <w:t>周边采取彩钢板围栏，彩钢板围栏共计200m。</w:t>
      </w:r>
    </w:p>
    <w:p>
      <w:pPr>
        <w:pStyle w:val="56"/>
        <w:ind w:firstLine="480"/>
        <w:rPr>
          <w:rFonts w:hint="default"/>
          <w:lang w:val="en-US" w:eastAsia="zh-CN"/>
        </w:rPr>
      </w:pPr>
      <w:r>
        <w:rPr>
          <w:rFonts w:hint="eastAsia"/>
          <w:lang w:eastAsia="zh-CN"/>
        </w:rPr>
        <w:t>分析评价：项目采取的彩钢板围栏和土地平整可有效减少水土流失，具有水土保持功能，本次方案无新增水土保持措施。</w:t>
      </w:r>
    </w:p>
    <w:p>
      <w:pPr>
        <w:pStyle w:val="66"/>
        <w:ind w:firstLine="148"/>
        <w:rPr>
          <w:rFonts w:hint="default" w:ascii="Times New Roman" w:hAnsi="Times New Roman" w:cs="Times New Roman"/>
          <w:color w:val="auto"/>
          <w:highlight w:val="none"/>
        </w:rPr>
      </w:pPr>
      <w:bookmarkStart w:id="96" w:name="_Toc29179"/>
      <w:r>
        <w:rPr>
          <w:rFonts w:hint="default" w:ascii="Times New Roman" w:hAnsi="Times New Roman" w:cs="Times New Roman"/>
          <w:color w:val="auto"/>
          <w:highlight w:val="none"/>
        </w:rPr>
        <w:t>3.3 主体工程设计中水土保持措施界定</w:t>
      </w:r>
      <w:bookmarkEnd w:id="96"/>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3.3.1 界定原则</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主体工程设计中，界定水土保持工程措施的原则主要有以下几点：</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以防治水土流失为主要目标的防护工程，应界定为水土保持工程。以主体工程设计功能为主、同时兼有水土保持功能的工程，不纳入水土流失防治措施体系，仅对其进行水土保持分析与评价；当不能满足水土保持要求时，可要求主体设计修改完善、也可提出补充措施（纳入水土流失防</w:t>
      </w:r>
      <w:r>
        <w:rPr>
          <w:rFonts w:hint="default" w:ascii="Times New Roman" w:hAnsi="Times New Roman" w:cs="Times New Roman"/>
          <w:color w:val="auto"/>
          <w:highlight w:val="none"/>
          <w:lang w:eastAsia="zh-CN"/>
        </w:rPr>
        <w:t>治</w:t>
      </w:r>
      <w:r>
        <w:rPr>
          <w:rFonts w:hint="default" w:ascii="Times New Roman" w:hAnsi="Times New Roman" w:cs="Times New Roman"/>
          <w:color w:val="auto"/>
          <w:highlight w:val="none"/>
        </w:rPr>
        <w:t>措施体系）。</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对建设过程中的临时征地、临时占地，因施工结束后需归还当地群众或政府，水土流失防治责任将发生转移，须通过水土保持验收予以确认，各项防护措施均应界定为水土保持工程，纳入水土流失防治措施体系。</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对永久占地区内主体设计功能和水土保持功能难以直观区分的防护措施，可按破坏性试验的原则进行排除：假定没有这项防护措施，主体设计功能仍旧可以发挥作用，但会产生较大的水土流失，该项防护措施应界定为水土保持工程，纳入水土流失防治措施体系。</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3.3.2 具有水土保持功能但不纳入水土保持投资的措施评价</w:t>
      </w:r>
    </w:p>
    <w:p>
      <w:pPr>
        <w:pStyle w:val="56"/>
        <w:ind w:firstLine="480"/>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砂砾石路面</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项目建设完工后，对</w:t>
      </w:r>
      <w:r>
        <w:rPr>
          <w:rFonts w:hint="eastAsia" w:cs="Times New Roman"/>
          <w:color w:val="auto"/>
          <w:highlight w:val="none"/>
          <w:lang w:eastAsia="zh-CN"/>
        </w:rPr>
        <w:t>场内</w:t>
      </w:r>
      <w:r>
        <w:rPr>
          <w:rFonts w:hint="default" w:ascii="Times New Roman" w:hAnsi="Times New Roman" w:cs="Times New Roman"/>
          <w:color w:val="auto"/>
          <w:highlight w:val="none"/>
        </w:rPr>
        <w:t>道路路面进行了处理，在项目运行期不再产生水土流失，对治理水土流失有积极的效果。但</w:t>
      </w:r>
      <w:r>
        <w:rPr>
          <w:rFonts w:hint="default" w:ascii="Times New Roman" w:hAnsi="Times New Roman" w:cs="Times New Roman"/>
          <w:color w:val="auto"/>
          <w:highlight w:val="none"/>
          <w:lang w:eastAsia="zh-CN"/>
        </w:rPr>
        <w:t>砂砾石路面</w:t>
      </w:r>
      <w:r>
        <w:rPr>
          <w:rFonts w:hint="default" w:ascii="Times New Roman" w:hAnsi="Times New Roman" w:cs="Times New Roman"/>
          <w:color w:val="auto"/>
          <w:highlight w:val="none"/>
        </w:rPr>
        <w:t>主要为主体工程建设的一部分，主要为主体工程服务，因此，</w:t>
      </w:r>
      <w:r>
        <w:rPr>
          <w:rFonts w:hint="default" w:ascii="Times New Roman" w:hAnsi="Times New Roman" w:cs="Times New Roman"/>
          <w:color w:val="auto"/>
          <w:highlight w:val="none"/>
          <w:lang w:eastAsia="zh-CN"/>
        </w:rPr>
        <w:t>砂砾石路面</w:t>
      </w:r>
      <w:r>
        <w:rPr>
          <w:rFonts w:hint="default" w:ascii="Times New Roman" w:hAnsi="Times New Roman" w:cs="Times New Roman"/>
          <w:color w:val="auto"/>
          <w:highlight w:val="none"/>
        </w:rPr>
        <w:t>不纳入水土保持措施。</w:t>
      </w:r>
    </w:p>
    <w:p>
      <w:pPr>
        <w:pStyle w:val="56"/>
        <w:numPr>
          <w:ilvl w:val="0"/>
          <w:numId w:val="13"/>
        </w:numPr>
        <w:ind w:firstLine="480"/>
        <w:rPr>
          <w:rFonts w:hint="eastAsia" w:cs="Times New Roman"/>
          <w:color w:val="auto"/>
          <w:highlight w:val="none"/>
          <w:lang w:val="en-US" w:eastAsia="zh-CN"/>
        </w:rPr>
      </w:pPr>
      <w:r>
        <w:rPr>
          <w:rFonts w:hint="eastAsia" w:cs="Times New Roman"/>
          <w:color w:val="auto"/>
          <w:highlight w:val="none"/>
          <w:lang w:val="en-US" w:eastAsia="zh-CN"/>
        </w:rPr>
        <w:t>场地硬化</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项目建设完工后，对</w:t>
      </w:r>
      <w:r>
        <w:rPr>
          <w:rFonts w:hint="eastAsia" w:cs="Times New Roman"/>
          <w:color w:val="auto"/>
          <w:highlight w:val="none"/>
          <w:lang w:eastAsia="zh-CN"/>
        </w:rPr>
        <w:t>运行管理区</w:t>
      </w:r>
      <w:r>
        <w:rPr>
          <w:rFonts w:hint="default" w:ascii="Times New Roman" w:hAnsi="Times New Roman" w:cs="Times New Roman"/>
          <w:color w:val="auto"/>
          <w:highlight w:val="none"/>
        </w:rPr>
        <w:t>进行了</w:t>
      </w:r>
      <w:r>
        <w:rPr>
          <w:rFonts w:hint="eastAsia" w:cs="Times New Roman"/>
          <w:color w:val="auto"/>
          <w:highlight w:val="none"/>
          <w:lang w:eastAsia="zh-CN"/>
        </w:rPr>
        <w:t>混凝土场地硬化</w:t>
      </w:r>
      <w:r>
        <w:rPr>
          <w:rFonts w:hint="default" w:ascii="Times New Roman" w:hAnsi="Times New Roman" w:cs="Times New Roman"/>
          <w:color w:val="auto"/>
          <w:highlight w:val="none"/>
        </w:rPr>
        <w:t>处理，在项目运行期不再产生水土流失，对治理水土流失有积极的效果。但</w:t>
      </w:r>
      <w:r>
        <w:rPr>
          <w:rFonts w:hint="eastAsia" w:cs="Times New Roman"/>
          <w:color w:val="auto"/>
          <w:highlight w:val="none"/>
          <w:lang w:eastAsia="zh-CN"/>
        </w:rPr>
        <w:t>场地硬化</w:t>
      </w:r>
      <w:r>
        <w:rPr>
          <w:rFonts w:hint="default" w:ascii="Times New Roman" w:hAnsi="Times New Roman" w:cs="Times New Roman"/>
          <w:color w:val="auto"/>
          <w:highlight w:val="none"/>
        </w:rPr>
        <w:t>主要为主体工程建设的一部分，主要为主体工程服务，因此，</w:t>
      </w:r>
      <w:r>
        <w:rPr>
          <w:rFonts w:hint="eastAsia" w:cs="Times New Roman"/>
          <w:color w:val="auto"/>
          <w:highlight w:val="none"/>
          <w:lang w:eastAsia="zh-CN"/>
        </w:rPr>
        <w:t>场地硬化</w:t>
      </w:r>
      <w:r>
        <w:rPr>
          <w:rFonts w:hint="default" w:ascii="Times New Roman" w:hAnsi="Times New Roman" w:cs="Times New Roman"/>
          <w:color w:val="auto"/>
          <w:highlight w:val="none"/>
        </w:rPr>
        <w:t>不纳入水土保持措施。</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3.3.3 具有水土保持功能并纳入水土保持投资的措施评价</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根据主体工程资料</w:t>
      </w:r>
      <w:r>
        <w:rPr>
          <w:rFonts w:hint="eastAsia" w:cs="Times New Roman"/>
          <w:color w:val="auto"/>
          <w:highlight w:val="none"/>
          <w:lang w:eastAsia="zh-CN"/>
        </w:rPr>
        <w:t>与工程实际情况</w:t>
      </w:r>
      <w:r>
        <w:rPr>
          <w:rFonts w:hint="default" w:ascii="Times New Roman" w:hAnsi="Times New Roman" w:cs="Times New Roman"/>
          <w:color w:val="auto"/>
          <w:highlight w:val="none"/>
        </w:rPr>
        <w:t>，主体工程设计了</w:t>
      </w:r>
      <w:r>
        <w:rPr>
          <w:rFonts w:hint="eastAsia" w:cs="Times New Roman"/>
          <w:color w:val="auto"/>
          <w:highlight w:val="none"/>
          <w:lang w:eastAsia="zh-CN"/>
        </w:rPr>
        <w:t>一些</w:t>
      </w:r>
      <w:r>
        <w:rPr>
          <w:rFonts w:hint="default" w:ascii="Times New Roman" w:hAnsi="Times New Roman" w:cs="Times New Roman"/>
          <w:color w:val="auto"/>
          <w:highlight w:val="none"/>
        </w:rPr>
        <w:t>具有水土保持功能的措施包括：光伏</w:t>
      </w:r>
      <w:r>
        <w:rPr>
          <w:rFonts w:hint="eastAsia" w:cs="Times New Roman"/>
          <w:color w:val="auto"/>
          <w:highlight w:val="none"/>
          <w:lang w:eastAsia="zh-CN"/>
        </w:rPr>
        <w:t>区</w:t>
      </w:r>
      <w:r>
        <w:rPr>
          <w:rFonts w:hint="default" w:ascii="Times New Roman" w:hAnsi="Times New Roman" w:cs="Times New Roman"/>
          <w:color w:val="auto"/>
          <w:highlight w:val="none"/>
        </w:rPr>
        <w:t>的</w:t>
      </w:r>
      <w:r>
        <w:rPr>
          <w:rFonts w:hint="eastAsia" w:cs="Times New Roman"/>
          <w:color w:val="auto"/>
          <w:highlight w:val="none"/>
          <w:lang w:eastAsia="zh-CN"/>
        </w:rPr>
        <w:t>洒水、</w:t>
      </w:r>
      <w:r>
        <w:rPr>
          <w:rFonts w:hint="default" w:ascii="Times New Roman" w:hAnsi="Times New Roman" w:cs="Times New Roman"/>
          <w:color w:val="auto"/>
          <w:highlight w:val="none"/>
        </w:rPr>
        <w:t>土地平整</w:t>
      </w:r>
      <w:r>
        <w:rPr>
          <w:rFonts w:hint="eastAsia" w:cs="Times New Roman"/>
          <w:color w:val="auto"/>
          <w:highlight w:val="none"/>
          <w:lang w:eastAsia="zh-CN"/>
        </w:rPr>
        <w:t>、防尘网苫盖；道路工程区的洒水；运行管理区的防尘网苫盖、土地平整；施工生产生活区的彩钢板围栏、土地平整。</w:t>
      </w:r>
      <w:r>
        <w:rPr>
          <w:rFonts w:hint="default" w:ascii="Times New Roman" w:hAnsi="Times New Roman" w:cs="Times New Roman"/>
          <w:color w:val="auto"/>
          <w:highlight w:val="none"/>
        </w:rPr>
        <w:t>通过从水土保持角度分析，主体工程设计并</w:t>
      </w:r>
      <w:r>
        <w:rPr>
          <w:rFonts w:hint="eastAsia" w:cs="Times New Roman"/>
          <w:color w:val="auto"/>
          <w:highlight w:val="none"/>
          <w:lang w:eastAsia="zh-CN"/>
        </w:rPr>
        <w:t>实施</w:t>
      </w:r>
      <w:r>
        <w:rPr>
          <w:rFonts w:hint="default" w:ascii="Times New Roman" w:hAnsi="Times New Roman" w:cs="Times New Roman"/>
          <w:color w:val="auto"/>
          <w:highlight w:val="none"/>
        </w:rPr>
        <w:t>的具有水土保持功能的措施有效的减轻了工程施工过程中的水土流失，能够有效防护项目区建设期及后期恢复期间产生的水土流失</w:t>
      </w:r>
      <w:r>
        <w:rPr>
          <w:rFonts w:hint="eastAsia" w:cs="Times New Roman"/>
          <w:color w:val="auto"/>
          <w:highlight w:val="none"/>
          <w:lang w:eastAsia="zh-CN"/>
        </w:rPr>
        <w:t>。</w:t>
      </w:r>
    </w:p>
    <w:p>
      <w:pPr>
        <w:pStyle w:val="56"/>
        <w:numPr>
          <w:ilvl w:val="0"/>
          <w:numId w:val="0"/>
        </w:numPr>
        <w:ind w:firstLine="480"/>
        <w:rPr>
          <w:rFonts w:hint="default" w:ascii="Times New Roman" w:hAnsi="Times New Roman" w:cs="Times New Roman"/>
          <w:color w:val="auto"/>
          <w:highlight w:val="none"/>
        </w:rPr>
      </w:pPr>
      <w:r>
        <w:rPr>
          <w:rFonts w:hint="eastAsia" w:cs="Times New Roman"/>
          <w:color w:val="auto"/>
          <w:highlight w:val="none"/>
          <w:lang w:eastAsia="zh-CN"/>
        </w:rPr>
        <w:t>因项目现已进入运行期，本次水土保持方案编制在光伏区外围界域新增钢丝网围栏，起到一定拦挡的作用，减少人为对空地原生地貌的扰动，减少水土流失。新增措施</w:t>
      </w:r>
      <w:r>
        <w:rPr>
          <w:rFonts w:hint="default" w:ascii="Times New Roman" w:hAnsi="Times New Roman" w:cs="Times New Roman"/>
          <w:color w:val="auto"/>
          <w:highlight w:val="none"/>
        </w:rPr>
        <w:t>与主体设计的各项措施形成一定的防护体系，有效治理</w:t>
      </w:r>
      <w:r>
        <w:rPr>
          <w:rFonts w:hint="eastAsia" w:cs="Times New Roman"/>
          <w:color w:val="auto"/>
          <w:highlight w:val="none"/>
          <w:lang w:eastAsia="zh-CN"/>
        </w:rPr>
        <w:t>项目施工及工程运行期间</w:t>
      </w:r>
      <w:r>
        <w:rPr>
          <w:rFonts w:hint="default" w:ascii="Times New Roman" w:hAnsi="Times New Roman" w:cs="Times New Roman"/>
          <w:color w:val="auto"/>
          <w:highlight w:val="none"/>
        </w:rPr>
        <w:t>产生的水土流失。</w:t>
      </w:r>
    </w:p>
    <w:p>
      <w:pPr>
        <w:pStyle w:val="163"/>
        <w:rPr>
          <w:rFonts w:hint="default" w:ascii="Times New Roman" w:hAnsi="Times New Roman" w:eastAsia="仿宋_GB2312" w:cs="Times New Roman"/>
          <w:snapToGrid w:val="0"/>
          <w:color w:val="auto"/>
          <w:kern w:val="24"/>
          <w:sz w:val="24"/>
          <w:szCs w:val="24"/>
          <w:highlight w:val="none"/>
          <w:lang w:val="en-US" w:eastAsia="zh-CN" w:bidi="ar-SA"/>
        </w:rPr>
      </w:pPr>
      <w:r>
        <w:rPr>
          <w:rFonts w:hint="default" w:ascii="Times New Roman" w:hAnsi="Times New Roman" w:eastAsia="仿宋_GB2312" w:cs="Times New Roman"/>
          <w:snapToGrid w:val="0"/>
          <w:color w:val="auto"/>
          <w:kern w:val="24"/>
          <w:sz w:val="24"/>
          <w:szCs w:val="24"/>
          <w:highlight w:val="none"/>
          <w:lang w:val="en-US" w:eastAsia="zh-CN" w:bidi="ar-SA"/>
        </w:rPr>
        <w:t>主体工程已列的水土保持措施及投资，</w:t>
      </w:r>
      <w:r>
        <w:rPr>
          <w:rFonts w:hint="eastAsia" w:ascii="Times New Roman" w:hAnsi="Times New Roman" w:eastAsia="仿宋_GB2312" w:cs="Times New Roman"/>
          <w:snapToGrid w:val="0"/>
          <w:color w:val="auto"/>
          <w:kern w:val="24"/>
          <w:sz w:val="24"/>
          <w:szCs w:val="24"/>
          <w:highlight w:val="none"/>
          <w:lang w:val="en-US" w:eastAsia="zh-CN" w:bidi="ar-SA"/>
        </w:rPr>
        <w:t>主体工程中具有水土保持功能的措施投资为30.90万元</w:t>
      </w:r>
      <w:r>
        <w:rPr>
          <w:rFonts w:hint="eastAsia" w:eastAsia="仿宋_GB2312" w:cs="Times New Roman"/>
          <w:snapToGrid w:val="0"/>
          <w:color w:val="auto"/>
          <w:kern w:val="24"/>
          <w:sz w:val="24"/>
          <w:szCs w:val="24"/>
          <w:highlight w:val="none"/>
          <w:lang w:val="en-US" w:eastAsia="zh-CN" w:bidi="ar-SA"/>
        </w:rPr>
        <w:t>，具体措施及投资</w:t>
      </w:r>
      <w:r>
        <w:rPr>
          <w:rFonts w:hint="default" w:ascii="Times New Roman" w:hAnsi="Times New Roman" w:eastAsia="仿宋_GB2312" w:cs="Times New Roman"/>
          <w:snapToGrid w:val="0"/>
          <w:color w:val="auto"/>
          <w:kern w:val="24"/>
          <w:sz w:val="24"/>
          <w:szCs w:val="24"/>
          <w:highlight w:val="none"/>
          <w:lang w:val="en-US" w:eastAsia="zh-CN" w:bidi="ar-SA"/>
        </w:rPr>
        <w:t>见表3.3-1。方案</w:t>
      </w:r>
      <w:r>
        <w:rPr>
          <w:rFonts w:hint="eastAsia" w:eastAsia="仿宋_GB2312" w:cs="Times New Roman"/>
          <w:snapToGrid w:val="0"/>
          <w:color w:val="auto"/>
          <w:kern w:val="24"/>
          <w:sz w:val="24"/>
          <w:szCs w:val="24"/>
          <w:highlight w:val="none"/>
          <w:lang w:val="en-US" w:eastAsia="zh-CN" w:bidi="ar-SA"/>
        </w:rPr>
        <w:t>需</w:t>
      </w:r>
      <w:r>
        <w:rPr>
          <w:rFonts w:hint="default" w:ascii="Times New Roman" w:hAnsi="Times New Roman" w:eastAsia="仿宋_GB2312" w:cs="Times New Roman"/>
          <w:snapToGrid w:val="0"/>
          <w:color w:val="auto"/>
          <w:kern w:val="24"/>
          <w:sz w:val="24"/>
          <w:szCs w:val="24"/>
          <w:highlight w:val="none"/>
          <w:lang w:val="en-US" w:eastAsia="zh-CN" w:bidi="ar-SA"/>
        </w:rPr>
        <w:t>新增措施见表3.3-2。</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表3.3-1    主体工程已列的具有水土保持功能的水土保持措施投资汇总表</w:t>
      </w:r>
    </w:p>
    <w:tbl>
      <w:tblPr>
        <w:tblStyle w:val="27"/>
        <w:tblW w:w="926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28"/>
        <w:gridCol w:w="1154"/>
        <w:gridCol w:w="921"/>
        <w:gridCol w:w="921"/>
        <w:gridCol w:w="487"/>
        <w:gridCol w:w="754"/>
        <w:gridCol w:w="1230"/>
        <w:gridCol w:w="1035"/>
        <w:gridCol w:w="143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82" w:type="dxa"/>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防治分区</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措施类型</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措施名称</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单位</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工程量</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备注</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单价（元）</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合计（万元）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28" w:type="dxa"/>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光伏发电区</w:t>
            </w:r>
          </w:p>
        </w:tc>
        <w:tc>
          <w:tcPr>
            <w:tcW w:w="1154" w:type="dxa"/>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光伏阵列区</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工程措施</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土地平整</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hm²</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6.87</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default" w:ascii="Times New Roman" w:hAnsi="Times New Roman" w:eastAsia="仿宋_GB2312" w:cs="Times New Roman"/>
                <w:snapToGrid w:val="0"/>
                <w:color w:val="auto"/>
                <w:kern w:val="24"/>
                <w:sz w:val="21"/>
                <w:szCs w:val="21"/>
                <w:highlight w:val="none"/>
              </w:rPr>
              <w:t>1095</w:t>
            </w:r>
            <w:r>
              <w:rPr>
                <w:rFonts w:hint="eastAsia" w:eastAsia="仿宋_GB2312" w:cs="Times New Roman"/>
                <w:snapToGrid w:val="0"/>
                <w:color w:val="auto"/>
                <w:kern w:val="24"/>
                <w:sz w:val="21"/>
                <w:szCs w:val="21"/>
                <w:highlight w:val="none"/>
                <w:lang w:val="en-US" w:eastAsia="zh-CN"/>
              </w:rPr>
              <w:t>1.00</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default" w:eastAsia="仿宋_GB2312" w:cs="Times New Roman"/>
                <w:snapToGrid w:val="0"/>
                <w:color w:val="auto"/>
                <w:kern w:val="24"/>
                <w:sz w:val="21"/>
                <w:szCs w:val="21"/>
                <w:highlight w:val="none"/>
                <w:lang w:val="en-US" w:eastAsia="zh-CN"/>
              </w:rPr>
              <w:t xml:space="preserve">75233.37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28" w:type="dxa"/>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154" w:type="dxa"/>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临时措施</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洒水</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m</w:t>
            </w:r>
            <w:r>
              <w:rPr>
                <w:rFonts w:hint="eastAsia" w:eastAsia="仿宋_GB2312" w:cs="Times New Roman"/>
                <w:snapToGrid w:val="0"/>
                <w:color w:val="auto"/>
                <w:kern w:val="24"/>
                <w:sz w:val="21"/>
                <w:szCs w:val="21"/>
                <w:highlight w:val="none"/>
                <w:vertAlign w:val="superscript"/>
                <w:lang w:val="en-US" w:eastAsia="zh-CN"/>
              </w:rPr>
              <w:t>3</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2120.00</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15.21</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default" w:eastAsia="仿宋_GB2312" w:cs="Times New Roman"/>
                <w:snapToGrid w:val="0"/>
                <w:color w:val="auto"/>
                <w:kern w:val="24"/>
                <w:sz w:val="21"/>
                <w:szCs w:val="21"/>
                <w:highlight w:val="none"/>
                <w:lang w:val="en-US" w:eastAsia="zh-CN"/>
              </w:rPr>
              <w:t xml:space="preserve">32245.20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28" w:type="dxa"/>
            <w:vMerge w:val="continue"/>
            <w:tcBorders>
              <w:tl2br w:val="nil"/>
              <w:tr2bl w:val="nil"/>
            </w:tcBorders>
            <w:shd w:val="clear" w:color="auto" w:fill="auto"/>
            <w:tcMar>
              <w:top w:w="15" w:type="dxa"/>
              <w:left w:w="15" w:type="dxa"/>
              <w:right w:w="15" w:type="dxa"/>
            </w:tcMar>
            <w:vAlign w:val="center"/>
          </w:tcPr>
          <w:p>
            <w:pPr>
              <w:spacing w:line="240" w:lineRule="auto"/>
              <w:ind w:firstLine="420"/>
              <w:jc w:val="center"/>
              <w:rPr>
                <w:rFonts w:hint="default" w:ascii="Times New Roman" w:hAnsi="Times New Roman" w:eastAsia="仿宋_GB2312" w:cs="Times New Roman"/>
                <w:snapToGrid w:val="0"/>
                <w:color w:val="auto"/>
                <w:kern w:val="24"/>
                <w:sz w:val="21"/>
                <w:szCs w:val="21"/>
                <w:highlight w:val="none"/>
              </w:rPr>
            </w:pPr>
          </w:p>
        </w:tc>
        <w:tc>
          <w:tcPr>
            <w:tcW w:w="1154" w:type="dxa"/>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集电线路区</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工程措施</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土地平整</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hm²</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2.76</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1095</w:t>
            </w:r>
            <w:r>
              <w:rPr>
                <w:rFonts w:hint="eastAsia" w:eastAsia="仿宋_GB2312" w:cs="Times New Roman"/>
                <w:snapToGrid w:val="0"/>
                <w:color w:val="auto"/>
                <w:kern w:val="24"/>
                <w:sz w:val="21"/>
                <w:szCs w:val="21"/>
                <w:highlight w:val="none"/>
                <w:lang w:val="en-US" w:eastAsia="zh-CN"/>
              </w:rPr>
              <w:t>1.00</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default" w:eastAsia="仿宋_GB2312" w:cs="Times New Roman"/>
                <w:snapToGrid w:val="0"/>
                <w:color w:val="auto"/>
                <w:kern w:val="24"/>
                <w:sz w:val="21"/>
                <w:szCs w:val="21"/>
                <w:highlight w:val="none"/>
                <w:lang w:val="en-US" w:eastAsia="zh-CN"/>
              </w:rPr>
              <w:t xml:space="preserve">30224.76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28" w:type="dxa"/>
            <w:vMerge w:val="continue"/>
            <w:tcBorders>
              <w:tl2br w:val="nil"/>
              <w:tr2bl w:val="nil"/>
            </w:tcBorders>
            <w:shd w:val="clear" w:color="auto" w:fill="auto"/>
            <w:tcMar>
              <w:top w:w="15" w:type="dxa"/>
              <w:left w:w="15" w:type="dxa"/>
              <w:right w:w="15" w:type="dxa"/>
            </w:tcMar>
            <w:vAlign w:val="center"/>
          </w:tcPr>
          <w:p>
            <w:pPr>
              <w:spacing w:line="240" w:lineRule="auto"/>
              <w:ind w:firstLine="420"/>
              <w:jc w:val="center"/>
              <w:rPr>
                <w:rFonts w:hint="default" w:ascii="Times New Roman" w:hAnsi="Times New Roman" w:eastAsia="仿宋_GB2312" w:cs="Times New Roman"/>
                <w:snapToGrid w:val="0"/>
                <w:color w:val="auto"/>
                <w:kern w:val="24"/>
                <w:sz w:val="21"/>
                <w:szCs w:val="21"/>
                <w:highlight w:val="none"/>
              </w:rPr>
            </w:pPr>
          </w:p>
        </w:tc>
        <w:tc>
          <w:tcPr>
            <w:tcW w:w="1154" w:type="dxa"/>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临时措施</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防尘网苫盖</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m</w:t>
            </w:r>
            <w:r>
              <w:rPr>
                <w:rFonts w:hint="eastAsia" w:eastAsia="仿宋_GB2312" w:cs="Times New Roman"/>
                <w:snapToGrid w:val="0"/>
                <w:color w:val="auto"/>
                <w:kern w:val="24"/>
                <w:sz w:val="21"/>
                <w:szCs w:val="21"/>
                <w:highlight w:val="none"/>
                <w:vertAlign w:val="superscript"/>
                <w:lang w:val="en-US" w:eastAsia="zh-CN"/>
              </w:rPr>
              <w:t>2</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3600.00</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9.55</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default" w:eastAsia="仿宋_GB2312" w:cs="Times New Roman"/>
                <w:snapToGrid w:val="0"/>
                <w:color w:val="auto"/>
                <w:kern w:val="24"/>
                <w:sz w:val="21"/>
                <w:szCs w:val="21"/>
                <w:highlight w:val="none"/>
                <w:lang w:val="en-US" w:eastAsia="zh-CN"/>
              </w:rPr>
              <w:t xml:space="preserve">34380.00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28" w:type="dxa"/>
            <w:vMerge w:val="restart"/>
            <w:tcBorders>
              <w:tl2br w:val="nil"/>
              <w:tr2bl w:val="nil"/>
            </w:tcBorders>
            <w:shd w:val="clear" w:color="auto" w:fill="auto"/>
            <w:tcMar>
              <w:top w:w="15" w:type="dxa"/>
              <w:left w:w="15" w:type="dxa"/>
              <w:right w:w="15" w:type="dxa"/>
            </w:tcMar>
            <w:vAlign w:val="center"/>
          </w:tcPr>
          <w:p>
            <w:pPr>
              <w:spacing w:line="240" w:lineRule="auto"/>
              <w:ind w:left="0" w:leftChars="0" w:firstLine="0" w:firstLineChars="0"/>
              <w:jc w:val="center"/>
              <w:rPr>
                <w:rFonts w:hint="eastAsia" w:ascii="Times New Roman" w:hAnsi="Times New Roman" w:eastAsia="仿宋_GB2312" w:cs="Times New Roman"/>
                <w:snapToGrid w:val="0"/>
                <w:color w:val="auto"/>
                <w:kern w:val="24"/>
                <w:sz w:val="21"/>
                <w:szCs w:val="21"/>
                <w:highlight w:val="none"/>
                <w:lang w:eastAsia="zh-CN"/>
              </w:rPr>
            </w:pPr>
            <w:r>
              <w:rPr>
                <w:rFonts w:hint="eastAsia" w:ascii="Times New Roman" w:hAnsi="Times New Roman" w:eastAsia="仿宋_GB2312" w:cs="Times New Roman"/>
                <w:snapToGrid w:val="0"/>
                <w:color w:val="auto"/>
                <w:kern w:val="24"/>
                <w:sz w:val="21"/>
                <w:szCs w:val="21"/>
                <w:highlight w:val="none"/>
                <w:lang w:eastAsia="zh-CN"/>
              </w:rPr>
              <w:t>道路工程区</w:t>
            </w:r>
          </w:p>
        </w:tc>
        <w:tc>
          <w:tcPr>
            <w:tcW w:w="11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进场道路</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eastAsia="zh-CN"/>
              </w:rPr>
              <w:t>临时措施</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洒水</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m</w:t>
            </w:r>
            <w:r>
              <w:rPr>
                <w:rFonts w:hint="eastAsia" w:eastAsia="仿宋_GB2312" w:cs="Times New Roman"/>
                <w:snapToGrid w:val="0"/>
                <w:color w:val="auto"/>
                <w:kern w:val="24"/>
                <w:sz w:val="21"/>
                <w:szCs w:val="21"/>
                <w:highlight w:val="none"/>
                <w:vertAlign w:val="superscript"/>
                <w:lang w:val="en-US" w:eastAsia="zh-CN"/>
              </w:rPr>
              <w:t>3</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18.00</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15.21</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default" w:eastAsia="仿宋_GB2312" w:cs="Times New Roman"/>
                <w:snapToGrid w:val="0"/>
                <w:color w:val="auto"/>
                <w:kern w:val="24"/>
                <w:sz w:val="21"/>
                <w:szCs w:val="21"/>
                <w:highlight w:val="none"/>
                <w:lang w:val="en-US" w:eastAsia="zh-CN"/>
              </w:rPr>
              <w:t xml:space="preserve">273.78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28" w:type="dxa"/>
            <w:vMerge w:val="continue"/>
            <w:tcBorders>
              <w:tl2br w:val="nil"/>
              <w:tr2bl w:val="nil"/>
            </w:tcBorders>
            <w:shd w:val="clear" w:color="auto" w:fill="auto"/>
            <w:tcMar>
              <w:top w:w="15" w:type="dxa"/>
              <w:left w:w="15" w:type="dxa"/>
              <w:right w:w="15" w:type="dxa"/>
            </w:tcMar>
            <w:vAlign w:val="center"/>
          </w:tcPr>
          <w:p>
            <w:pPr>
              <w:spacing w:line="240" w:lineRule="auto"/>
              <w:ind w:firstLine="420"/>
              <w:jc w:val="center"/>
              <w:rPr>
                <w:rFonts w:hint="default" w:ascii="Times New Roman" w:hAnsi="Times New Roman" w:eastAsia="仿宋_GB2312" w:cs="Times New Roman"/>
                <w:snapToGrid w:val="0"/>
                <w:color w:val="auto"/>
                <w:kern w:val="24"/>
                <w:sz w:val="21"/>
                <w:szCs w:val="21"/>
                <w:highlight w:val="none"/>
              </w:rPr>
            </w:pPr>
          </w:p>
        </w:tc>
        <w:tc>
          <w:tcPr>
            <w:tcW w:w="11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场内道路</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eastAsia="zh-CN"/>
              </w:rPr>
              <w:t>临时措施</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洒水</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m</w:t>
            </w:r>
            <w:r>
              <w:rPr>
                <w:rFonts w:hint="eastAsia" w:eastAsia="仿宋_GB2312" w:cs="Times New Roman"/>
                <w:snapToGrid w:val="0"/>
                <w:color w:val="auto"/>
                <w:kern w:val="24"/>
                <w:sz w:val="21"/>
                <w:szCs w:val="21"/>
                <w:highlight w:val="none"/>
                <w:vertAlign w:val="superscript"/>
                <w:lang w:val="en-US" w:eastAsia="zh-CN"/>
              </w:rPr>
              <w:t>3</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6912.00</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15.21</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default" w:eastAsia="仿宋_GB2312" w:cs="Times New Roman"/>
                <w:snapToGrid w:val="0"/>
                <w:color w:val="auto"/>
                <w:kern w:val="24"/>
                <w:sz w:val="21"/>
                <w:szCs w:val="21"/>
                <w:highlight w:val="none"/>
                <w:lang w:val="en-US" w:eastAsia="zh-CN"/>
              </w:rPr>
              <w:t xml:space="preserve">105131.52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82" w:type="dxa"/>
            <w:gridSpan w:val="2"/>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eastAsia="zh-CN"/>
              </w:rPr>
              <w:t>运行管理</w:t>
            </w:r>
            <w:r>
              <w:rPr>
                <w:rFonts w:hint="default" w:ascii="Times New Roman" w:hAnsi="Times New Roman" w:eastAsia="仿宋_GB2312" w:cs="Times New Roman"/>
                <w:snapToGrid w:val="0"/>
                <w:color w:val="auto"/>
                <w:kern w:val="24"/>
                <w:sz w:val="21"/>
                <w:szCs w:val="21"/>
                <w:highlight w:val="none"/>
              </w:rPr>
              <w:t>区</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工程措施</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土地平整</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hm²</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0.41</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1095</w:t>
            </w:r>
            <w:r>
              <w:rPr>
                <w:rFonts w:hint="eastAsia" w:eastAsia="仿宋_GB2312" w:cs="Times New Roman"/>
                <w:snapToGrid w:val="0"/>
                <w:color w:val="auto"/>
                <w:kern w:val="24"/>
                <w:sz w:val="21"/>
                <w:szCs w:val="21"/>
                <w:highlight w:val="none"/>
                <w:lang w:val="en-US" w:eastAsia="zh-CN"/>
              </w:rPr>
              <w:t>1.00</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default" w:eastAsia="仿宋_GB2312" w:cs="Times New Roman"/>
                <w:snapToGrid w:val="0"/>
                <w:color w:val="auto"/>
                <w:kern w:val="24"/>
                <w:sz w:val="21"/>
                <w:szCs w:val="21"/>
                <w:highlight w:val="none"/>
                <w:lang w:val="en-US" w:eastAsia="zh-CN"/>
              </w:rPr>
              <w:t xml:space="preserve">4489.91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82" w:type="dxa"/>
            <w:gridSpan w:val="2"/>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临时措施</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防尘网苫盖</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m</w:t>
            </w:r>
            <w:r>
              <w:rPr>
                <w:rFonts w:hint="eastAsia" w:eastAsia="仿宋_GB2312" w:cs="Times New Roman"/>
                <w:snapToGrid w:val="0"/>
                <w:color w:val="auto"/>
                <w:kern w:val="24"/>
                <w:sz w:val="21"/>
                <w:szCs w:val="21"/>
                <w:highlight w:val="none"/>
                <w:vertAlign w:val="superscript"/>
                <w:lang w:val="en-US" w:eastAsia="zh-CN"/>
              </w:rPr>
              <w:t>2</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1000.00</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9.55</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default" w:eastAsia="仿宋_GB2312" w:cs="Times New Roman"/>
                <w:snapToGrid w:val="0"/>
                <w:color w:val="auto"/>
                <w:kern w:val="24"/>
                <w:sz w:val="21"/>
                <w:szCs w:val="21"/>
                <w:highlight w:val="none"/>
                <w:lang w:val="en-US" w:eastAsia="zh-CN"/>
              </w:rPr>
              <w:t xml:space="preserve">9550.00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82" w:type="dxa"/>
            <w:gridSpan w:val="2"/>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施工生产生活区</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工程措施</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土地平整</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hm²</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0.46</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default" w:ascii="Times New Roman" w:hAnsi="Times New Roman" w:eastAsia="仿宋_GB2312" w:cs="Times New Roman"/>
                <w:snapToGrid w:val="0"/>
                <w:color w:val="auto"/>
                <w:kern w:val="24"/>
                <w:sz w:val="21"/>
                <w:szCs w:val="21"/>
                <w:highlight w:val="none"/>
              </w:rPr>
              <w:t>1095</w:t>
            </w:r>
            <w:r>
              <w:rPr>
                <w:rFonts w:hint="eastAsia" w:eastAsia="仿宋_GB2312" w:cs="Times New Roman"/>
                <w:snapToGrid w:val="0"/>
                <w:color w:val="auto"/>
                <w:kern w:val="24"/>
                <w:sz w:val="21"/>
                <w:szCs w:val="21"/>
                <w:highlight w:val="none"/>
                <w:lang w:val="en-US" w:eastAsia="zh-CN"/>
              </w:rPr>
              <w:t>1.00</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default" w:eastAsia="仿宋_GB2312" w:cs="Times New Roman"/>
                <w:snapToGrid w:val="0"/>
                <w:color w:val="auto"/>
                <w:kern w:val="24"/>
                <w:sz w:val="21"/>
                <w:szCs w:val="21"/>
                <w:highlight w:val="none"/>
                <w:lang w:val="en-US" w:eastAsia="zh-CN"/>
              </w:rPr>
              <w:t xml:space="preserve">5037.46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82" w:type="dxa"/>
            <w:gridSpan w:val="2"/>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临时措施</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彩钢板围栏</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m</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200.00</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62.03</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default" w:eastAsia="仿宋_GB2312" w:cs="Times New Roman"/>
                <w:snapToGrid w:val="0"/>
                <w:color w:val="auto"/>
                <w:kern w:val="24"/>
                <w:sz w:val="21"/>
                <w:szCs w:val="21"/>
                <w:highlight w:val="none"/>
                <w:lang w:val="en-US" w:eastAsia="zh-CN"/>
              </w:rPr>
              <w:t xml:space="preserve">12406.00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11" w:type="dxa"/>
            <w:gridSpan w:val="5"/>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合计</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308972.00</w:t>
            </w:r>
          </w:p>
        </w:tc>
      </w:tr>
    </w:tbl>
    <w:p>
      <w:pPr>
        <w:pStyle w:val="56"/>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注：本项目主体已列各措施单价均参考主体单价。</w:t>
      </w:r>
    </w:p>
    <w:p>
      <w:pPr>
        <w:pStyle w:val="56"/>
        <w:ind w:firstLine="0" w:firstLineChars="0"/>
        <w:rPr>
          <w:rFonts w:hint="default" w:ascii="Times New Roman" w:hAnsi="Times New Roman" w:cs="Times New Roman"/>
          <w:color w:val="auto"/>
          <w:sz w:val="21"/>
          <w:szCs w:val="21"/>
          <w:highlight w:val="none"/>
        </w:rPr>
      </w:pPr>
    </w:p>
    <w:p>
      <w:pPr>
        <w:pStyle w:val="56"/>
        <w:ind w:firstLine="0" w:firstLineChars="0"/>
        <w:rPr>
          <w:rFonts w:hint="default" w:ascii="Times New Roman" w:hAnsi="Times New Roman" w:cs="Times New Roman"/>
          <w:color w:val="auto"/>
          <w:sz w:val="21"/>
          <w:szCs w:val="21"/>
          <w:highlight w:val="none"/>
        </w:rPr>
      </w:pPr>
    </w:p>
    <w:p>
      <w:pPr>
        <w:pStyle w:val="56"/>
        <w:ind w:firstLine="0" w:firstLineChars="0"/>
        <w:rPr>
          <w:rFonts w:hint="default" w:ascii="Times New Roman" w:hAnsi="Times New Roman" w:cs="Times New Roman"/>
          <w:color w:val="auto"/>
          <w:sz w:val="21"/>
          <w:szCs w:val="21"/>
          <w:highlight w:val="none"/>
        </w:rPr>
      </w:pP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表3.3-2    主体已列及方案补充新增措施一览表</w:t>
      </w:r>
    </w:p>
    <w:tbl>
      <w:tblPr>
        <w:tblStyle w:val="27"/>
        <w:tblW w:w="9179"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2959"/>
        <w:gridCol w:w="1878"/>
        <w:gridCol w:w="2186"/>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6" w:type="dxa"/>
            <w:vMerge w:val="restart"/>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防治分区</w:t>
            </w:r>
          </w:p>
        </w:tc>
        <w:tc>
          <w:tcPr>
            <w:tcW w:w="4837" w:type="dxa"/>
            <w:gridSpan w:val="2"/>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主体已有，已实施</w:t>
            </w:r>
          </w:p>
        </w:tc>
        <w:tc>
          <w:tcPr>
            <w:tcW w:w="2186" w:type="dxa"/>
            <w:vMerge w:val="restart"/>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方案新增，未实施</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6" w:type="dxa"/>
            <w:vMerge w:val="continue"/>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p>
        </w:tc>
        <w:tc>
          <w:tcPr>
            <w:tcW w:w="2959" w:type="dxa"/>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界定为水保措施</w:t>
            </w:r>
          </w:p>
        </w:tc>
        <w:tc>
          <w:tcPr>
            <w:tcW w:w="1878" w:type="dxa"/>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不界定水保措施</w:t>
            </w:r>
          </w:p>
        </w:tc>
        <w:tc>
          <w:tcPr>
            <w:tcW w:w="2186" w:type="dxa"/>
            <w:vMerge w:val="continue"/>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6" w:type="dxa"/>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default" w:eastAsia="仿宋_GB2312" w:cs="Times New Roman"/>
                <w:snapToGrid w:val="0"/>
                <w:color w:val="auto"/>
                <w:kern w:val="24"/>
                <w:sz w:val="21"/>
                <w:szCs w:val="21"/>
                <w:highlight w:val="none"/>
                <w:lang w:eastAsia="zh-CN"/>
              </w:rPr>
              <w:t>光伏发电区</w:t>
            </w:r>
          </w:p>
        </w:tc>
        <w:tc>
          <w:tcPr>
            <w:tcW w:w="2959" w:type="dxa"/>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土地平整、防尘网苫盖、洒水</w:t>
            </w:r>
          </w:p>
        </w:tc>
        <w:tc>
          <w:tcPr>
            <w:tcW w:w="1878" w:type="dxa"/>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p>
        </w:tc>
        <w:tc>
          <w:tcPr>
            <w:tcW w:w="2186" w:type="dxa"/>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钢丝网围栏</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6" w:type="dxa"/>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道路工程区</w:t>
            </w:r>
          </w:p>
        </w:tc>
        <w:tc>
          <w:tcPr>
            <w:tcW w:w="2959" w:type="dxa"/>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洒水</w:t>
            </w:r>
          </w:p>
        </w:tc>
        <w:tc>
          <w:tcPr>
            <w:tcW w:w="1878" w:type="dxa"/>
            <w:vAlign w:val="center"/>
          </w:tcPr>
          <w:p>
            <w:pPr>
              <w:widowControl/>
              <w:spacing w:line="24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砂砾石路面、混凝土路面</w:t>
            </w:r>
          </w:p>
        </w:tc>
        <w:tc>
          <w:tcPr>
            <w:tcW w:w="2186" w:type="dxa"/>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无</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6" w:type="dxa"/>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运行管理区</w:t>
            </w:r>
          </w:p>
        </w:tc>
        <w:tc>
          <w:tcPr>
            <w:tcW w:w="2959" w:type="dxa"/>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土地平整、防尘网苫盖</w:t>
            </w:r>
          </w:p>
        </w:tc>
        <w:tc>
          <w:tcPr>
            <w:tcW w:w="1878" w:type="dxa"/>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场地硬化</w:t>
            </w:r>
          </w:p>
        </w:tc>
        <w:tc>
          <w:tcPr>
            <w:tcW w:w="2186" w:type="dxa"/>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无</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6" w:type="dxa"/>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施工生产生活区</w:t>
            </w:r>
          </w:p>
        </w:tc>
        <w:tc>
          <w:tcPr>
            <w:tcW w:w="2959" w:type="dxa"/>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土地平整、彩钢板围栏</w:t>
            </w:r>
          </w:p>
        </w:tc>
        <w:tc>
          <w:tcPr>
            <w:tcW w:w="1878" w:type="dxa"/>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p>
        </w:tc>
        <w:tc>
          <w:tcPr>
            <w:tcW w:w="2186" w:type="dxa"/>
            <w:vAlign w:val="center"/>
          </w:tcPr>
          <w:p>
            <w:pPr>
              <w:widowControl/>
              <w:spacing w:line="36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无</w:t>
            </w:r>
          </w:p>
        </w:tc>
      </w:tr>
    </w:tbl>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sectPr>
          <w:headerReference r:id="rId21"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p>
      <w:pPr>
        <w:pStyle w:val="65"/>
        <w:rPr>
          <w:rFonts w:hint="default" w:ascii="Times New Roman" w:hAnsi="Times New Roman" w:cs="Times New Roman"/>
          <w:color w:val="auto"/>
          <w:highlight w:val="none"/>
        </w:rPr>
      </w:pPr>
      <w:bookmarkStart w:id="97" w:name="_Toc4538"/>
      <w:bookmarkStart w:id="98" w:name="_Toc9082"/>
      <w:r>
        <w:rPr>
          <w:rFonts w:hint="default" w:ascii="Times New Roman" w:hAnsi="Times New Roman" w:cs="Times New Roman"/>
          <w:color w:val="auto"/>
          <w:highlight w:val="none"/>
        </w:rPr>
        <w:t>4水土流失</w:t>
      </w:r>
      <w:bookmarkEnd w:id="97"/>
      <w:r>
        <w:rPr>
          <w:rFonts w:hint="default" w:ascii="Times New Roman" w:hAnsi="Times New Roman" w:cs="Times New Roman"/>
          <w:color w:val="auto"/>
          <w:highlight w:val="none"/>
        </w:rPr>
        <w:t>分析与预测</w:t>
      </w:r>
      <w:bookmarkEnd w:id="98"/>
    </w:p>
    <w:p>
      <w:pPr>
        <w:pStyle w:val="66"/>
        <w:ind w:firstLine="148"/>
        <w:rPr>
          <w:rFonts w:hint="default" w:ascii="Times New Roman" w:hAnsi="Times New Roman" w:cs="Times New Roman"/>
          <w:color w:val="auto"/>
          <w:highlight w:val="none"/>
        </w:rPr>
      </w:pPr>
      <w:bookmarkStart w:id="99" w:name="_Toc30011"/>
      <w:bookmarkStart w:id="100" w:name="_Toc27056"/>
      <w:r>
        <w:rPr>
          <w:rFonts w:hint="default" w:ascii="Times New Roman" w:hAnsi="Times New Roman" w:cs="Times New Roman"/>
          <w:color w:val="auto"/>
          <w:highlight w:val="none"/>
        </w:rPr>
        <w:t>4.1</w:t>
      </w:r>
      <w:bookmarkStart w:id="101" w:name="_Toc488658801"/>
      <w:bookmarkEnd w:id="101"/>
      <w:bookmarkStart w:id="102" w:name="_Toc489192814"/>
      <w:bookmarkEnd w:id="102"/>
      <w:r>
        <w:rPr>
          <w:rFonts w:hint="default" w:ascii="Times New Roman" w:hAnsi="Times New Roman" w:cs="Times New Roman"/>
          <w:color w:val="auto"/>
          <w:highlight w:val="none"/>
        </w:rPr>
        <w:t>水土流失现状</w:t>
      </w:r>
      <w:bookmarkEnd w:id="99"/>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4.1.1 项目区水土流失现状</w:t>
      </w:r>
    </w:p>
    <w:p>
      <w:pPr>
        <w:topLinePunct w:val="0"/>
        <w:spacing w:line="560" w:lineRule="exact"/>
        <w:ind w:firstLine="480"/>
        <w:rPr>
          <w:rFonts w:hint="eastAsia" w:ascii="仿宋_GB2312" w:hAnsi="仿宋_GB2312" w:eastAsia="仿宋_GB2312" w:cs="仿宋_GB2312"/>
          <w:color w:val="000000"/>
        </w:rPr>
      </w:pPr>
      <w:r>
        <w:rPr>
          <w:rFonts w:hint="eastAsia" w:ascii="仿宋_GB2312" w:hAnsi="仿宋_GB2312" w:eastAsia="仿宋_GB2312" w:cs="仿宋_GB2312"/>
          <w:color w:val="000000"/>
        </w:rPr>
        <w:t>根据《新疆维吾尔自治区2018年度水土流失动态监测公报》数据成果，项目所在区</w:t>
      </w:r>
      <w:r>
        <w:rPr>
          <w:rFonts w:hint="eastAsia" w:ascii="仿宋_GB2312" w:hAnsi="仿宋_GB2312" w:eastAsia="仿宋_GB2312" w:cs="仿宋_GB2312"/>
          <w:color w:val="000000"/>
          <w:lang w:eastAsia="zh-CN"/>
        </w:rPr>
        <w:t>域哈密市（伊州区）</w:t>
      </w:r>
      <w:r>
        <w:rPr>
          <w:rFonts w:hint="eastAsia" w:ascii="仿宋_GB2312" w:hAnsi="仿宋_GB2312" w:eastAsia="仿宋_GB2312" w:cs="仿宋_GB2312"/>
          <w:color w:val="000000"/>
        </w:rPr>
        <w:t>水土流失总面积</w:t>
      </w:r>
      <w:r>
        <w:rPr>
          <w:rFonts w:hint="eastAsia" w:ascii="仿宋_GB2312" w:hAnsi="仿宋_GB2312" w:eastAsia="仿宋_GB2312" w:cs="仿宋_GB2312"/>
          <w:color w:val="000000"/>
          <w:lang w:val="en-US" w:eastAsia="zh-CN"/>
        </w:rPr>
        <w:t>50864.13</w:t>
      </w:r>
      <w:r>
        <w:rPr>
          <w:rFonts w:hint="eastAsia" w:ascii="仿宋_GB2312" w:hAnsi="仿宋_GB2312" w:eastAsia="仿宋_GB2312" w:cs="仿宋_GB2312"/>
          <w:color w:val="000000"/>
        </w:rPr>
        <w:t>km</w:t>
      </w:r>
      <w:r>
        <w:rPr>
          <w:rFonts w:hint="eastAsia" w:ascii="仿宋_GB2312" w:hAnsi="仿宋_GB2312" w:eastAsia="仿宋_GB2312" w:cs="仿宋_GB2312"/>
          <w:color w:val="000000"/>
          <w:vertAlign w:val="superscript"/>
        </w:rPr>
        <w:t>2</w:t>
      </w:r>
      <w:r>
        <w:rPr>
          <w:rFonts w:hint="eastAsia" w:ascii="仿宋_GB2312" w:hAnsi="仿宋_GB2312" w:eastAsia="仿宋_GB2312" w:cs="仿宋_GB2312"/>
          <w:color w:val="000000"/>
        </w:rPr>
        <w:t>，占全县国土面积的</w:t>
      </w:r>
      <w:r>
        <w:rPr>
          <w:rFonts w:hint="eastAsia" w:ascii="仿宋_GB2312" w:hAnsi="仿宋_GB2312" w:eastAsia="仿宋_GB2312" w:cs="仿宋_GB2312"/>
          <w:color w:val="000000"/>
          <w:lang w:val="en-US" w:eastAsia="zh-CN"/>
        </w:rPr>
        <w:t>62.19</w:t>
      </w:r>
      <w:r>
        <w:rPr>
          <w:rFonts w:hint="eastAsia" w:ascii="仿宋_GB2312" w:hAnsi="仿宋_GB2312" w:eastAsia="仿宋_GB2312" w:cs="仿宋_GB2312"/>
          <w:color w:val="000000"/>
        </w:rPr>
        <w:t>%；其中水力侵蚀面积</w:t>
      </w:r>
      <w:r>
        <w:rPr>
          <w:rFonts w:hint="eastAsia" w:ascii="仿宋_GB2312" w:hAnsi="仿宋_GB2312" w:eastAsia="仿宋_GB2312" w:cs="仿宋_GB2312"/>
          <w:color w:val="000000"/>
          <w:lang w:val="en-US" w:eastAsia="zh-CN"/>
        </w:rPr>
        <w:t>712.23</w:t>
      </w:r>
      <w:r>
        <w:rPr>
          <w:rFonts w:hint="eastAsia" w:ascii="仿宋_GB2312" w:hAnsi="仿宋_GB2312" w:eastAsia="仿宋_GB2312" w:cs="仿宋_GB2312"/>
          <w:color w:val="000000"/>
        </w:rPr>
        <w:t>km</w:t>
      </w:r>
      <w:r>
        <w:rPr>
          <w:rFonts w:hint="eastAsia" w:ascii="仿宋_GB2312" w:hAnsi="仿宋_GB2312" w:eastAsia="仿宋_GB2312" w:cs="仿宋_GB2312"/>
          <w:color w:val="000000"/>
          <w:vertAlign w:val="superscript"/>
        </w:rPr>
        <w:t>2</w:t>
      </w:r>
      <w:r>
        <w:rPr>
          <w:rFonts w:hint="eastAsia" w:ascii="仿宋_GB2312" w:hAnsi="仿宋_GB2312" w:eastAsia="仿宋_GB2312" w:cs="仿宋_GB2312"/>
          <w:color w:val="000000"/>
        </w:rPr>
        <w:t>，占</w:t>
      </w:r>
      <w:r>
        <w:rPr>
          <w:rFonts w:hint="eastAsia" w:ascii="仿宋_GB2312" w:hAnsi="仿宋_GB2312" w:eastAsia="仿宋_GB2312" w:cs="仿宋_GB2312"/>
          <w:color w:val="000000"/>
          <w:lang w:eastAsia="zh-CN"/>
        </w:rPr>
        <w:t>土壤侵蚀</w:t>
      </w:r>
      <w:r>
        <w:rPr>
          <w:rFonts w:hint="eastAsia" w:ascii="仿宋_GB2312" w:hAnsi="仿宋_GB2312" w:eastAsia="仿宋_GB2312" w:cs="仿宋_GB2312"/>
          <w:color w:val="000000"/>
        </w:rPr>
        <w:t>总面积的</w:t>
      </w:r>
      <w:r>
        <w:rPr>
          <w:rFonts w:hint="eastAsia" w:ascii="仿宋_GB2312" w:hAnsi="仿宋_GB2312" w:eastAsia="仿宋_GB2312" w:cs="仿宋_GB2312"/>
          <w:color w:val="000000"/>
          <w:lang w:val="en-US" w:eastAsia="zh-CN"/>
        </w:rPr>
        <w:t>1.40</w:t>
      </w:r>
      <w:r>
        <w:rPr>
          <w:rFonts w:hint="eastAsia" w:ascii="仿宋_GB2312" w:hAnsi="仿宋_GB2312" w:eastAsia="仿宋_GB2312" w:cs="仿宋_GB2312"/>
          <w:color w:val="000000"/>
        </w:rPr>
        <w:t>%；风力侵蚀面积</w:t>
      </w:r>
      <w:r>
        <w:rPr>
          <w:rFonts w:hint="eastAsia" w:ascii="仿宋_GB2312" w:hAnsi="仿宋_GB2312" w:eastAsia="仿宋_GB2312" w:cs="仿宋_GB2312"/>
          <w:color w:val="000000"/>
          <w:lang w:val="en-US" w:eastAsia="zh-CN"/>
        </w:rPr>
        <w:t>50151.9</w:t>
      </w:r>
      <w:r>
        <w:rPr>
          <w:rFonts w:hint="eastAsia" w:ascii="仿宋_GB2312" w:hAnsi="仿宋_GB2312" w:eastAsia="仿宋_GB2312" w:cs="仿宋_GB2312"/>
          <w:color w:val="000000"/>
        </w:rPr>
        <w:t>km</w:t>
      </w:r>
      <w:r>
        <w:rPr>
          <w:rFonts w:hint="eastAsia" w:ascii="仿宋_GB2312" w:hAnsi="仿宋_GB2312" w:eastAsia="仿宋_GB2312" w:cs="仿宋_GB2312"/>
          <w:color w:val="000000"/>
          <w:vertAlign w:val="superscript"/>
        </w:rPr>
        <w:t>2</w:t>
      </w:r>
      <w:r>
        <w:rPr>
          <w:rFonts w:hint="eastAsia" w:ascii="仿宋_GB2312" w:hAnsi="仿宋_GB2312" w:eastAsia="仿宋_GB2312" w:cs="仿宋_GB2312"/>
          <w:color w:val="000000"/>
        </w:rPr>
        <w:t>，占</w:t>
      </w:r>
      <w:r>
        <w:rPr>
          <w:rFonts w:hint="eastAsia" w:ascii="仿宋_GB2312" w:hAnsi="仿宋_GB2312" w:eastAsia="仿宋_GB2312" w:cs="仿宋_GB2312"/>
          <w:color w:val="000000"/>
          <w:lang w:eastAsia="zh-CN"/>
        </w:rPr>
        <w:t>土壤侵蚀</w:t>
      </w:r>
      <w:r>
        <w:rPr>
          <w:rFonts w:hint="eastAsia" w:ascii="仿宋_GB2312" w:hAnsi="仿宋_GB2312" w:eastAsia="仿宋_GB2312" w:cs="仿宋_GB2312"/>
          <w:color w:val="000000"/>
        </w:rPr>
        <w:t>总面积的9</w:t>
      </w:r>
      <w:r>
        <w:rPr>
          <w:rFonts w:hint="eastAsia" w:ascii="仿宋_GB2312" w:hAnsi="仿宋_GB2312" w:eastAsia="仿宋_GB2312" w:cs="仿宋_GB2312"/>
          <w:color w:val="000000"/>
          <w:lang w:val="en-US" w:eastAsia="zh-CN"/>
        </w:rPr>
        <w:t>8.60</w:t>
      </w:r>
      <w:r>
        <w:rPr>
          <w:rFonts w:hint="eastAsia" w:ascii="仿宋_GB2312" w:hAnsi="仿宋_GB2312" w:eastAsia="仿宋_GB2312" w:cs="仿宋_GB2312"/>
          <w:color w:val="000000"/>
        </w:rPr>
        <w:t>%；冻融轻度以上侵蚀面积286.59km</w:t>
      </w:r>
      <w:r>
        <w:rPr>
          <w:rFonts w:hint="eastAsia" w:ascii="仿宋_GB2312" w:hAnsi="仿宋_GB2312" w:eastAsia="仿宋_GB2312" w:cs="仿宋_GB2312"/>
          <w:color w:val="000000"/>
          <w:vertAlign w:val="superscript"/>
        </w:rPr>
        <w:t>2</w:t>
      </w:r>
      <w:r>
        <w:rPr>
          <w:rFonts w:hint="eastAsia" w:ascii="仿宋_GB2312" w:hAnsi="仿宋_GB2312" w:eastAsia="仿宋_GB2312" w:cs="仿宋_GB2312"/>
          <w:color w:val="000000"/>
        </w:rPr>
        <w:t>，占水土流失总面积的0.31%。</w:t>
      </w:r>
    </w:p>
    <w:p>
      <w:pPr>
        <w:pStyle w:val="75"/>
        <w:spacing w:after="12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表4.1-1   </w:t>
      </w:r>
      <w:r>
        <w:rPr>
          <w:rFonts w:hint="default" w:ascii="Times New Roman" w:hAnsi="Times New Roman" w:cs="Times New Roman"/>
          <w:color w:val="auto"/>
          <w:highlight w:val="none"/>
          <w:lang w:val="en-US" w:eastAsia="zh-CN"/>
        </w:rPr>
        <w:t>2018年</w:t>
      </w:r>
      <w:r>
        <w:rPr>
          <w:rFonts w:hint="eastAsia" w:cs="Times New Roman"/>
          <w:color w:val="auto"/>
          <w:highlight w:val="none"/>
          <w:lang w:val="en-US" w:eastAsia="zh-CN"/>
        </w:rPr>
        <w:t>伊州区</w:t>
      </w:r>
      <w:r>
        <w:rPr>
          <w:rFonts w:hint="default" w:ascii="Times New Roman" w:hAnsi="Times New Roman" w:cs="Times New Roman"/>
          <w:color w:val="auto"/>
          <w:highlight w:val="none"/>
        </w:rPr>
        <w:t>境内土壤侵蚀分类分级面积表   单位：km²</w:t>
      </w:r>
    </w:p>
    <w:tbl>
      <w:tblPr>
        <w:tblStyle w:val="27"/>
        <w:tblW w:w="905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28"/>
        <w:gridCol w:w="1085"/>
        <w:gridCol w:w="1257"/>
        <w:gridCol w:w="1321"/>
        <w:gridCol w:w="1321"/>
        <w:gridCol w:w="1322"/>
        <w:gridCol w:w="13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428"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侵蚀类型</w:t>
            </w:r>
          </w:p>
        </w:tc>
        <w:tc>
          <w:tcPr>
            <w:tcW w:w="1085"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轻度侵蚀</w:t>
            </w:r>
          </w:p>
        </w:tc>
        <w:tc>
          <w:tcPr>
            <w:tcW w:w="1257"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中度侵蚀</w:t>
            </w:r>
          </w:p>
        </w:tc>
        <w:tc>
          <w:tcPr>
            <w:tcW w:w="1321" w:type="dxa"/>
            <w:shd w:val="clear" w:color="auto" w:fill="auto"/>
            <w:vAlign w:val="center"/>
          </w:tcPr>
          <w:p>
            <w:pPr>
              <w:pStyle w:val="84"/>
              <w:jc w:val="center"/>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lang w:eastAsia="zh-CN"/>
              </w:rPr>
              <w:t>强烈侵蚀</w:t>
            </w:r>
          </w:p>
        </w:tc>
        <w:tc>
          <w:tcPr>
            <w:tcW w:w="1321" w:type="dxa"/>
            <w:shd w:val="clear" w:color="auto" w:fill="auto"/>
            <w:vAlign w:val="center"/>
          </w:tcPr>
          <w:p>
            <w:pPr>
              <w:pStyle w:val="84"/>
              <w:jc w:val="center"/>
              <w:rPr>
                <w:rFonts w:hint="default" w:ascii="Times New Roman" w:hAnsi="Times New Roman" w:eastAsia="仿宋_GB2312" w:cs="Times New Roman"/>
                <w:color w:val="auto"/>
                <w:highlight w:val="none"/>
                <w:lang w:eastAsia="zh-CN"/>
              </w:rPr>
            </w:pPr>
            <w:r>
              <w:rPr>
                <w:rFonts w:hint="eastAsia" w:cs="Times New Roman"/>
                <w:color w:val="auto"/>
                <w:highlight w:val="none"/>
                <w:lang w:eastAsia="zh-CN"/>
              </w:rPr>
              <w:t>极</w:t>
            </w:r>
            <w:r>
              <w:rPr>
                <w:rFonts w:hint="default" w:ascii="Times New Roman" w:hAnsi="Times New Roman" w:cs="Times New Roman"/>
                <w:color w:val="auto"/>
                <w:highlight w:val="none"/>
                <w:lang w:eastAsia="zh-CN"/>
              </w:rPr>
              <w:t>强烈侵蚀</w:t>
            </w:r>
          </w:p>
        </w:tc>
        <w:tc>
          <w:tcPr>
            <w:tcW w:w="1322" w:type="dxa"/>
            <w:shd w:val="clear" w:color="auto" w:fill="auto"/>
            <w:vAlign w:val="center"/>
          </w:tcPr>
          <w:p>
            <w:pPr>
              <w:pStyle w:val="84"/>
              <w:jc w:val="center"/>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lang w:eastAsia="zh-CN"/>
              </w:rPr>
              <w:t>剧烈侵蚀</w:t>
            </w:r>
          </w:p>
        </w:tc>
        <w:tc>
          <w:tcPr>
            <w:tcW w:w="1321" w:type="dxa"/>
            <w:shd w:val="clear" w:color="auto" w:fill="auto"/>
            <w:vAlign w:val="center"/>
          </w:tcPr>
          <w:p>
            <w:pPr>
              <w:pStyle w:val="84"/>
              <w:ind w:firstLine="0" w:firstLineChars="0"/>
              <w:jc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cs="Times New Roman"/>
                <w:color w:val="auto"/>
                <w:highlight w:val="none"/>
              </w:rPr>
              <w:t>合计（单位：km²）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428"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水力侵蚀</w:t>
            </w:r>
          </w:p>
        </w:tc>
        <w:tc>
          <w:tcPr>
            <w:tcW w:w="1085" w:type="dxa"/>
            <w:shd w:val="clear" w:color="auto" w:fill="auto"/>
            <w:vAlign w:val="center"/>
          </w:tcPr>
          <w:p>
            <w:pPr>
              <w:pStyle w:val="84"/>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510.79</w:t>
            </w:r>
          </w:p>
        </w:tc>
        <w:tc>
          <w:tcPr>
            <w:tcW w:w="1257" w:type="dxa"/>
            <w:shd w:val="clear" w:color="auto" w:fill="auto"/>
            <w:vAlign w:val="center"/>
          </w:tcPr>
          <w:p>
            <w:pPr>
              <w:pStyle w:val="84"/>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174.86</w:t>
            </w:r>
          </w:p>
        </w:tc>
        <w:tc>
          <w:tcPr>
            <w:tcW w:w="1321" w:type="dxa"/>
            <w:shd w:val="clear" w:color="auto" w:fill="auto"/>
            <w:vAlign w:val="center"/>
          </w:tcPr>
          <w:p>
            <w:pPr>
              <w:pStyle w:val="84"/>
              <w:jc w:val="center"/>
              <w:rPr>
                <w:rFonts w:hint="default" w:cs="Times New Roman"/>
                <w:color w:val="auto"/>
                <w:highlight w:val="none"/>
                <w:lang w:val="en-US" w:eastAsia="zh-CN"/>
              </w:rPr>
            </w:pPr>
            <w:r>
              <w:rPr>
                <w:rFonts w:hint="eastAsia" w:cs="Times New Roman"/>
                <w:color w:val="auto"/>
                <w:highlight w:val="none"/>
                <w:lang w:val="en-US" w:eastAsia="zh-CN"/>
              </w:rPr>
              <w:t>24.83</w:t>
            </w:r>
          </w:p>
        </w:tc>
        <w:tc>
          <w:tcPr>
            <w:tcW w:w="1321" w:type="dxa"/>
            <w:shd w:val="clear" w:color="auto" w:fill="auto"/>
            <w:vAlign w:val="center"/>
          </w:tcPr>
          <w:p>
            <w:pPr>
              <w:pStyle w:val="84"/>
              <w:jc w:val="center"/>
              <w:rPr>
                <w:rFonts w:hint="default" w:cs="Times New Roman"/>
                <w:color w:val="auto"/>
                <w:highlight w:val="none"/>
                <w:lang w:val="en-US" w:eastAsia="zh-CN"/>
              </w:rPr>
            </w:pPr>
            <w:r>
              <w:rPr>
                <w:rFonts w:hint="eastAsia" w:cs="Times New Roman"/>
                <w:color w:val="auto"/>
                <w:highlight w:val="none"/>
                <w:lang w:val="en-US" w:eastAsia="zh-CN"/>
              </w:rPr>
              <w:t>1.72</w:t>
            </w:r>
          </w:p>
        </w:tc>
        <w:tc>
          <w:tcPr>
            <w:tcW w:w="1322" w:type="dxa"/>
            <w:shd w:val="clear" w:color="auto" w:fill="auto"/>
            <w:vAlign w:val="center"/>
          </w:tcPr>
          <w:p>
            <w:pPr>
              <w:pStyle w:val="84"/>
              <w:jc w:val="center"/>
              <w:rPr>
                <w:rFonts w:hint="default" w:cs="Times New Roman"/>
                <w:color w:val="auto"/>
                <w:highlight w:val="none"/>
                <w:lang w:val="en-US" w:eastAsia="zh-CN"/>
              </w:rPr>
            </w:pPr>
            <w:r>
              <w:rPr>
                <w:rFonts w:hint="default" w:cs="Times New Roman"/>
                <w:color w:val="auto"/>
                <w:highlight w:val="none"/>
                <w:lang w:val="en-US" w:eastAsia="zh-CN"/>
              </w:rPr>
              <w:t>0</w:t>
            </w:r>
            <w:r>
              <w:rPr>
                <w:rFonts w:hint="eastAsia" w:cs="Times New Roman"/>
                <w:color w:val="auto"/>
                <w:highlight w:val="none"/>
                <w:lang w:val="en-US" w:eastAsia="zh-CN"/>
              </w:rPr>
              <w:t>.03</w:t>
            </w:r>
          </w:p>
        </w:tc>
        <w:tc>
          <w:tcPr>
            <w:tcW w:w="1321" w:type="dxa"/>
            <w:shd w:val="clear" w:color="auto" w:fill="auto"/>
            <w:vAlign w:val="center"/>
          </w:tcPr>
          <w:p>
            <w:pPr>
              <w:pStyle w:val="84"/>
              <w:jc w:val="center"/>
              <w:rPr>
                <w:rFonts w:hint="default" w:cs="Times New Roman"/>
                <w:color w:val="auto"/>
                <w:highlight w:val="none"/>
                <w:lang w:val="en-US" w:eastAsia="zh-CN"/>
              </w:rPr>
            </w:pPr>
            <w:r>
              <w:rPr>
                <w:rFonts w:hint="eastAsia" w:cs="Times New Roman"/>
                <w:color w:val="auto"/>
                <w:highlight w:val="none"/>
                <w:lang w:val="en-US" w:eastAsia="zh-CN"/>
              </w:rPr>
              <w:t>712.23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428"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风力侵蚀</w:t>
            </w:r>
          </w:p>
        </w:tc>
        <w:tc>
          <w:tcPr>
            <w:tcW w:w="1085" w:type="dxa"/>
            <w:shd w:val="clear" w:color="auto" w:fill="auto"/>
            <w:vAlign w:val="center"/>
          </w:tcPr>
          <w:p>
            <w:pPr>
              <w:pStyle w:val="84"/>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10111.74</w:t>
            </w:r>
          </w:p>
        </w:tc>
        <w:tc>
          <w:tcPr>
            <w:tcW w:w="1257" w:type="dxa"/>
            <w:shd w:val="clear" w:color="auto" w:fill="auto"/>
            <w:vAlign w:val="center"/>
          </w:tcPr>
          <w:p>
            <w:pPr>
              <w:pStyle w:val="84"/>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2574.40</w:t>
            </w:r>
          </w:p>
        </w:tc>
        <w:tc>
          <w:tcPr>
            <w:tcW w:w="1321" w:type="dxa"/>
            <w:shd w:val="clear" w:color="auto" w:fill="auto"/>
            <w:vAlign w:val="center"/>
          </w:tcPr>
          <w:p>
            <w:pPr>
              <w:pStyle w:val="84"/>
              <w:jc w:val="center"/>
              <w:rPr>
                <w:rFonts w:hint="default" w:cs="Times New Roman"/>
                <w:color w:val="auto"/>
                <w:highlight w:val="none"/>
                <w:lang w:val="en-US" w:eastAsia="zh-CN"/>
              </w:rPr>
            </w:pPr>
            <w:r>
              <w:rPr>
                <w:rFonts w:hint="eastAsia" w:cs="Times New Roman"/>
                <w:color w:val="auto"/>
                <w:highlight w:val="none"/>
                <w:lang w:val="en-US" w:eastAsia="zh-CN"/>
              </w:rPr>
              <w:t>1208.32</w:t>
            </w:r>
          </w:p>
        </w:tc>
        <w:tc>
          <w:tcPr>
            <w:tcW w:w="1321" w:type="dxa"/>
            <w:shd w:val="clear" w:color="auto" w:fill="auto"/>
            <w:vAlign w:val="center"/>
          </w:tcPr>
          <w:p>
            <w:pPr>
              <w:pStyle w:val="84"/>
              <w:jc w:val="center"/>
              <w:rPr>
                <w:rFonts w:hint="default" w:cs="Times New Roman"/>
                <w:color w:val="auto"/>
                <w:highlight w:val="none"/>
                <w:lang w:val="en-US" w:eastAsia="zh-CN"/>
              </w:rPr>
            </w:pPr>
            <w:r>
              <w:rPr>
                <w:rFonts w:hint="eastAsia" w:cs="Times New Roman"/>
                <w:color w:val="auto"/>
                <w:highlight w:val="none"/>
                <w:lang w:val="en-US" w:eastAsia="zh-CN"/>
              </w:rPr>
              <w:t>3064.21</w:t>
            </w:r>
          </w:p>
        </w:tc>
        <w:tc>
          <w:tcPr>
            <w:tcW w:w="1322" w:type="dxa"/>
            <w:shd w:val="clear" w:color="auto" w:fill="auto"/>
            <w:vAlign w:val="center"/>
          </w:tcPr>
          <w:p>
            <w:pPr>
              <w:pStyle w:val="84"/>
              <w:jc w:val="center"/>
              <w:rPr>
                <w:rFonts w:hint="default" w:cs="Times New Roman"/>
                <w:color w:val="auto"/>
                <w:highlight w:val="none"/>
                <w:lang w:val="en-US" w:eastAsia="zh-CN"/>
              </w:rPr>
            </w:pPr>
            <w:r>
              <w:rPr>
                <w:rFonts w:hint="eastAsia" w:cs="Times New Roman"/>
                <w:color w:val="auto"/>
                <w:highlight w:val="none"/>
                <w:lang w:val="en-US" w:eastAsia="zh-CN"/>
              </w:rPr>
              <w:t>33193.23</w:t>
            </w:r>
          </w:p>
        </w:tc>
        <w:tc>
          <w:tcPr>
            <w:tcW w:w="1321" w:type="dxa"/>
            <w:shd w:val="clear" w:color="auto" w:fill="auto"/>
            <w:vAlign w:val="center"/>
          </w:tcPr>
          <w:p>
            <w:pPr>
              <w:pStyle w:val="84"/>
              <w:jc w:val="center"/>
              <w:rPr>
                <w:rFonts w:hint="default" w:cs="Times New Roman"/>
                <w:color w:val="auto"/>
                <w:highlight w:val="none"/>
                <w:lang w:val="en-US" w:eastAsia="zh-CN"/>
              </w:rPr>
            </w:pPr>
            <w:r>
              <w:rPr>
                <w:rFonts w:hint="eastAsia" w:cs="Times New Roman"/>
                <w:color w:val="auto"/>
                <w:highlight w:val="none"/>
                <w:lang w:val="en-US" w:eastAsia="zh-CN"/>
              </w:rPr>
              <w:t>50151.90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734" w:type="dxa"/>
            <w:gridSpan w:val="6"/>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合计（单位：km²）</w:t>
            </w:r>
          </w:p>
        </w:tc>
        <w:tc>
          <w:tcPr>
            <w:tcW w:w="1321" w:type="dxa"/>
            <w:shd w:val="clear" w:color="auto" w:fill="auto"/>
            <w:vAlign w:val="center"/>
          </w:tcPr>
          <w:p>
            <w:pPr>
              <w:pStyle w:val="84"/>
              <w:ind w:firstLine="0" w:firstLineChars="0"/>
              <w:jc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cs="Times New Roman"/>
                <w:color w:val="auto"/>
                <w:highlight w:val="none"/>
                <w:lang w:val="en-US" w:eastAsia="zh-CN"/>
              </w:rPr>
              <w:t>50864.13</w:t>
            </w:r>
          </w:p>
        </w:tc>
      </w:tr>
    </w:tbl>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4.1.</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项目区水土流失类型及强度</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从项目区的环境概况、水土流失现状调查及引起土壤侵蚀的外营力和侵蚀形式分析，工程区土壤侵蚀主要类型为轻度风力侵蚀微度水力侵蚀，以风力侵蚀为主。</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（1）风力侵蚀</w:t>
      </w:r>
    </w:p>
    <w:p>
      <w:pPr>
        <w:rPr>
          <w:rFonts w:hint="default" w:ascii="Times New Roman" w:hAnsi="Times New Roman" w:eastAsia="仿宋_GB2312" w:cs="Times New Roman"/>
          <w:snapToGrid w:val="0"/>
          <w:color w:val="auto"/>
          <w:kern w:val="24"/>
          <w:sz w:val="24"/>
          <w:szCs w:val="24"/>
          <w:highlight w:val="none"/>
          <w:lang w:val="en-US" w:eastAsia="zh-CN" w:bidi="ar-SA"/>
        </w:rPr>
      </w:pPr>
      <w:r>
        <w:rPr>
          <w:rFonts w:hint="default" w:ascii="Times New Roman" w:hAnsi="Times New Roman" w:eastAsia="仿宋_GB2312" w:cs="Times New Roman"/>
          <w:snapToGrid w:val="0"/>
          <w:color w:val="auto"/>
          <w:kern w:val="24"/>
          <w:sz w:val="24"/>
          <w:szCs w:val="24"/>
          <w:highlight w:val="none"/>
          <w:lang w:val="en-US" w:eastAsia="zh-CN" w:bidi="ar-SA"/>
        </w:rPr>
        <w:t>根据工程区的实际情况，发生风蚀具备两个条件，一是具备大于起沙风速的风力。二是地表裸露、干燥或地表植被覆盖度低，并提供沙源。项目区位于巴音郭楞蒙古自治州博湖县境内，该区年平均风速1.6m/s，年最大风速2</w:t>
      </w:r>
      <w:r>
        <w:rPr>
          <w:rFonts w:hint="eastAsia" w:eastAsia="仿宋_GB2312" w:cs="Times New Roman"/>
          <w:snapToGrid w:val="0"/>
          <w:color w:val="auto"/>
          <w:kern w:val="24"/>
          <w:sz w:val="24"/>
          <w:szCs w:val="24"/>
          <w:highlight w:val="none"/>
          <w:lang w:val="en-US" w:eastAsia="zh-CN" w:bidi="ar-SA"/>
        </w:rPr>
        <w:t>0.7</w:t>
      </w:r>
      <w:r>
        <w:rPr>
          <w:rFonts w:hint="default" w:ascii="Times New Roman" w:hAnsi="Times New Roman" w:eastAsia="仿宋_GB2312" w:cs="Times New Roman"/>
          <w:snapToGrid w:val="0"/>
          <w:color w:val="auto"/>
          <w:kern w:val="24"/>
          <w:sz w:val="24"/>
          <w:szCs w:val="24"/>
          <w:highlight w:val="none"/>
          <w:lang w:val="en-US" w:eastAsia="zh-CN" w:bidi="ar-SA"/>
        </w:rPr>
        <w:t>m/s，具备风蚀发生的风力条件。项目区地貌属典型的冲洪积平原区，土壤为</w:t>
      </w:r>
      <w:r>
        <w:rPr>
          <w:rFonts w:hint="eastAsia" w:eastAsia="仿宋_GB2312" w:cs="Times New Roman"/>
          <w:snapToGrid w:val="0"/>
          <w:color w:val="auto"/>
          <w:kern w:val="24"/>
          <w:sz w:val="24"/>
          <w:szCs w:val="24"/>
          <w:highlight w:val="none"/>
          <w:lang w:val="en-US" w:eastAsia="zh-CN" w:bidi="ar-SA"/>
        </w:rPr>
        <w:t>砾质灰棕漠土</w:t>
      </w:r>
      <w:r>
        <w:rPr>
          <w:rFonts w:hint="default" w:ascii="Times New Roman" w:hAnsi="Times New Roman" w:eastAsia="仿宋_GB2312" w:cs="Times New Roman"/>
          <w:snapToGrid w:val="0"/>
          <w:color w:val="auto"/>
          <w:kern w:val="24"/>
          <w:sz w:val="24"/>
          <w:szCs w:val="24"/>
          <w:highlight w:val="none"/>
          <w:lang w:val="en-US" w:eastAsia="zh-CN" w:bidi="ar-SA"/>
        </w:rPr>
        <w:t>，易受风蚀，植被为荒漠植被，植被覆盖率为</w:t>
      </w:r>
      <w:r>
        <w:rPr>
          <w:rFonts w:hint="eastAsia" w:eastAsia="仿宋_GB2312" w:cs="Times New Roman"/>
          <w:snapToGrid w:val="0"/>
          <w:color w:val="auto"/>
          <w:kern w:val="24"/>
          <w:sz w:val="24"/>
          <w:szCs w:val="24"/>
          <w:highlight w:val="none"/>
          <w:lang w:val="en-US" w:eastAsia="zh-CN" w:bidi="ar-SA"/>
        </w:rPr>
        <w:t>5</w:t>
      </w:r>
      <w:r>
        <w:rPr>
          <w:rFonts w:hint="default" w:ascii="Times New Roman" w:hAnsi="Times New Roman" w:eastAsia="仿宋_GB2312" w:cs="Times New Roman"/>
          <w:snapToGrid w:val="0"/>
          <w:color w:val="auto"/>
          <w:kern w:val="24"/>
          <w:sz w:val="24"/>
          <w:szCs w:val="24"/>
          <w:highlight w:val="none"/>
          <w:lang w:val="en-US" w:eastAsia="zh-CN" w:bidi="ar-SA"/>
        </w:rPr>
        <w:t>%左右，地表</w:t>
      </w:r>
      <w:r>
        <w:rPr>
          <w:rFonts w:hint="eastAsia" w:eastAsia="仿宋_GB2312" w:cs="Times New Roman"/>
          <w:snapToGrid w:val="0"/>
          <w:color w:val="auto"/>
          <w:kern w:val="24"/>
          <w:sz w:val="24"/>
          <w:szCs w:val="24"/>
          <w:highlight w:val="none"/>
          <w:lang w:val="en-US" w:eastAsia="zh-CN" w:bidi="ar-SA"/>
        </w:rPr>
        <w:t>砾幕覆盖</w:t>
      </w:r>
      <w:r>
        <w:rPr>
          <w:rFonts w:hint="default" w:ascii="Times New Roman" w:hAnsi="Times New Roman" w:eastAsia="仿宋_GB2312" w:cs="Times New Roman"/>
          <w:snapToGrid w:val="0"/>
          <w:color w:val="auto"/>
          <w:kern w:val="24"/>
          <w:sz w:val="24"/>
          <w:szCs w:val="24"/>
          <w:highlight w:val="none"/>
          <w:lang w:val="en-US" w:eastAsia="zh-CN" w:bidi="ar-SA"/>
        </w:rPr>
        <w:t>，如不存在人为扰动，其抗侵蚀的能力较强。根据现场调查情况，同时结合全疆第一次水土流失普查结果，综合确定项目区在地表未扰动情况下风力侵蚀强度为轻度。</w:t>
      </w:r>
    </w:p>
    <w:p>
      <w:pPr>
        <w:pStyle w:val="56"/>
        <w:ind w:firstLine="480"/>
        <w:rPr>
          <w:rFonts w:hint="default" w:ascii="Times New Roman" w:hAnsi="Times New Roman" w:eastAsia="仿宋_GB2312" w:cs="Times New Roman"/>
          <w:snapToGrid w:val="0"/>
          <w:color w:val="auto"/>
          <w:kern w:val="24"/>
          <w:sz w:val="24"/>
          <w:szCs w:val="24"/>
          <w:highlight w:val="none"/>
          <w:lang w:val="en-US" w:eastAsia="zh-CN" w:bidi="ar-SA"/>
        </w:rPr>
      </w:pPr>
      <w:r>
        <w:rPr>
          <w:rFonts w:hint="default" w:ascii="Times New Roman" w:hAnsi="Times New Roman" w:eastAsia="仿宋_GB2312" w:cs="Times New Roman"/>
          <w:snapToGrid w:val="0"/>
          <w:color w:val="auto"/>
          <w:kern w:val="24"/>
          <w:sz w:val="24"/>
          <w:szCs w:val="24"/>
          <w:highlight w:val="none"/>
          <w:lang w:val="en-US" w:eastAsia="zh-CN" w:bidi="ar-SA"/>
        </w:rPr>
        <w:t>（2）水力侵蚀</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项目区为典型的荒漠大陆性气候特征，多年平均降雨量</w:t>
      </w:r>
      <w:r>
        <w:rPr>
          <w:rFonts w:hint="eastAsia" w:cs="Times New Roman"/>
          <w:color w:val="auto"/>
          <w:highlight w:val="none"/>
          <w:lang w:val="en-US" w:eastAsia="zh-CN"/>
        </w:rPr>
        <w:t>34.9</w:t>
      </w:r>
      <w:r>
        <w:rPr>
          <w:rFonts w:hint="default" w:ascii="Times New Roman" w:hAnsi="Times New Roman" w:cs="Times New Roman"/>
          <w:color w:val="auto"/>
          <w:highlight w:val="none"/>
        </w:rPr>
        <w:t>mm，地表植被盖度约</w:t>
      </w:r>
      <w:r>
        <w:rPr>
          <w:rFonts w:hint="eastAsia" w:cs="Times New Roman"/>
          <w:color w:val="auto"/>
          <w:highlight w:val="none"/>
          <w:lang w:val="en-US" w:eastAsia="zh-CN"/>
        </w:rPr>
        <w:t>5</w:t>
      </w:r>
      <w:r>
        <w:rPr>
          <w:rFonts w:hint="default" w:ascii="Times New Roman" w:hAnsi="Times New Roman" w:cs="Times New Roman"/>
          <w:color w:val="auto"/>
          <w:highlight w:val="none"/>
        </w:rPr>
        <w:t>%，根据现场调查情况，周边无地表水，同时结合全疆第一次水土流失普查结果，综合确定项目区在地表未扰动情况下水力侵蚀强度为微度。</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项目区土壤侵蚀强度分类分级见表4.1-2。</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     项目区土壤侵蚀强度分类分级表</w:t>
      </w:r>
    </w:p>
    <w:tbl>
      <w:tblPr>
        <w:tblStyle w:val="27"/>
        <w:tblW w:w="883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
      <w:tblGrid>
        <w:gridCol w:w="1690"/>
        <w:gridCol w:w="2273"/>
        <w:gridCol w:w="2984"/>
        <w:gridCol w:w="188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510" w:hRule="atLeast"/>
          <w:jc w:val="center"/>
        </w:trPr>
        <w:tc>
          <w:tcPr>
            <w:tcW w:w="1690"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项目组成</w:t>
            </w:r>
          </w:p>
        </w:tc>
        <w:tc>
          <w:tcPr>
            <w:tcW w:w="2273"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地貌类型</w:t>
            </w:r>
          </w:p>
        </w:tc>
        <w:tc>
          <w:tcPr>
            <w:tcW w:w="2984"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侵蚀类型及强度</w:t>
            </w:r>
          </w:p>
        </w:tc>
        <w:tc>
          <w:tcPr>
            <w:tcW w:w="1887"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510" w:hRule="atLeast"/>
          <w:jc w:val="center"/>
        </w:trPr>
        <w:tc>
          <w:tcPr>
            <w:tcW w:w="1690"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w:t>
            </w:r>
          </w:p>
        </w:tc>
        <w:tc>
          <w:tcPr>
            <w:tcW w:w="2273"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冲洪积平原区</w:t>
            </w:r>
          </w:p>
        </w:tc>
        <w:tc>
          <w:tcPr>
            <w:tcW w:w="2984"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轻度风力侵蚀、微度水力侵蚀</w:t>
            </w:r>
          </w:p>
        </w:tc>
        <w:tc>
          <w:tcPr>
            <w:tcW w:w="1887"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轻度风力侵蚀为主</w:t>
            </w:r>
          </w:p>
        </w:tc>
      </w:tr>
    </w:tbl>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4.1.</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项目区土壤侵蚀模数及容许土壤流失量</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工程区踏勘、测量及综合分析，确定本工程区的气象、地表组成、植被覆盖度等自然环境状况，结合全疆第一次水土流失普查结果，确定项目区在原地表稳定层未破坏的条件下，原生地表土壤侵蚀强度属于轻度风蚀、微度水蚀；根据《土壤侵蚀分类分级标准》（SL190-2007），最终确定项目区的原生地貌土壤侵蚀模数为1</w:t>
      </w:r>
      <w:r>
        <w:rPr>
          <w:rFonts w:hint="eastAsia" w:cs="Times New Roman"/>
          <w:color w:val="auto"/>
          <w:highlight w:val="none"/>
          <w:lang w:val="en-US" w:eastAsia="zh-CN"/>
        </w:rPr>
        <w:t>5</w:t>
      </w:r>
      <w:r>
        <w:rPr>
          <w:rFonts w:hint="default" w:ascii="Times New Roman" w:hAnsi="Times New Roman" w:cs="Times New Roman"/>
          <w:color w:val="auto"/>
          <w:highlight w:val="none"/>
        </w:rPr>
        <w:t>00t/km²</w:t>
      </w:r>
      <w:r>
        <w:rPr>
          <w:rFonts w:hint="default" w:ascii="Times New Roman" w:hAnsi="Times New Roman" w:eastAsia="MS Mincho" w:cs="Times New Roman"/>
          <w:color w:val="auto"/>
          <w:highlight w:val="none"/>
        </w:rPr>
        <w:t>・</w:t>
      </w:r>
      <w:r>
        <w:rPr>
          <w:rFonts w:hint="default" w:ascii="Times New Roman" w:hAnsi="Times New Roman" w:cs="Times New Roman"/>
          <w:color w:val="auto"/>
          <w:highlight w:val="none"/>
        </w:rPr>
        <w:t>a。同时根据项目区所属的水土流失类型、项目区的实际情况，确定工程区土壤容许流失量为1</w:t>
      </w:r>
      <w:r>
        <w:rPr>
          <w:rFonts w:hint="eastAsia" w:cs="Times New Roman"/>
          <w:color w:val="auto"/>
          <w:highlight w:val="none"/>
          <w:lang w:val="en-US" w:eastAsia="zh-CN"/>
        </w:rPr>
        <w:t>5</w:t>
      </w:r>
      <w:r>
        <w:rPr>
          <w:rFonts w:hint="default" w:ascii="Times New Roman" w:hAnsi="Times New Roman" w:cs="Times New Roman"/>
          <w:color w:val="auto"/>
          <w:highlight w:val="none"/>
        </w:rPr>
        <w:t>00t/（km²·a）。</w:t>
      </w:r>
    </w:p>
    <w:p>
      <w:pPr>
        <w:pStyle w:val="66"/>
        <w:ind w:firstLine="148"/>
        <w:rPr>
          <w:rFonts w:hint="default" w:ascii="Times New Roman" w:hAnsi="Times New Roman" w:cs="Times New Roman"/>
          <w:color w:val="auto"/>
          <w:highlight w:val="none"/>
        </w:rPr>
      </w:pPr>
      <w:bookmarkStart w:id="103" w:name="_Toc1004"/>
      <w:r>
        <w:rPr>
          <w:rFonts w:hint="default" w:ascii="Times New Roman" w:hAnsi="Times New Roman" w:cs="Times New Roman"/>
          <w:color w:val="auto"/>
          <w:highlight w:val="none"/>
        </w:rPr>
        <w:t>4.2 水土流失影响因素分析</w:t>
      </w:r>
      <w:bookmarkEnd w:id="103"/>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4.2.1 侵蚀因素与特点</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建设中，造成土壤侵蚀加速发展的因素包括自然因素和人为因素，人为因素是主导因素。影响该区域水土流失的自然因素主要有气候、地质、地形、地貌、土壤和植被等；人为因素有场地平整、管沟开挖等施工活动，以上施工活动改变了外营力与土体抵抗力之间形成的自然相对平衡，潜在的自然因素在人为因素的诱发下加速土壤侵蚀，形成新的水土流失。</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（1）自然因素</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项目区多年平均降水量</w:t>
      </w:r>
      <w:r>
        <w:rPr>
          <w:rFonts w:hint="eastAsia" w:cs="Times New Roman"/>
          <w:color w:val="auto"/>
          <w:highlight w:val="none"/>
          <w:lang w:val="en-US" w:eastAsia="zh-CN"/>
        </w:rPr>
        <w:t>34.9</w:t>
      </w:r>
      <w:r>
        <w:rPr>
          <w:rFonts w:hint="default" w:ascii="Times New Roman" w:hAnsi="Times New Roman" w:cs="Times New Roman"/>
          <w:color w:val="auto"/>
          <w:highlight w:val="none"/>
        </w:rPr>
        <w:t>mm，降雨多集中在6～</w:t>
      </w:r>
      <w:r>
        <w:rPr>
          <w:rFonts w:hint="eastAsia" w:cs="Times New Roman"/>
          <w:color w:val="auto"/>
          <w:highlight w:val="none"/>
          <w:lang w:val="en-US" w:eastAsia="zh-CN"/>
        </w:rPr>
        <w:t>8</w:t>
      </w:r>
      <w:r>
        <w:rPr>
          <w:rFonts w:hint="default" w:ascii="Times New Roman" w:hAnsi="Times New Roman" w:cs="Times New Roman"/>
          <w:color w:val="auto"/>
          <w:highlight w:val="none"/>
        </w:rPr>
        <w:t>月份，大多为季节性降雨，形成轻微水力侵蚀。项目区年平均风速1.6m/s，年最大风速</w:t>
      </w:r>
      <w:r>
        <w:rPr>
          <w:rFonts w:hint="eastAsia" w:cs="Times New Roman"/>
          <w:color w:val="auto"/>
          <w:highlight w:val="none"/>
          <w:lang w:val="en-US" w:eastAsia="zh-CN"/>
        </w:rPr>
        <w:t>20.7</w:t>
      </w:r>
      <w:r>
        <w:rPr>
          <w:rFonts w:hint="default" w:ascii="Times New Roman" w:hAnsi="Times New Roman" w:cs="Times New Roman"/>
          <w:color w:val="auto"/>
          <w:highlight w:val="none"/>
        </w:rPr>
        <w:t>m/s，风季为每年的</w:t>
      </w:r>
      <w:r>
        <w:rPr>
          <w:rFonts w:hint="eastAsia" w:cs="Times New Roman"/>
          <w:color w:val="auto"/>
          <w:highlight w:val="none"/>
          <w:lang w:val="en-US" w:eastAsia="zh-CN"/>
        </w:rPr>
        <w:t>3</w:t>
      </w:r>
      <w:r>
        <w:rPr>
          <w:rFonts w:hint="default" w:ascii="Times New Roman" w:hAnsi="Times New Roman" w:cs="Times New Roman"/>
          <w:color w:val="auto"/>
          <w:highlight w:val="none"/>
        </w:rPr>
        <w:t>月-</w:t>
      </w:r>
      <w:r>
        <w:rPr>
          <w:rFonts w:hint="eastAsia" w:cs="Times New Roman"/>
          <w:color w:val="auto"/>
          <w:highlight w:val="none"/>
          <w:lang w:val="en-US" w:eastAsia="zh-CN"/>
        </w:rPr>
        <w:t>5</w:t>
      </w:r>
      <w:r>
        <w:rPr>
          <w:rFonts w:hint="default" w:ascii="Times New Roman" w:hAnsi="Times New Roman" w:cs="Times New Roman"/>
          <w:color w:val="auto"/>
          <w:highlight w:val="none"/>
        </w:rPr>
        <w:t>月。项目区地貌属典型的冲洪积平原区，土壤主要为</w:t>
      </w:r>
      <w:r>
        <w:rPr>
          <w:rFonts w:hint="eastAsia" w:cs="Times New Roman"/>
          <w:color w:val="auto"/>
          <w:highlight w:val="none"/>
          <w:lang w:eastAsia="zh-CN"/>
        </w:rPr>
        <w:t>砾质灰棕漠土</w:t>
      </w:r>
      <w:r>
        <w:rPr>
          <w:rFonts w:hint="default" w:ascii="Times New Roman" w:hAnsi="Times New Roman" w:cs="Times New Roman"/>
          <w:color w:val="auto"/>
          <w:highlight w:val="none"/>
        </w:rPr>
        <w:t>。项目区土壤粘结力差，抗侵蚀力弱，极易分散，在降雨时极易被水流冲蚀，在大风时极易形成扬尘，由于项目区特殊的土壤情况，土壤侵蚀极易发生。项目区植被盖度为</w:t>
      </w:r>
      <w:r>
        <w:rPr>
          <w:rFonts w:hint="eastAsia" w:cs="Times New Roman"/>
          <w:color w:val="auto"/>
          <w:highlight w:val="none"/>
          <w:lang w:val="en-US" w:eastAsia="zh-CN"/>
        </w:rPr>
        <w:t>5</w:t>
      </w:r>
      <w:r>
        <w:rPr>
          <w:rFonts w:hint="default" w:ascii="Times New Roman" w:hAnsi="Times New Roman" w:cs="Times New Roman"/>
          <w:color w:val="auto"/>
          <w:highlight w:val="none"/>
        </w:rPr>
        <w:t>％左右植被覆盖度较低，区域地表</w:t>
      </w:r>
      <w:r>
        <w:rPr>
          <w:rFonts w:hint="eastAsia" w:cs="Times New Roman"/>
          <w:color w:val="auto"/>
          <w:highlight w:val="none"/>
          <w:lang w:eastAsia="zh-CN"/>
        </w:rPr>
        <w:t>砾幕覆盖</w:t>
      </w:r>
      <w:r>
        <w:rPr>
          <w:rFonts w:hint="default" w:ascii="Times New Roman" w:hAnsi="Times New Roman" w:cs="Times New Roman"/>
          <w:color w:val="auto"/>
          <w:highlight w:val="none"/>
        </w:rPr>
        <w:t>，在人为不扰动去情况下不易发生大面积、较严重的侵蚀。</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（2）人为因素</w:t>
      </w:r>
    </w:p>
    <w:p>
      <w:pPr>
        <w:pStyle w:val="56"/>
        <w:widowControl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没有人为干扰的情况下，一个地区的抗侵蚀力基本不变。在项目建设过程中，由于地形地貌、地表植被等遭受人为破坏和干扰，土壤结构变得松散，植被覆盖度降低，区域抗侵蚀力减弱，因而加剧了土壤侵蚀。根据工程的建设特点，施工建设活动主要从以下几方面形成新增水土流失：</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1）使原生植被受到扰动和破坏</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于项目的建设，扩大了人类活动范围，增大了对地表土壤和植被的扰动强度。原生植被在以下几方面遭到破坏：项目区平整、开挖、填筑等形成较大范围的裸露面；建筑物、道路的回填开挖等占压地面、损坏植被；施工机械的碾压和人员践踏等生产与生活活动破坏植被，并可能使周边区域的植被也受到影响。</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2）使土壤表层松散性加大</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土壤是侵蚀过程中被侵蚀的对象。比如建构筑物的基础开挖回填期间占地范围内临时堆置的松散土方，开挖土方堆置易产生风蚀。由于项目的建设，大量的松散土方发生运移和重新堆积，植被破坏，使土壤水分大量散失，土体的机械组成混杂不一，丧失了原地表土壤的抗蚀力。在当地大风及强降雨的作用下，裸露带极易形成较强的水土流失。</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3）人为改变了原地貌形态</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设中，土方开挖、填筑处形成了有较大坡度的人工地貌，改变了相对平坦的原地貌，使表土变得疏松、裸露，如果无适当的保护措施，当发生短历时、强降雨时，易在人工开挖、回填扰动的裸露地表形成水力侵蚀。</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表4.2-1       水土流失影响因素分析表</w:t>
      </w:r>
    </w:p>
    <w:tbl>
      <w:tblPr>
        <w:tblStyle w:val="27"/>
        <w:tblW w:w="8874"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
      <w:tblGrid>
        <w:gridCol w:w="1326"/>
        <w:gridCol w:w="2092"/>
        <w:gridCol w:w="545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1326"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工程分区</w:t>
            </w:r>
          </w:p>
        </w:tc>
        <w:tc>
          <w:tcPr>
            <w:tcW w:w="2092"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基本情况</w:t>
            </w:r>
          </w:p>
        </w:tc>
        <w:tc>
          <w:tcPr>
            <w:tcW w:w="5456"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可能产生的水土流失</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1326" w:type="dxa"/>
            <w:vMerge w:val="restart"/>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w:t>
            </w:r>
          </w:p>
        </w:tc>
        <w:tc>
          <w:tcPr>
            <w:tcW w:w="2092" w:type="dxa"/>
            <w:vAlign w:val="center"/>
          </w:tcPr>
          <w:p>
            <w:pPr>
              <w:pStyle w:val="84"/>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光伏发电</w:t>
            </w:r>
            <w:r>
              <w:rPr>
                <w:rFonts w:hint="default" w:ascii="Times New Roman" w:hAnsi="Times New Roman" w:cs="Times New Roman"/>
                <w:color w:val="auto"/>
                <w:highlight w:val="none"/>
                <w:lang w:eastAsia="zh-CN"/>
              </w:rPr>
              <w:t>区</w:t>
            </w:r>
          </w:p>
        </w:tc>
        <w:tc>
          <w:tcPr>
            <w:tcW w:w="5456"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人为的扰动原地貌，</w:t>
            </w:r>
            <w:r>
              <w:rPr>
                <w:rFonts w:hint="eastAsia" w:cs="Times New Roman"/>
                <w:color w:val="auto"/>
                <w:highlight w:val="none"/>
                <w:lang w:eastAsia="zh-CN"/>
              </w:rPr>
              <w:t>支架基础开挖、</w:t>
            </w:r>
            <w:r>
              <w:rPr>
                <w:rFonts w:hint="default" w:ascii="Times New Roman" w:hAnsi="Times New Roman" w:cs="Times New Roman"/>
                <w:color w:val="auto"/>
                <w:highlight w:val="none"/>
              </w:rPr>
              <w:t>管沟开挖</w:t>
            </w:r>
            <w:r>
              <w:rPr>
                <w:rFonts w:hint="eastAsia" w:cs="Times New Roman"/>
                <w:color w:val="auto"/>
                <w:highlight w:val="none"/>
                <w:lang w:eastAsia="zh-CN"/>
              </w:rPr>
              <w:t>回填及</w:t>
            </w:r>
            <w:r>
              <w:rPr>
                <w:rFonts w:hint="default" w:ascii="Times New Roman" w:hAnsi="Times New Roman" w:cs="Times New Roman"/>
                <w:color w:val="auto"/>
                <w:highlight w:val="none"/>
              </w:rPr>
              <w:t>土方临时堆置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1326" w:type="dxa"/>
            <w:vMerge w:val="continue"/>
            <w:vAlign w:val="center"/>
          </w:tcPr>
          <w:p>
            <w:pPr>
              <w:pStyle w:val="84"/>
              <w:rPr>
                <w:rFonts w:hint="default" w:ascii="Times New Roman" w:hAnsi="Times New Roman" w:cs="Times New Roman"/>
                <w:color w:val="auto"/>
                <w:highlight w:val="none"/>
              </w:rPr>
            </w:pPr>
          </w:p>
        </w:tc>
        <w:tc>
          <w:tcPr>
            <w:tcW w:w="2092"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道路工程区</w:t>
            </w:r>
          </w:p>
        </w:tc>
        <w:tc>
          <w:tcPr>
            <w:tcW w:w="5456"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人为的扰动原地貌，道路基础开挖回填</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1326" w:type="dxa"/>
            <w:vMerge w:val="continue"/>
            <w:vAlign w:val="center"/>
          </w:tcPr>
          <w:p>
            <w:pPr>
              <w:pStyle w:val="84"/>
              <w:rPr>
                <w:rFonts w:hint="default" w:ascii="Times New Roman" w:hAnsi="Times New Roman" w:cs="Times New Roman"/>
                <w:color w:val="auto"/>
                <w:highlight w:val="none"/>
              </w:rPr>
            </w:pPr>
          </w:p>
        </w:tc>
        <w:tc>
          <w:tcPr>
            <w:tcW w:w="2092" w:type="dxa"/>
            <w:vAlign w:val="center"/>
          </w:tcPr>
          <w:p>
            <w:pPr>
              <w:pStyle w:val="84"/>
              <w:jc w:val="center"/>
              <w:rPr>
                <w:rFonts w:hint="default" w:ascii="Times New Roman" w:hAnsi="Times New Roman" w:eastAsia="仿宋_GB2312" w:cs="Times New Roman"/>
                <w:color w:val="auto"/>
                <w:highlight w:val="none"/>
                <w:lang w:eastAsia="zh-CN"/>
              </w:rPr>
            </w:pPr>
            <w:r>
              <w:rPr>
                <w:rFonts w:hint="eastAsia" w:cs="Times New Roman"/>
                <w:color w:val="auto"/>
                <w:highlight w:val="none"/>
                <w:lang w:eastAsia="zh-CN"/>
              </w:rPr>
              <w:t>运行管理</w:t>
            </w:r>
            <w:r>
              <w:rPr>
                <w:rFonts w:hint="default" w:ascii="Times New Roman" w:hAnsi="Times New Roman" w:cs="Times New Roman"/>
                <w:color w:val="auto"/>
                <w:highlight w:val="none"/>
                <w:lang w:eastAsia="zh-CN"/>
              </w:rPr>
              <w:t>区</w:t>
            </w:r>
          </w:p>
        </w:tc>
        <w:tc>
          <w:tcPr>
            <w:tcW w:w="5456" w:type="dxa"/>
            <w:vAlign w:val="center"/>
          </w:tcPr>
          <w:p>
            <w:pPr>
              <w:pStyle w:val="84"/>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人为的扰动原地貌，</w:t>
            </w:r>
            <w:r>
              <w:rPr>
                <w:rFonts w:hint="eastAsia" w:cs="Times New Roman"/>
                <w:color w:val="auto"/>
                <w:highlight w:val="none"/>
                <w:lang w:eastAsia="zh-CN"/>
              </w:rPr>
              <w:t>建筑物基础</w:t>
            </w:r>
            <w:r>
              <w:rPr>
                <w:rFonts w:hint="default" w:ascii="Times New Roman" w:hAnsi="Times New Roman" w:cs="Times New Roman"/>
                <w:color w:val="auto"/>
                <w:highlight w:val="none"/>
                <w:lang w:eastAsia="zh-CN"/>
              </w:rPr>
              <w:t>土方开挖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1326" w:type="dxa"/>
            <w:vMerge w:val="continue"/>
            <w:vAlign w:val="center"/>
          </w:tcPr>
          <w:p>
            <w:pPr>
              <w:pStyle w:val="84"/>
              <w:rPr>
                <w:rFonts w:hint="default" w:ascii="Times New Roman" w:hAnsi="Times New Roman" w:cs="Times New Roman"/>
                <w:color w:val="auto"/>
                <w:highlight w:val="none"/>
              </w:rPr>
            </w:pPr>
          </w:p>
        </w:tc>
        <w:tc>
          <w:tcPr>
            <w:tcW w:w="2092" w:type="dxa"/>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施工生产生活区</w:t>
            </w:r>
          </w:p>
        </w:tc>
        <w:tc>
          <w:tcPr>
            <w:tcW w:w="5456"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人为的扰动原地貌，临时松散堆料、机械碾压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1326"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自然恢复期</w:t>
            </w:r>
          </w:p>
        </w:tc>
        <w:tc>
          <w:tcPr>
            <w:tcW w:w="2092"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整个项目建设区</w:t>
            </w:r>
          </w:p>
        </w:tc>
        <w:tc>
          <w:tcPr>
            <w:tcW w:w="5456"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不再新增扰动破还原地貌，施工期造成的扰动面积基本稳定，产生的水土流失逐年减小。</w:t>
            </w:r>
          </w:p>
        </w:tc>
      </w:tr>
    </w:tbl>
    <w:p>
      <w:pPr>
        <w:pStyle w:val="69"/>
        <w:ind w:firstLine="0"/>
        <w:rPr>
          <w:rFonts w:hint="default" w:ascii="Times New Roman" w:hAnsi="Times New Roman" w:cs="Times New Roman"/>
          <w:color w:val="auto"/>
          <w:highlight w:val="none"/>
        </w:rPr>
      </w:pP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4.2.2 扰动原地貌、损坏土地及植被情况调查</w:t>
      </w:r>
    </w:p>
    <w:p>
      <w:pPr>
        <w:pStyle w:val="56"/>
        <w:widowControl w:val="0"/>
        <w:kinsoku/>
        <w:ind w:firstLine="480"/>
        <w:jc w:val="left"/>
        <w:rPr>
          <w:rFonts w:hint="eastAsia"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工程扰动、占压地表面积包括项目建设区内工程开挖、回填、占压等活动地表的实际面积，不包括工程征地范围内未扰动地表面积。根据主体工程设计资料，结合实地调查，本工程建设扰动地表区域主要包括光伏发电区、道路工程区</w:t>
      </w:r>
      <w:r>
        <w:rPr>
          <w:rFonts w:hint="default" w:cs="Times New Roman"/>
          <w:color w:val="auto"/>
          <w:highlight w:val="none"/>
          <w:lang w:eastAsia="zh-CN"/>
        </w:rPr>
        <w:t>、运行管理区</w:t>
      </w:r>
      <w:r>
        <w:rPr>
          <w:rFonts w:hint="default" w:ascii="Times New Roman" w:hAnsi="Times New Roman" w:cs="Times New Roman"/>
          <w:color w:val="auto"/>
          <w:highlight w:val="none"/>
        </w:rPr>
        <w:t>以及</w:t>
      </w:r>
      <w:r>
        <w:rPr>
          <w:rFonts w:hint="eastAsia" w:cs="Times New Roman"/>
          <w:color w:val="auto"/>
          <w:highlight w:val="none"/>
          <w:lang w:eastAsia="zh-CN"/>
        </w:rPr>
        <w:t>施工生产生活区</w:t>
      </w:r>
      <w:r>
        <w:rPr>
          <w:rFonts w:hint="default" w:ascii="Times New Roman" w:hAnsi="Times New Roman" w:cs="Times New Roman"/>
          <w:color w:val="auto"/>
          <w:highlight w:val="none"/>
        </w:rPr>
        <w:t>，工程建设占地总面积</w:t>
      </w:r>
      <w:r>
        <w:rPr>
          <w:rFonts w:hint="default" w:cs="Times New Roman"/>
          <w:color w:val="auto"/>
          <w:highlight w:val="none"/>
          <w:lang w:val="en-US" w:eastAsia="zh-CN"/>
        </w:rPr>
        <w:t>49.46</w:t>
      </w:r>
      <w:r>
        <w:rPr>
          <w:rFonts w:hint="default" w:ascii="Times New Roman" w:hAnsi="Times New Roman" w:cs="Times New Roman"/>
          <w:color w:val="auto"/>
          <w:highlight w:val="none"/>
        </w:rPr>
        <w:t>hm²，因此本项目扰动原地貌、损坏土地面积</w:t>
      </w:r>
      <w:r>
        <w:rPr>
          <w:rFonts w:hint="eastAsia" w:cs="Times New Roman"/>
          <w:color w:val="auto"/>
          <w:highlight w:val="none"/>
          <w:lang w:eastAsia="zh-CN"/>
        </w:rPr>
        <w:t>为</w:t>
      </w:r>
      <w:r>
        <w:rPr>
          <w:rFonts w:hint="default" w:cs="Times New Roman"/>
          <w:color w:val="auto"/>
          <w:highlight w:val="none"/>
          <w:lang w:val="en-US" w:eastAsia="zh-CN"/>
        </w:rPr>
        <w:t>49.46</w:t>
      </w:r>
      <w:r>
        <w:rPr>
          <w:rFonts w:hint="default" w:ascii="Times New Roman" w:hAnsi="Times New Roman" w:cs="Times New Roman"/>
          <w:color w:val="auto"/>
          <w:highlight w:val="none"/>
        </w:rPr>
        <w:t>hm²</w:t>
      </w:r>
      <w:r>
        <w:rPr>
          <w:rFonts w:hint="eastAsia" w:cs="Times New Roman"/>
          <w:color w:val="auto"/>
          <w:highlight w:val="none"/>
          <w:lang w:eastAsia="zh-CN"/>
        </w:rPr>
        <w:t>。</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4.2.3 废弃土（石、渣、灰、矸石、尾矿）量</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根据主体资料，本工程总挖方</w:t>
      </w:r>
      <w:r>
        <w:rPr>
          <w:rFonts w:hint="eastAsia" w:cs="Times New Roman"/>
          <w:color w:val="auto"/>
          <w:highlight w:val="none"/>
          <w:lang w:val="en-US" w:eastAsia="zh-CN"/>
        </w:rPr>
        <w:t>4.968</w:t>
      </w:r>
      <w:r>
        <w:rPr>
          <w:rFonts w:hint="default" w:ascii="Times New Roman" w:hAnsi="Times New Roman" w:cs="Times New Roman"/>
          <w:color w:val="auto"/>
          <w:highlight w:val="none"/>
        </w:rPr>
        <w:t>万m³，填方</w:t>
      </w:r>
      <w:r>
        <w:rPr>
          <w:rFonts w:hint="eastAsia" w:cs="Times New Roman"/>
          <w:color w:val="auto"/>
          <w:highlight w:val="none"/>
          <w:lang w:val="en-US" w:eastAsia="zh-CN"/>
        </w:rPr>
        <w:t>4.968</w:t>
      </w:r>
      <w:r>
        <w:rPr>
          <w:rFonts w:hint="default" w:ascii="Times New Roman" w:hAnsi="Times New Roman" w:cs="Times New Roman"/>
          <w:color w:val="auto"/>
          <w:highlight w:val="none"/>
        </w:rPr>
        <w:t>万m³，无借方，无弃方。涉及土方主要为场地平整、建构筑物基础和管沟开挖回填。</w:t>
      </w:r>
    </w:p>
    <w:p>
      <w:pPr>
        <w:pStyle w:val="66"/>
        <w:ind w:firstLine="148"/>
        <w:rPr>
          <w:rFonts w:hint="default" w:ascii="Times New Roman" w:hAnsi="Times New Roman" w:cs="Times New Roman"/>
          <w:color w:val="auto"/>
          <w:highlight w:val="none"/>
        </w:rPr>
      </w:pPr>
      <w:bookmarkStart w:id="104" w:name="_Toc26598"/>
      <w:r>
        <w:rPr>
          <w:rFonts w:hint="default" w:ascii="Times New Roman" w:hAnsi="Times New Roman" w:cs="Times New Roman"/>
          <w:color w:val="auto"/>
          <w:highlight w:val="none"/>
        </w:rPr>
        <w:t>4.3</w:t>
      </w:r>
      <w:bookmarkEnd w:id="100"/>
      <w:r>
        <w:rPr>
          <w:rFonts w:hint="default" w:ascii="Times New Roman" w:hAnsi="Times New Roman" w:cs="Times New Roman"/>
          <w:color w:val="auto"/>
          <w:highlight w:val="none"/>
        </w:rPr>
        <w:t xml:space="preserve"> 土壤流失量预测</w:t>
      </w:r>
      <w:bookmarkEnd w:id="104"/>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水土流失预测的基础是按照本项目正常设计功能，在无水土保持措施条件下可能产生的水土流失量和水土流失危害，水土流失量的计算基础应扣除原地表侵蚀量。</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4.3.1 预测单元</w:t>
      </w:r>
    </w:p>
    <w:p>
      <w:pPr>
        <w:pStyle w:val="56"/>
        <w:ind w:firstLine="480"/>
        <w:rPr>
          <w:rFonts w:hint="default" w:ascii="Times New Roman" w:hAnsi="Times New Roman" w:cs="Times New Roman"/>
          <w:color w:val="auto"/>
          <w:highlight w:val="none"/>
        </w:rPr>
      </w:pPr>
      <w:bookmarkStart w:id="105" w:name="_Toc13892"/>
      <w:r>
        <w:rPr>
          <w:rFonts w:hint="default" w:ascii="Times New Roman" w:hAnsi="Times New Roman" w:cs="Times New Roman"/>
          <w:color w:val="auto"/>
          <w:highlight w:val="none"/>
        </w:rPr>
        <w:t>水土流失预测的目的是为了确定行之有效的水土保持措施总体布局，预测项目建设及运营带来的水土流失总量及分布，综合分析建设过程可能造成的水土流失危害，明确重点防治区。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根据项目区地形地貌、建设单元施工特点，将建设区划分为</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个预测单元。按照划分单元进行水土流失预测。根据每个预测单元在工程施工期（包括施工准备期）、自然恢复期土壤侵蚀模数的变化情况，分别预测施工期（包括施工准备期）和自然恢复期的土壤侵蚀总量。水土流失预测单元划分见表4.3-1。</w:t>
      </w:r>
      <w:bookmarkEnd w:id="105"/>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表4.3-1       工程水土流失预测单元划分表</w:t>
      </w:r>
    </w:p>
    <w:tbl>
      <w:tblPr>
        <w:tblStyle w:val="27"/>
        <w:tblW w:w="90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13"/>
        <w:gridCol w:w="1971"/>
        <w:gridCol w:w="1363"/>
        <w:gridCol w:w="2088"/>
        <w:gridCol w:w="20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3584" w:type="dxa"/>
            <w:gridSpan w:val="2"/>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防治分区</w:t>
            </w:r>
          </w:p>
        </w:tc>
        <w:tc>
          <w:tcPr>
            <w:tcW w:w="1363"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总占地面积（hm</w:t>
            </w:r>
            <w:r>
              <w:rPr>
                <w:rFonts w:hint="default" w:ascii="Times New Roman" w:hAnsi="Times New Roman" w:eastAsia="宋体" w:cs="Times New Roman"/>
                <w:color w:val="auto"/>
                <w:highlight w:val="none"/>
              </w:rPr>
              <w:t>²</w:t>
            </w:r>
            <w:r>
              <w:rPr>
                <w:rFonts w:hint="default" w:ascii="Times New Roman" w:hAnsi="Times New Roman" w:cs="Times New Roman"/>
                <w:color w:val="auto"/>
                <w:highlight w:val="none"/>
              </w:rPr>
              <w:t>）</w:t>
            </w:r>
          </w:p>
        </w:tc>
        <w:tc>
          <w:tcPr>
            <w:tcW w:w="4113" w:type="dxa"/>
            <w:gridSpan w:val="2"/>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水土流失预测面积（hm</w:t>
            </w:r>
            <w:r>
              <w:rPr>
                <w:rFonts w:hint="default" w:ascii="Times New Roman" w:hAnsi="Times New Roman" w:eastAsia="宋体" w:cs="Times New Roman"/>
                <w:color w:val="auto"/>
                <w:highlight w:val="none"/>
              </w:rPr>
              <w:t>²</w:t>
            </w:r>
            <w:r>
              <w:rPr>
                <w:rFonts w:hint="default" w:ascii="Times New Roman" w:hAnsi="Times New Roman"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8" w:hRule="exact"/>
        </w:trPr>
        <w:tc>
          <w:tcPr>
            <w:tcW w:w="3584" w:type="dxa"/>
            <w:gridSpan w:val="2"/>
            <w:vMerge w:val="continue"/>
            <w:vAlign w:val="center"/>
          </w:tcPr>
          <w:p>
            <w:pPr>
              <w:pStyle w:val="84"/>
              <w:rPr>
                <w:rFonts w:hint="default" w:ascii="Times New Roman" w:hAnsi="Times New Roman" w:cs="Times New Roman"/>
                <w:color w:val="auto"/>
                <w:highlight w:val="none"/>
              </w:rPr>
            </w:pPr>
          </w:p>
        </w:tc>
        <w:tc>
          <w:tcPr>
            <w:tcW w:w="1363" w:type="dxa"/>
            <w:vMerge w:val="continue"/>
            <w:vAlign w:val="center"/>
          </w:tcPr>
          <w:p>
            <w:pPr>
              <w:pStyle w:val="84"/>
              <w:rPr>
                <w:rFonts w:hint="default" w:ascii="Times New Roman" w:hAnsi="Times New Roman" w:cs="Times New Roman"/>
                <w:color w:val="auto"/>
                <w:highlight w:val="none"/>
              </w:rPr>
            </w:pPr>
          </w:p>
        </w:tc>
        <w:tc>
          <w:tcPr>
            <w:tcW w:w="2088"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施工期（包括施工准备期）</w:t>
            </w:r>
          </w:p>
        </w:tc>
        <w:tc>
          <w:tcPr>
            <w:tcW w:w="2025"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自然恢复期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613"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光伏发电区</w:t>
            </w:r>
          </w:p>
        </w:tc>
        <w:tc>
          <w:tcPr>
            <w:tcW w:w="1971"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光伏阵列区</w:t>
            </w:r>
          </w:p>
        </w:tc>
        <w:tc>
          <w:tcPr>
            <w:tcW w:w="1363" w:type="dxa"/>
            <w:shd w:val="clear" w:color="auto" w:fill="auto"/>
            <w:vAlign w:val="center"/>
          </w:tcPr>
          <w:p>
            <w:pPr>
              <w:widowControl/>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eastAsia" w:eastAsia="仿宋_GB2312" w:cs="Times New Roman"/>
                <w:color w:val="auto"/>
                <w:spacing w:val="-2"/>
                <w:kern w:val="0"/>
                <w:sz w:val="21"/>
                <w:szCs w:val="21"/>
                <w:highlight w:val="none"/>
                <w:lang w:val="en-US" w:eastAsia="zh-CN"/>
              </w:rPr>
              <w:t>43.46</w:t>
            </w:r>
          </w:p>
        </w:tc>
        <w:tc>
          <w:tcPr>
            <w:tcW w:w="2088" w:type="dxa"/>
            <w:shd w:val="clear" w:color="auto" w:fill="auto"/>
            <w:vAlign w:val="center"/>
          </w:tcPr>
          <w:p>
            <w:pPr>
              <w:widowControl/>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eastAsia" w:eastAsia="仿宋_GB2312" w:cs="Times New Roman"/>
                <w:color w:val="auto"/>
                <w:spacing w:val="-2"/>
                <w:kern w:val="0"/>
                <w:sz w:val="21"/>
                <w:szCs w:val="21"/>
                <w:highlight w:val="none"/>
                <w:lang w:val="en-US" w:eastAsia="zh-CN"/>
              </w:rPr>
              <w:t>43.46</w:t>
            </w:r>
          </w:p>
        </w:tc>
        <w:tc>
          <w:tcPr>
            <w:tcW w:w="2025" w:type="dxa"/>
            <w:shd w:val="clear" w:color="auto" w:fill="auto"/>
            <w:vAlign w:val="center"/>
          </w:tcPr>
          <w:p>
            <w:pPr>
              <w:widowControl/>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eastAsia" w:eastAsia="仿宋_GB2312" w:cs="Times New Roman"/>
                <w:color w:val="auto"/>
                <w:spacing w:val="-2"/>
                <w:kern w:val="0"/>
                <w:sz w:val="21"/>
                <w:szCs w:val="21"/>
                <w:highlight w:val="none"/>
                <w:lang w:val="en-US" w:eastAsia="zh-CN"/>
              </w:rPr>
              <w:t>43.35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613" w:type="dxa"/>
            <w:vMerge w:val="continue"/>
            <w:vAlign w:val="center"/>
          </w:tcPr>
          <w:p>
            <w:pPr>
              <w:pStyle w:val="84"/>
              <w:rPr>
                <w:rFonts w:hint="default" w:ascii="Times New Roman" w:hAnsi="Times New Roman" w:cs="Times New Roman"/>
                <w:color w:val="auto"/>
                <w:highlight w:val="none"/>
              </w:rPr>
            </w:pPr>
          </w:p>
        </w:tc>
        <w:tc>
          <w:tcPr>
            <w:tcW w:w="1971"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集电线路区</w:t>
            </w:r>
          </w:p>
        </w:tc>
        <w:tc>
          <w:tcPr>
            <w:tcW w:w="1363" w:type="dxa"/>
            <w:shd w:val="clear" w:color="auto" w:fill="auto"/>
            <w:vAlign w:val="center"/>
          </w:tcPr>
          <w:p>
            <w:pPr>
              <w:widowControl/>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eastAsia" w:eastAsia="仿宋_GB2312" w:cs="Times New Roman"/>
                <w:color w:val="auto"/>
                <w:spacing w:val="-2"/>
                <w:kern w:val="0"/>
                <w:sz w:val="21"/>
                <w:szCs w:val="21"/>
                <w:highlight w:val="none"/>
                <w:lang w:val="en-US" w:eastAsia="zh-CN"/>
              </w:rPr>
              <w:t>2.76</w:t>
            </w:r>
          </w:p>
        </w:tc>
        <w:tc>
          <w:tcPr>
            <w:tcW w:w="2088" w:type="dxa"/>
            <w:shd w:val="clear" w:color="auto" w:fill="auto"/>
            <w:vAlign w:val="center"/>
          </w:tcPr>
          <w:p>
            <w:pPr>
              <w:widowControl/>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eastAsia" w:eastAsia="仿宋_GB2312" w:cs="Times New Roman"/>
                <w:color w:val="auto"/>
                <w:spacing w:val="-2"/>
                <w:kern w:val="0"/>
                <w:sz w:val="21"/>
                <w:szCs w:val="21"/>
                <w:highlight w:val="none"/>
                <w:lang w:val="en-US" w:eastAsia="zh-CN"/>
              </w:rPr>
              <w:t>2.76</w:t>
            </w:r>
          </w:p>
        </w:tc>
        <w:tc>
          <w:tcPr>
            <w:tcW w:w="2025" w:type="dxa"/>
            <w:shd w:val="clear" w:color="auto" w:fill="auto"/>
            <w:vAlign w:val="center"/>
          </w:tcPr>
          <w:p>
            <w:pPr>
              <w:widowControl/>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eastAsia" w:eastAsia="仿宋_GB2312" w:cs="Times New Roman"/>
                <w:color w:val="auto"/>
                <w:spacing w:val="-2"/>
                <w:kern w:val="0"/>
                <w:sz w:val="21"/>
                <w:szCs w:val="21"/>
                <w:highlight w:val="none"/>
                <w:lang w:val="en-US" w:eastAsia="zh-CN"/>
              </w:rPr>
              <w:t>2.76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613"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道路工程区</w:t>
            </w:r>
          </w:p>
        </w:tc>
        <w:tc>
          <w:tcPr>
            <w:tcW w:w="1971"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进场道路</w:t>
            </w:r>
          </w:p>
        </w:tc>
        <w:tc>
          <w:tcPr>
            <w:tcW w:w="1363" w:type="dxa"/>
            <w:shd w:val="clear" w:color="auto" w:fill="auto"/>
            <w:vAlign w:val="center"/>
          </w:tcPr>
          <w:p>
            <w:pPr>
              <w:widowControl/>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default" w:ascii="Times New Roman" w:hAnsi="Times New Roman" w:eastAsia="仿宋_GB2312" w:cs="Times New Roman"/>
                <w:color w:val="auto"/>
                <w:spacing w:val="-2"/>
                <w:kern w:val="0"/>
                <w:sz w:val="21"/>
                <w:szCs w:val="21"/>
                <w:highlight w:val="none"/>
                <w:lang w:val="en-US" w:eastAsia="zh-CN"/>
              </w:rPr>
              <w:t>0.</w:t>
            </w:r>
            <w:r>
              <w:rPr>
                <w:rFonts w:hint="eastAsia" w:eastAsia="仿宋_GB2312" w:cs="Times New Roman"/>
                <w:color w:val="auto"/>
                <w:spacing w:val="-2"/>
                <w:kern w:val="0"/>
                <w:sz w:val="21"/>
                <w:szCs w:val="21"/>
                <w:highlight w:val="none"/>
                <w:lang w:val="en-US" w:eastAsia="zh-CN"/>
              </w:rPr>
              <w:t>03</w:t>
            </w:r>
          </w:p>
        </w:tc>
        <w:tc>
          <w:tcPr>
            <w:tcW w:w="2088" w:type="dxa"/>
            <w:shd w:val="clear" w:color="auto" w:fill="auto"/>
            <w:vAlign w:val="center"/>
          </w:tcPr>
          <w:p>
            <w:pPr>
              <w:widowControl/>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default" w:ascii="Times New Roman" w:hAnsi="Times New Roman" w:eastAsia="仿宋_GB2312" w:cs="Times New Roman"/>
                <w:color w:val="auto"/>
                <w:spacing w:val="-2"/>
                <w:kern w:val="0"/>
                <w:sz w:val="21"/>
                <w:szCs w:val="21"/>
                <w:highlight w:val="none"/>
                <w:lang w:val="en-US" w:eastAsia="zh-CN"/>
              </w:rPr>
              <w:t>0.</w:t>
            </w:r>
            <w:r>
              <w:rPr>
                <w:rFonts w:hint="eastAsia" w:eastAsia="仿宋_GB2312" w:cs="Times New Roman"/>
                <w:color w:val="auto"/>
                <w:spacing w:val="-2"/>
                <w:kern w:val="0"/>
                <w:sz w:val="21"/>
                <w:szCs w:val="21"/>
                <w:highlight w:val="none"/>
                <w:lang w:val="en-US" w:eastAsia="zh-CN"/>
              </w:rPr>
              <w:t>03</w:t>
            </w:r>
          </w:p>
        </w:tc>
        <w:tc>
          <w:tcPr>
            <w:tcW w:w="2025" w:type="dxa"/>
            <w:shd w:val="clear" w:color="auto" w:fill="auto"/>
            <w:vAlign w:val="center"/>
          </w:tcPr>
          <w:p>
            <w:pPr>
              <w:widowControl/>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eastAsia" w:eastAsia="仿宋_GB2312" w:cs="Times New Roman"/>
                <w:color w:val="auto"/>
                <w:spacing w:val="-2"/>
                <w:kern w:val="0"/>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613" w:type="dxa"/>
            <w:vMerge w:val="continue"/>
            <w:vAlign w:val="center"/>
          </w:tcPr>
          <w:p>
            <w:pPr>
              <w:pStyle w:val="84"/>
              <w:rPr>
                <w:rFonts w:hint="default" w:ascii="Times New Roman" w:hAnsi="Times New Roman" w:cs="Times New Roman"/>
                <w:color w:val="auto"/>
                <w:highlight w:val="none"/>
              </w:rPr>
            </w:pPr>
          </w:p>
        </w:tc>
        <w:tc>
          <w:tcPr>
            <w:tcW w:w="1971"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场内道路</w:t>
            </w:r>
          </w:p>
        </w:tc>
        <w:tc>
          <w:tcPr>
            <w:tcW w:w="1363" w:type="dxa"/>
            <w:shd w:val="clear" w:color="auto" w:fill="auto"/>
            <w:vAlign w:val="center"/>
          </w:tcPr>
          <w:p>
            <w:pPr>
              <w:widowControl/>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eastAsia" w:eastAsia="仿宋_GB2312" w:cs="Times New Roman"/>
                <w:color w:val="auto"/>
                <w:spacing w:val="-2"/>
                <w:kern w:val="0"/>
                <w:sz w:val="21"/>
                <w:szCs w:val="21"/>
                <w:highlight w:val="none"/>
                <w:lang w:val="en-US" w:eastAsia="zh-CN"/>
              </w:rPr>
              <w:t>1.92</w:t>
            </w:r>
          </w:p>
        </w:tc>
        <w:tc>
          <w:tcPr>
            <w:tcW w:w="2088" w:type="dxa"/>
            <w:shd w:val="clear" w:color="auto" w:fill="auto"/>
            <w:vAlign w:val="center"/>
          </w:tcPr>
          <w:p>
            <w:pPr>
              <w:widowControl/>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eastAsia" w:eastAsia="仿宋_GB2312" w:cs="Times New Roman"/>
                <w:color w:val="auto"/>
                <w:spacing w:val="-2"/>
                <w:kern w:val="0"/>
                <w:sz w:val="21"/>
                <w:szCs w:val="21"/>
                <w:highlight w:val="none"/>
                <w:lang w:val="en-US" w:eastAsia="zh-CN"/>
              </w:rPr>
              <w:t>1.92</w:t>
            </w:r>
          </w:p>
        </w:tc>
        <w:tc>
          <w:tcPr>
            <w:tcW w:w="2025" w:type="dxa"/>
            <w:shd w:val="clear" w:color="auto" w:fill="auto"/>
            <w:vAlign w:val="center"/>
          </w:tcPr>
          <w:p>
            <w:pPr>
              <w:widowControl/>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eastAsia" w:eastAsia="仿宋_GB2312" w:cs="Times New Roman"/>
                <w:color w:val="auto"/>
                <w:spacing w:val="-2"/>
                <w:kern w:val="0"/>
                <w:sz w:val="21"/>
                <w:szCs w:val="21"/>
                <w:highlight w:val="none"/>
                <w:lang w:val="en-US" w:eastAsia="zh-CN"/>
              </w:rPr>
              <w:t>1.92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3584" w:type="dxa"/>
            <w:gridSpan w:val="2"/>
            <w:shd w:val="clear" w:color="auto" w:fill="auto"/>
            <w:vAlign w:val="center"/>
          </w:tcPr>
          <w:p>
            <w:pPr>
              <w:pStyle w:val="84"/>
              <w:rPr>
                <w:rFonts w:hint="default" w:ascii="Times New Roman" w:hAnsi="Times New Roman" w:cs="Times New Roman"/>
                <w:color w:val="auto"/>
                <w:highlight w:val="none"/>
              </w:rPr>
            </w:pPr>
            <w:r>
              <w:rPr>
                <w:rFonts w:hint="eastAsia" w:cs="Times New Roman"/>
                <w:color w:val="auto"/>
                <w:highlight w:val="none"/>
                <w:lang w:eastAsia="zh-CN"/>
              </w:rPr>
              <w:t>运行管理</w:t>
            </w:r>
            <w:r>
              <w:rPr>
                <w:rFonts w:hint="default" w:ascii="Times New Roman" w:hAnsi="Times New Roman" w:cs="Times New Roman"/>
                <w:color w:val="auto"/>
                <w:highlight w:val="none"/>
              </w:rPr>
              <w:t>区</w:t>
            </w:r>
          </w:p>
        </w:tc>
        <w:tc>
          <w:tcPr>
            <w:tcW w:w="1363" w:type="dxa"/>
            <w:shd w:val="clear" w:color="auto" w:fill="auto"/>
            <w:vAlign w:val="center"/>
          </w:tcPr>
          <w:p>
            <w:pPr>
              <w:widowControl/>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default" w:ascii="Times New Roman" w:hAnsi="Times New Roman" w:eastAsia="仿宋_GB2312" w:cs="Times New Roman"/>
                <w:color w:val="auto"/>
                <w:spacing w:val="-2"/>
                <w:kern w:val="0"/>
                <w:sz w:val="21"/>
                <w:szCs w:val="21"/>
                <w:highlight w:val="none"/>
                <w:lang w:val="en-US" w:eastAsia="zh-CN"/>
              </w:rPr>
              <w:t>0.</w:t>
            </w:r>
            <w:r>
              <w:rPr>
                <w:rFonts w:hint="eastAsia" w:eastAsia="仿宋_GB2312" w:cs="Times New Roman"/>
                <w:color w:val="auto"/>
                <w:spacing w:val="-2"/>
                <w:kern w:val="0"/>
                <w:sz w:val="21"/>
                <w:szCs w:val="21"/>
                <w:highlight w:val="none"/>
                <w:lang w:val="en-US" w:eastAsia="zh-CN"/>
              </w:rPr>
              <w:t>83</w:t>
            </w:r>
          </w:p>
        </w:tc>
        <w:tc>
          <w:tcPr>
            <w:tcW w:w="2088" w:type="dxa"/>
            <w:shd w:val="clear" w:color="auto" w:fill="auto"/>
            <w:vAlign w:val="center"/>
          </w:tcPr>
          <w:p>
            <w:pPr>
              <w:widowControl/>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default" w:ascii="Times New Roman" w:hAnsi="Times New Roman" w:eastAsia="仿宋_GB2312" w:cs="Times New Roman"/>
                <w:color w:val="auto"/>
                <w:spacing w:val="-2"/>
                <w:kern w:val="0"/>
                <w:sz w:val="21"/>
                <w:szCs w:val="21"/>
                <w:highlight w:val="none"/>
                <w:lang w:val="en-US" w:eastAsia="zh-CN"/>
              </w:rPr>
              <w:t>0</w:t>
            </w:r>
            <w:r>
              <w:rPr>
                <w:rFonts w:hint="eastAsia" w:eastAsia="仿宋_GB2312" w:cs="Times New Roman"/>
                <w:color w:val="auto"/>
                <w:spacing w:val="-2"/>
                <w:kern w:val="0"/>
                <w:sz w:val="21"/>
                <w:szCs w:val="21"/>
                <w:highlight w:val="none"/>
                <w:lang w:val="en-US" w:eastAsia="zh-CN"/>
              </w:rPr>
              <w:t>.83</w:t>
            </w:r>
          </w:p>
        </w:tc>
        <w:tc>
          <w:tcPr>
            <w:tcW w:w="2025" w:type="dxa"/>
            <w:shd w:val="clear" w:color="auto" w:fill="auto"/>
            <w:vAlign w:val="center"/>
          </w:tcPr>
          <w:p>
            <w:pPr>
              <w:widowControl/>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eastAsia" w:eastAsia="仿宋_GB2312" w:cs="Times New Roman"/>
                <w:color w:val="auto"/>
                <w:spacing w:val="-2"/>
                <w:kern w:val="0"/>
                <w:sz w:val="21"/>
                <w:szCs w:val="21"/>
                <w:highlight w:val="none"/>
                <w:lang w:val="en-US" w:eastAsia="zh-CN"/>
              </w:rPr>
              <w:t>0.41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3584" w:type="dxa"/>
            <w:gridSpan w:val="2"/>
            <w:shd w:val="clear" w:color="auto" w:fill="auto"/>
            <w:vAlign w:val="center"/>
          </w:tcPr>
          <w:p>
            <w:pPr>
              <w:pStyle w:val="84"/>
              <w:rPr>
                <w:rFonts w:hint="default" w:ascii="Times New Roman" w:hAnsi="Times New Roman" w:eastAsia="仿宋_GB2312" w:cs="Times New Roman"/>
                <w:color w:val="auto"/>
                <w:highlight w:val="none"/>
                <w:lang w:eastAsia="zh-CN"/>
              </w:rPr>
            </w:pPr>
            <w:r>
              <w:rPr>
                <w:rFonts w:hint="eastAsia" w:cs="Times New Roman"/>
                <w:color w:val="auto"/>
                <w:highlight w:val="none"/>
                <w:lang w:eastAsia="zh-CN"/>
              </w:rPr>
              <w:t>施工生产生活区</w:t>
            </w:r>
          </w:p>
        </w:tc>
        <w:tc>
          <w:tcPr>
            <w:tcW w:w="1363" w:type="dxa"/>
            <w:shd w:val="clear" w:color="auto" w:fill="auto"/>
            <w:vAlign w:val="center"/>
          </w:tcPr>
          <w:p>
            <w:pPr>
              <w:widowControl/>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default" w:ascii="Times New Roman" w:hAnsi="Times New Roman" w:eastAsia="仿宋_GB2312" w:cs="Times New Roman"/>
                <w:color w:val="auto"/>
                <w:spacing w:val="-2"/>
                <w:kern w:val="0"/>
                <w:sz w:val="21"/>
                <w:szCs w:val="21"/>
                <w:highlight w:val="none"/>
                <w:lang w:val="en-US" w:eastAsia="zh-CN"/>
              </w:rPr>
              <w:t>0.</w:t>
            </w:r>
            <w:r>
              <w:rPr>
                <w:rFonts w:hint="eastAsia" w:eastAsia="仿宋_GB2312" w:cs="Times New Roman"/>
                <w:color w:val="auto"/>
                <w:spacing w:val="-2"/>
                <w:kern w:val="0"/>
                <w:sz w:val="21"/>
                <w:szCs w:val="21"/>
                <w:highlight w:val="none"/>
                <w:lang w:val="en-US" w:eastAsia="zh-CN"/>
              </w:rPr>
              <w:t>46</w:t>
            </w:r>
          </w:p>
        </w:tc>
        <w:tc>
          <w:tcPr>
            <w:tcW w:w="2088" w:type="dxa"/>
            <w:shd w:val="clear" w:color="auto" w:fill="auto"/>
            <w:vAlign w:val="center"/>
          </w:tcPr>
          <w:p>
            <w:pPr>
              <w:widowControl/>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default" w:ascii="Times New Roman" w:hAnsi="Times New Roman" w:eastAsia="仿宋_GB2312" w:cs="Times New Roman"/>
                <w:color w:val="auto"/>
                <w:spacing w:val="-2"/>
                <w:kern w:val="0"/>
                <w:sz w:val="21"/>
                <w:szCs w:val="21"/>
                <w:highlight w:val="none"/>
                <w:lang w:val="en-US" w:eastAsia="zh-CN"/>
              </w:rPr>
              <w:t>0.</w:t>
            </w:r>
            <w:r>
              <w:rPr>
                <w:rFonts w:hint="eastAsia" w:eastAsia="仿宋_GB2312" w:cs="Times New Roman"/>
                <w:color w:val="auto"/>
                <w:spacing w:val="-2"/>
                <w:kern w:val="0"/>
                <w:sz w:val="21"/>
                <w:szCs w:val="21"/>
                <w:highlight w:val="none"/>
                <w:lang w:val="en-US" w:eastAsia="zh-CN"/>
              </w:rPr>
              <w:t>46</w:t>
            </w:r>
          </w:p>
        </w:tc>
        <w:tc>
          <w:tcPr>
            <w:tcW w:w="2025" w:type="dxa"/>
            <w:shd w:val="clear" w:color="auto" w:fill="auto"/>
            <w:vAlign w:val="center"/>
          </w:tcPr>
          <w:p>
            <w:pPr>
              <w:widowControl/>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default" w:ascii="Times New Roman" w:hAnsi="Times New Roman" w:eastAsia="仿宋_GB2312" w:cs="Times New Roman"/>
                <w:color w:val="auto"/>
                <w:spacing w:val="-2"/>
                <w:kern w:val="0"/>
                <w:sz w:val="21"/>
                <w:szCs w:val="21"/>
                <w:highlight w:val="none"/>
                <w:lang w:val="en-US" w:eastAsia="zh-CN"/>
              </w:rPr>
              <w:t>0.</w:t>
            </w:r>
            <w:r>
              <w:rPr>
                <w:rFonts w:hint="eastAsia" w:eastAsia="仿宋_GB2312" w:cs="Times New Roman"/>
                <w:color w:val="auto"/>
                <w:spacing w:val="-2"/>
                <w:kern w:val="0"/>
                <w:sz w:val="21"/>
                <w:szCs w:val="21"/>
                <w:highlight w:val="none"/>
                <w:lang w:val="en-US" w:eastAsia="zh-CN"/>
              </w:rPr>
              <w:t>46</w:t>
            </w:r>
          </w:p>
        </w:tc>
      </w:tr>
    </w:tbl>
    <w:p>
      <w:pPr>
        <w:pStyle w:val="69"/>
        <w:spacing w:before="120" w:beforeLines="50"/>
        <w:rPr>
          <w:rFonts w:hint="default" w:ascii="Times New Roman" w:hAnsi="Times New Roman" w:cs="Times New Roman"/>
          <w:color w:val="auto"/>
          <w:highlight w:val="none"/>
        </w:rPr>
      </w:pPr>
      <w:r>
        <w:rPr>
          <w:rFonts w:hint="default" w:ascii="Times New Roman" w:hAnsi="Times New Roman" w:cs="Times New Roman"/>
          <w:color w:val="auto"/>
          <w:highlight w:val="none"/>
        </w:rPr>
        <w:t>4.3.2 预测时段</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本工程属于建设类，根据《生产建设项目水土保持技术标准》（GB50433-2018），水土流失预测时段按施工期（包括施工准备期）、自然恢复期两个时段进行。</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（1）施工期（包括施工准备期）</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考虑到本项目工期短，因此施工准备期不单独预测，在施工期间，工程建设相对比较集中，建筑物基础、管沟开挖回填等土石方挖填活动，绿化区、道路工程区车辆来回碾压，机械平整、压实等破坏了项目区原有地貌和植被，扰动了土体结构，致使土体抗蚀能力降低，水土流失加剧。本工程施工期为20</w:t>
      </w:r>
      <w:r>
        <w:rPr>
          <w:rFonts w:hint="eastAsia" w:cs="Times New Roman"/>
          <w:color w:val="auto"/>
          <w:highlight w:val="none"/>
          <w:lang w:val="en-US" w:eastAsia="zh-CN"/>
        </w:rPr>
        <w:t>12</w:t>
      </w:r>
      <w:r>
        <w:rPr>
          <w:rFonts w:hint="default" w:ascii="Times New Roman" w:hAnsi="Times New Roman" w:cs="Times New Roman"/>
          <w:color w:val="auto"/>
          <w:highlight w:val="none"/>
        </w:rPr>
        <w:t>年</w:t>
      </w:r>
      <w:r>
        <w:rPr>
          <w:rFonts w:hint="eastAsia" w:cs="Times New Roman"/>
          <w:color w:val="auto"/>
          <w:highlight w:val="none"/>
          <w:lang w:val="en-US" w:eastAsia="zh-CN"/>
        </w:rPr>
        <w:t>12</w:t>
      </w:r>
      <w:r>
        <w:rPr>
          <w:rFonts w:hint="default" w:ascii="Times New Roman" w:hAnsi="Times New Roman" w:cs="Times New Roman"/>
          <w:color w:val="auto"/>
          <w:highlight w:val="none"/>
        </w:rPr>
        <w:t>月</w:t>
      </w:r>
      <w:r>
        <w:rPr>
          <w:rFonts w:hint="eastAsia" w:cs="Times New Roman"/>
          <w:color w:val="auto"/>
          <w:highlight w:val="none"/>
          <w:lang w:val="en-US" w:eastAsia="zh-CN"/>
        </w:rPr>
        <w:t>1日</w:t>
      </w:r>
      <w:r>
        <w:rPr>
          <w:rFonts w:hint="default" w:ascii="Times New Roman" w:hAnsi="Times New Roman" w:cs="Times New Roman"/>
          <w:color w:val="auto"/>
          <w:highlight w:val="none"/>
        </w:rPr>
        <w:t>～20</w:t>
      </w:r>
      <w:r>
        <w:rPr>
          <w:rFonts w:hint="eastAsia" w:cs="Times New Roman"/>
          <w:color w:val="auto"/>
          <w:highlight w:val="none"/>
          <w:lang w:val="en-US" w:eastAsia="zh-CN"/>
        </w:rPr>
        <w:t>13</w:t>
      </w:r>
      <w:r>
        <w:rPr>
          <w:rFonts w:hint="default" w:ascii="Times New Roman" w:hAnsi="Times New Roman" w:cs="Times New Roman"/>
          <w:color w:val="auto"/>
          <w:highlight w:val="none"/>
        </w:rPr>
        <w:t>年12月</w:t>
      </w:r>
      <w:r>
        <w:rPr>
          <w:rFonts w:hint="eastAsia" w:cs="Times New Roman"/>
          <w:color w:val="auto"/>
          <w:highlight w:val="none"/>
          <w:lang w:val="en-US" w:eastAsia="zh-CN"/>
        </w:rPr>
        <w:t>10日</w:t>
      </w:r>
      <w:r>
        <w:rPr>
          <w:rFonts w:hint="default" w:ascii="Times New Roman" w:hAnsi="Times New Roman" w:cs="Times New Roman"/>
          <w:color w:val="auto"/>
          <w:highlight w:val="none"/>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于本项目各防治区的施工时间不一，其发生水土流失的特点也不尽相同，因此根据各预测单元施工可能产生水土流失的时间，考虑最不利因素确定各预测单元的预测时段，超过雨季风季（项目区每年雨季风季为4月-9月）长度的按一年计算，不超过的按占4月-9月长度的比例加上未在4月-9月施工的时段占一年12个月的比例之和进行计算。</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（2）自然恢复期</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自然恢复期是指各单元施工结束后未采取水土保持措施条件下，松散裸露面逐步趋于稳定、植被自然恢复或在干旱、沙漠地区形成地表结皮，土壤侵蚀强度减弱并接近原背景值所需的时间。根据项目区自然环境条件，确定本工程各预测单元的自然恢复期水土流失预测时段为2-5年，考虑到项目区属典型的冲洪积平原区，考虑到项目区降水稀少、土壤条件差，因此本项目自然恢复期考虑为5年。各单元单项工程完工后，进入自然恢复期。</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本工程水土流失预测的时段具体见表4.3-2。</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表4.3-2       工程水土流失预测时段表        单位：年</w:t>
      </w:r>
    </w:p>
    <w:tbl>
      <w:tblPr>
        <w:tblStyle w:val="27"/>
        <w:tblW w:w="90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4"/>
        <w:gridCol w:w="1843"/>
        <w:gridCol w:w="3261"/>
        <w:gridCol w:w="24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3367" w:type="dxa"/>
            <w:gridSpan w:val="2"/>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防治分区</w:t>
            </w:r>
          </w:p>
        </w:tc>
        <w:tc>
          <w:tcPr>
            <w:tcW w:w="5693" w:type="dxa"/>
            <w:gridSpan w:val="2"/>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流失时段(a)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3367" w:type="dxa"/>
            <w:gridSpan w:val="2"/>
            <w:vMerge w:val="continue"/>
            <w:vAlign w:val="center"/>
          </w:tcPr>
          <w:p>
            <w:pPr>
              <w:pStyle w:val="84"/>
              <w:rPr>
                <w:rFonts w:hint="default" w:ascii="Times New Roman" w:hAnsi="Times New Roman" w:cs="Times New Roman"/>
                <w:color w:val="auto"/>
                <w:highlight w:val="none"/>
              </w:rPr>
            </w:pPr>
          </w:p>
        </w:tc>
        <w:tc>
          <w:tcPr>
            <w:tcW w:w="3261"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施工期（包括施工准备期）</w:t>
            </w:r>
          </w:p>
        </w:tc>
        <w:tc>
          <w:tcPr>
            <w:tcW w:w="2432"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自然恢复期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524"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光伏发电区</w:t>
            </w:r>
          </w:p>
        </w:tc>
        <w:tc>
          <w:tcPr>
            <w:tcW w:w="1843"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光伏阵列区</w:t>
            </w:r>
          </w:p>
        </w:tc>
        <w:tc>
          <w:tcPr>
            <w:tcW w:w="3261"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1.08</w:t>
            </w:r>
          </w:p>
        </w:tc>
        <w:tc>
          <w:tcPr>
            <w:tcW w:w="2432"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5.00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524" w:type="dxa"/>
            <w:vMerge w:val="continue"/>
            <w:vAlign w:val="center"/>
          </w:tcPr>
          <w:p>
            <w:pPr>
              <w:pStyle w:val="84"/>
              <w:rPr>
                <w:rFonts w:hint="default" w:ascii="Times New Roman" w:hAnsi="Times New Roman" w:cs="Times New Roman"/>
                <w:color w:val="auto"/>
                <w:highlight w:val="none"/>
              </w:rPr>
            </w:pPr>
          </w:p>
        </w:tc>
        <w:tc>
          <w:tcPr>
            <w:tcW w:w="1843"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集电线路区</w:t>
            </w:r>
          </w:p>
        </w:tc>
        <w:tc>
          <w:tcPr>
            <w:tcW w:w="3261"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1.08</w:t>
            </w:r>
          </w:p>
        </w:tc>
        <w:tc>
          <w:tcPr>
            <w:tcW w:w="2432"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5.00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524"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道路工程区</w:t>
            </w:r>
          </w:p>
        </w:tc>
        <w:tc>
          <w:tcPr>
            <w:tcW w:w="1843"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进场道路</w:t>
            </w:r>
          </w:p>
        </w:tc>
        <w:tc>
          <w:tcPr>
            <w:tcW w:w="3261"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1.08</w:t>
            </w:r>
          </w:p>
        </w:tc>
        <w:tc>
          <w:tcPr>
            <w:tcW w:w="2432"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5.00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524" w:type="dxa"/>
            <w:vMerge w:val="continue"/>
            <w:vAlign w:val="center"/>
          </w:tcPr>
          <w:p>
            <w:pPr>
              <w:pStyle w:val="84"/>
              <w:rPr>
                <w:rFonts w:hint="default" w:ascii="Times New Roman" w:hAnsi="Times New Roman" w:cs="Times New Roman"/>
                <w:color w:val="auto"/>
                <w:highlight w:val="none"/>
              </w:rPr>
            </w:pPr>
          </w:p>
        </w:tc>
        <w:tc>
          <w:tcPr>
            <w:tcW w:w="1843"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场内道路</w:t>
            </w:r>
          </w:p>
        </w:tc>
        <w:tc>
          <w:tcPr>
            <w:tcW w:w="3261"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1.08</w:t>
            </w:r>
          </w:p>
        </w:tc>
        <w:tc>
          <w:tcPr>
            <w:tcW w:w="2432"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5.00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3367" w:type="dxa"/>
            <w:gridSpan w:val="2"/>
            <w:shd w:val="clear" w:color="auto" w:fill="auto"/>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运行管理区</w:t>
            </w:r>
          </w:p>
        </w:tc>
        <w:tc>
          <w:tcPr>
            <w:tcW w:w="3261"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1.08</w:t>
            </w:r>
          </w:p>
        </w:tc>
        <w:tc>
          <w:tcPr>
            <w:tcW w:w="2432" w:type="dxa"/>
            <w:shd w:val="clear" w:color="auto" w:fill="auto"/>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5.00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3367" w:type="dxa"/>
            <w:gridSpan w:val="2"/>
            <w:shd w:val="clear" w:color="auto" w:fill="auto"/>
            <w:vAlign w:val="center"/>
          </w:tcPr>
          <w:p>
            <w:pPr>
              <w:pStyle w:val="84"/>
              <w:rPr>
                <w:rFonts w:hint="default" w:ascii="Times New Roman" w:hAnsi="Times New Roman" w:eastAsia="仿宋_GB2312" w:cs="Times New Roman"/>
                <w:color w:val="auto"/>
                <w:highlight w:val="none"/>
                <w:lang w:eastAsia="zh-CN"/>
              </w:rPr>
            </w:pPr>
            <w:r>
              <w:rPr>
                <w:rFonts w:hint="eastAsia" w:cs="Times New Roman"/>
                <w:color w:val="auto"/>
                <w:highlight w:val="none"/>
                <w:lang w:eastAsia="zh-CN"/>
              </w:rPr>
              <w:t>施工生产生活区</w:t>
            </w:r>
          </w:p>
        </w:tc>
        <w:tc>
          <w:tcPr>
            <w:tcW w:w="3261"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1.08</w:t>
            </w:r>
          </w:p>
        </w:tc>
        <w:tc>
          <w:tcPr>
            <w:tcW w:w="2432" w:type="dxa"/>
            <w:shd w:val="clear" w:color="auto" w:fill="auto"/>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5.00 </w:t>
            </w:r>
          </w:p>
        </w:tc>
      </w:tr>
    </w:tbl>
    <w:p>
      <w:pPr>
        <w:pStyle w:val="69"/>
        <w:spacing w:before="120" w:beforeLines="50"/>
        <w:rPr>
          <w:rFonts w:hint="default" w:ascii="Times New Roman" w:hAnsi="Times New Roman" w:cs="Times New Roman"/>
          <w:color w:val="auto"/>
          <w:highlight w:val="none"/>
        </w:rPr>
      </w:pPr>
      <w:r>
        <w:rPr>
          <w:rFonts w:hint="default" w:ascii="Times New Roman" w:hAnsi="Times New Roman" w:cs="Times New Roman"/>
          <w:color w:val="auto"/>
          <w:highlight w:val="none"/>
        </w:rPr>
        <w:t>4.3.3 土壤侵蚀模数</w:t>
      </w:r>
    </w:p>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4.3.3.1 扰动前（原地貌）土壤侵蚀模数</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工程区踏勘、测量及综合分析，确定本工程区的气象、地表组成、植被覆盖度等自然环境状况，结合全疆第一次水土流失普查结果，确定项目区在原地表稳定层未破坏的条件下，原生地表土壤侵蚀强度属于轻度风蚀、微度水蚀；根据《土壤侵蚀分类分级标准》（SL190-2007），最终确定项目区的原生地貌土壤侵蚀模数为1</w:t>
      </w:r>
      <w:r>
        <w:rPr>
          <w:rFonts w:hint="eastAsia" w:cs="Times New Roman"/>
          <w:color w:val="auto"/>
          <w:highlight w:val="none"/>
          <w:lang w:val="en-US" w:eastAsia="zh-CN"/>
        </w:rPr>
        <w:t>5</w:t>
      </w:r>
      <w:r>
        <w:rPr>
          <w:rFonts w:hint="default" w:ascii="Times New Roman" w:hAnsi="Times New Roman" w:cs="Times New Roman"/>
          <w:color w:val="auto"/>
          <w:highlight w:val="none"/>
        </w:rPr>
        <w:t>00t/km²</w:t>
      </w:r>
      <w:r>
        <w:rPr>
          <w:rFonts w:hint="default" w:ascii="Times New Roman" w:hAnsi="Times New Roman" w:eastAsia="MS Mincho" w:cs="Times New Roman"/>
          <w:color w:val="auto"/>
          <w:highlight w:val="none"/>
        </w:rPr>
        <w:t>・</w:t>
      </w:r>
      <w:r>
        <w:rPr>
          <w:rFonts w:hint="default" w:ascii="Times New Roman" w:hAnsi="Times New Roman" w:cs="Times New Roman"/>
          <w:color w:val="auto"/>
          <w:highlight w:val="none"/>
        </w:rPr>
        <w:t>a。同时根据项目区所属的水土流失类型、项目区的实际情况，确定工程区土壤容许流失量1</w:t>
      </w:r>
      <w:r>
        <w:rPr>
          <w:rFonts w:hint="eastAsia" w:cs="Times New Roman"/>
          <w:color w:val="auto"/>
          <w:highlight w:val="none"/>
          <w:lang w:val="en-US" w:eastAsia="zh-CN"/>
        </w:rPr>
        <w:t>5</w:t>
      </w:r>
      <w:r>
        <w:rPr>
          <w:rFonts w:hint="default" w:ascii="Times New Roman" w:hAnsi="Times New Roman" w:cs="Times New Roman"/>
          <w:color w:val="auto"/>
          <w:highlight w:val="none"/>
        </w:rPr>
        <w:t>00t/（km²·a）。</w:t>
      </w:r>
    </w:p>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4.3.3.2 施工扰动后土壤侵蚀模数</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建设过程中水土流失受气象、水文、土壤和原有地形地貌、植被影响因素外，还受施工组织、施工工艺及进度等因素影响。按照《生产建设项目水土保持技术标准》（GB50433-2018）要求，根据本项目性质及所在区域，本方案根据收集资料的完整性及水土流失成因相似性的原则，将选择“</w:t>
      </w:r>
      <w:r>
        <w:rPr>
          <w:rFonts w:hint="eastAsia" w:cs="Times New Roman"/>
          <w:color w:val="auto"/>
          <w:highlight w:val="none"/>
          <w:lang w:eastAsia="zh-CN"/>
        </w:rPr>
        <w:t>哈密荣信石城子三期</w:t>
      </w:r>
      <w:r>
        <w:rPr>
          <w:rFonts w:hint="eastAsia" w:cs="Times New Roman"/>
          <w:color w:val="auto"/>
          <w:highlight w:val="none"/>
          <w:lang w:val="en-US" w:eastAsia="zh-CN"/>
        </w:rPr>
        <w:t>20MWp光伏发电项目</w:t>
      </w:r>
      <w:r>
        <w:rPr>
          <w:rFonts w:hint="default" w:ascii="Times New Roman" w:hAnsi="Times New Roman" w:cs="Times New Roman"/>
          <w:color w:val="auto"/>
          <w:highlight w:val="none"/>
        </w:rPr>
        <w:t>”作为本项目的类比工程，该工程离本项目区直线距离</w:t>
      </w:r>
      <w:r>
        <w:rPr>
          <w:rFonts w:hint="eastAsia" w:cs="Times New Roman"/>
          <w:color w:val="auto"/>
          <w:highlight w:val="none"/>
          <w:lang w:val="en-US" w:eastAsia="zh-CN"/>
        </w:rPr>
        <w:t>5km</w:t>
      </w:r>
      <w:r>
        <w:rPr>
          <w:rFonts w:hint="default" w:ascii="Times New Roman" w:hAnsi="Times New Roman" w:cs="Times New Roman"/>
          <w:color w:val="auto"/>
          <w:highlight w:val="none"/>
        </w:rPr>
        <w:t>左右，监测单位为黄河水土保持绥德治理监督局</w:t>
      </w:r>
      <w:r>
        <w:rPr>
          <w:rFonts w:hint="eastAsia" w:cs="Times New Roman"/>
          <w:color w:val="auto"/>
          <w:highlight w:val="none"/>
          <w:lang w:eastAsia="zh-CN"/>
        </w:rPr>
        <w:t>，该项目已通过水土保持验收</w:t>
      </w:r>
      <w:r>
        <w:rPr>
          <w:rFonts w:hint="default" w:ascii="Times New Roman" w:hAnsi="Times New Roman" w:cs="Times New Roman"/>
          <w:color w:val="auto"/>
          <w:highlight w:val="none"/>
        </w:rPr>
        <w:t>。该工程与本项目在气候、土壤、植被、地形地貌、施工工艺、土壤侵蚀类型、侵蚀强度、水土保持状况等方面的情况基本相同，其很多水土流失防治经验值得本项目借鉴，二者直线距离较近，可作为本项目的类比工程</w:t>
      </w:r>
      <w:r>
        <w:rPr>
          <w:rFonts w:hint="eastAsia" w:cs="Times New Roman"/>
          <w:color w:val="auto"/>
          <w:highlight w:val="none"/>
          <w:lang w:eastAsia="zh-CN"/>
        </w:rPr>
        <w:t>。</w:t>
      </w:r>
      <w:r>
        <w:rPr>
          <w:rFonts w:hint="default" w:ascii="Times New Roman" w:hAnsi="Times New Roman" w:cs="Times New Roman"/>
          <w:color w:val="auto"/>
          <w:highlight w:val="none"/>
        </w:rPr>
        <w:br w:type="page"/>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表4.3-3      类比工程土壤侵蚀因素对比表</w:t>
      </w:r>
    </w:p>
    <w:tbl>
      <w:tblPr>
        <w:tblStyle w:val="27"/>
        <w:tblW w:w="88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63"/>
        <w:gridCol w:w="3500"/>
        <w:gridCol w:w="142"/>
        <w:gridCol w:w="36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98" w:hRule="exact"/>
          <w:tblHeader/>
          <w:jc w:val="center"/>
        </w:trPr>
        <w:tc>
          <w:tcPr>
            <w:tcW w:w="1563"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项目类别</w:t>
            </w:r>
          </w:p>
        </w:tc>
        <w:tc>
          <w:tcPr>
            <w:tcW w:w="3500"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p>
        </w:tc>
        <w:tc>
          <w:tcPr>
            <w:tcW w:w="3784" w:type="dxa"/>
            <w:gridSpan w:val="2"/>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类比项目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98" w:hRule="exact"/>
          <w:tblHeader/>
          <w:jc w:val="center"/>
        </w:trPr>
        <w:tc>
          <w:tcPr>
            <w:tcW w:w="1563"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项目名称</w:t>
            </w:r>
          </w:p>
        </w:tc>
        <w:tc>
          <w:tcPr>
            <w:tcW w:w="3500" w:type="dxa"/>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弗光哈密一期20MWp光伏并网发电项目</w:t>
            </w:r>
          </w:p>
        </w:tc>
        <w:tc>
          <w:tcPr>
            <w:tcW w:w="3784" w:type="dxa"/>
            <w:gridSpan w:val="2"/>
            <w:vAlign w:val="center"/>
          </w:tcPr>
          <w:p>
            <w:pPr>
              <w:pStyle w:val="84"/>
              <w:rPr>
                <w:rFonts w:hint="default" w:ascii="Times New Roman" w:hAnsi="Times New Roman" w:eastAsia="仿宋_GB2312" w:cs="Times New Roman"/>
                <w:color w:val="auto"/>
                <w:highlight w:val="none"/>
                <w:lang w:eastAsia="zh-CN"/>
              </w:rPr>
            </w:pPr>
            <w:r>
              <w:rPr>
                <w:rFonts w:hint="eastAsia" w:cs="Times New Roman"/>
                <w:color w:val="auto"/>
                <w:highlight w:val="none"/>
                <w:lang w:eastAsia="zh-CN"/>
              </w:rPr>
              <w:t>哈密荣信石城子三期</w:t>
            </w:r>
            <w:r>
              <w:rPr>
                <w:rFonts w:hint="eastAsia" w:cs="Times New Roman"/>
                <w:color w:val="auto"/>
                <w:highlight w:val="none"/>
                <w:lang w:val="en-US" w:eastAsia="zh-CN"/>
              </w:rPr>
              <w:t>20MWp光伏发电项目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exact"/>
          <w:tblHeader/>
          <w:jc w:val="center"/>
        </w:trPr>
        <w:tc>
          <w:tcPr>
            <w:tcW w:w="1563"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地理位置</w:t>
            </w:r>
          </w:p>
        </w:tc>
        <w:tc>
          <w:tcPr>
            <w:tcW w:w="3500" w:type="dxa"/>
            <w:vAlign w:val="center"/>
          </w:tcPr>
          <w:p>
            <w:pPr>
              <w:pStyle w:val="84"/>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eastAsia="zh-CN"/>
              </w:rPr>
              <w:t>哈密市石城子光伏产业园区</w:t>
            </w:r>
          </w:p>
        </w:tc>
        <w:tc>
          <w:tcPr>
            <w:tcW w:w="3784" w:type="dxa"/>
            <w:gridSpan w:val="2"/>
            <w:vAlign w:val="center"/>
          </w:tcPr>
          <w:p>
            <w:pPr>
              <w:pStyle w:val="84"/>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eastAsia="zh-CN"/>
              </w:rPr>
              <w:t>哈密市石城子光伏产业园区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exact"/>
          <w:tblHeader/>
          <w:jc w:val="center"/>
        </w:trPr>
        <w:tc>
          <w:tcPr>
            <w:tcW w:w="1563" w:type="dxa"/>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建设性质</w:t>
            </w:r>
          </w:p>
        </w:tc>
        <w:tc>
          <w:tcPr>
            <w:tcW w:w="3500" w:type="dxa"/>
            <w:vAlign w:val="center"/>
          </w:tcPr>
          <w:p>
            <w:pPr>
              <w:pStyle w:val="84"/>
              <w:rPr>
                <w:rFonts w:hint="default" w:ascii="Times New Roman" w:hAnsi="Times New Roman" w:cs="Times New Roman"/>
                <w:color w:val="auto"/>
                <w:highlight w:val="none"/>
                <w:lang w:eastAsia="zh-CN"/>
              </w:rPr>
            </w:pPr>
            <w:r>
              <w:rPr>
                <w:rFonts w:hint="eastAsia" w:cs="Times New Roman"/>
                <w:color w:val="auto"/>
                <w:highlight w:val="none"/>
                <w:lang w:eastAsia="zh-CN"/>
              </w:rPr>
              <w:t>新建</w:t>
            </w:r>
          </w:p>
        </w:tc>
        <w:tc>
          <w:tcPr>
            <w:tcW w:w="3784" w:type="dxa"/>
            <w:gridSpan w:val="2"/>
            <w:vAlign w:val="center"/>
          </w:tcPr>
          <w:p>
            <w:pPr>
              <w:pStyle w:val="84"/>
              <w:rPr>
                <w:rFonts w:hint="default" w:ascii="Times New Roman" w:hAnsi="Times New Roman" w:cs="Times New Roman"/>
                <w:color w:val="auto"/>
                <w:highlight w:val="none"/>
                <w:lang w:eastAsia="zh-CN"/>
              </w:rPr>
            </w:pPr>
            <w:r>
              <w:rPr>
                <w:rFonts w:hint="eastAsia" w:cs="Times New Roman"/>
                <w:color w:val="auto"/>
                <w:highlight w:val="none"/>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6" w:hRule="exact"/>
          <w:tblHeader/>
          <w:jc w:val="center"/>
        </w:trPr>
        <w:tc>
          <w:tcPr>
            <w:tcW w:w="1563"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地形地貌</w:t>
            </w:r>
          </w:p>
        </w:tc>
        <w:tc>
          <w:tcPr>
            <w:tcW w:w="3500"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冲洪</w:t>
            </w:r>
            <w:r>
              <w:rPr>
                <w:rFonts w:hint="default" w:ascii="Times New Roman" w:hAnsi="Times New Roman" w:cs="Times New Roman"/>
                <w:color w:val="auto"/>
                <w:highlight w:val="none"/>
                <w:lang w:eastAsia="zh-CN"/>
              </w:rPr>
              <w:t>积</w:t>
            </w:r>
            <w:r>
              <w:rPr>
                <w:rFonts w:hint="default" w:ascii="Times New Roman" w:hAnsi="Times New Roman" w:cs="Times New Roman"/>
                <w:color w:val="auto"/>
                <w:highlight w:val="none"/>
              </w:rPr>
              <w:t>平原区</w:t>
            </w:r>
          </w:p>
        </w:tc>
        <w:tc>
          <w:tcPr>
            <w:tcW w:w="3784" w:type="dxa"/>
            <w:gridSpan w:val="2"/>
            <w:vAlign w:val="center"/>
          </w:tcPr>
          <w:p>
            <w:pPr>
              <w:pStyle w:val="84"/>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冲洪</w:t>
            </w:r>
            <w:r>
              <w:rPr>
                <w:rFonts w:hint="default" w:ascii="Times New Roman" w:hAnsi="Times New Roman" w:cs="Times New Roman"/>
                <w:color w:val="auto"/>
                <w:highlight w:val="none"/>
                <w:lang w:eastAsia="zh-CN"/>
              </w:rPr>
              <w:t>积</w:t>
            </w:r>
            <w:r>
              <w:rPr>
                <w:rFonts w:hint="default" w:ascii="Times New Roman" w:hAnsi="Times New Roman" w:cs="Times New Roman"/>
                <w:color w:val="auto"/>
                <w:highlight w:val="none"/>
              </w:rPr>
              <w:t>平原区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exact"/>
          <w:tblHeader/>
          <w:jc w:val="center"/>
        </w:trPr>
        <w:tc>
          <w:tcPr>
            <w:tcW w:w="1563"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土壤条件</w:t>
            </w:r>
          </w:p>
        </w:tc>
        <w:tc>
          <w:tcPr>
            <w:tcW w:w="3500" w:type="dxa"/>
            <w:vAlign w:val="center"/>
          </w:tcPr>
          <w:p>
            <w:pPr>
              <w:pStyle w:val="84"/>
              <w:rPr>
                <w:rFonts w:hint="default" w:ascii="Times New Roman" w:hAnsi="Times New Roman" w:cs="Times New Roman"/>
                <w:color w:val="auto"/>
                <w:highlight w:val="none"/>
              </w:rPr>
            </w:pPr>
            <w:r>
              <w:rPr>
                <w:rFonts w:hint="eastAsia" w:ascii="仿宋" w:hAnsi="仿宋" w:eastAsia="仿宋"/>
                <w:sz w:val="21"/>
              </w:rPr>
              <w:t>砾质</w:t>
            </w:r>
            <w:r>
              <w:rPr>
                <w:rFonts w:ascii="仿宋" w:hAnsi="仿宋" w:eastAsia="仿宋"/>
                <w:sz w:val="21"/>
              </w:rPr>
              <w:t>灰棕漠土</w:t>
            </w:r>
          </w:p>
        </w:tc>
        <w:tc>
          <w:tcPr>
            <w:tcW w:w="3784" w:type="dxa"/>
            <w:gridSpan w:val="2"/>
            <w:vAlign w:val="center"/>
          </w:tcPr>
          <w:p>
            <w:pPr>
              <w:pStyle w:val="84"/>
              <w:ind w:firstLine="0" w:firstLineChars="0"/>
              <w:rPr>
                <w:rFonts w:hint="default" w:ascii="Times New Roman" w:hAnsi="Times New Roman" w:cs="Times New Roman"/>
                <w:color w:val="auto"/>
                <w:highlight w:val="none"/>
              </w:rPr>
            </w:pPr>
            <w:r>
              <w:rPr>
                <w:rFonts w:hint="eastAsia" w:ascii="仿宋" w:hAnsi="仿宋" w:eastAsia="仿宋"/>
                <w:sz w:val="21"/>
              </w:rPr>
              <w:t>砾质</w:t>
            </w:r>
            <w:r>
              <w:rPr>
                <w:rFonts w:ascii="仿宋" w:hAnsi="仿宋" w:eastAsia="仿宋"/>
                <w:sz w:val="21"/>
              </w:rPr>
              <w:t>灰棕漠土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exact"/>
          <w:tblHeader/>
          <w:jc w:val="center"/>
        </w:trPr>
        <w:tc>
          <w:tcPr>
            <w:tcW w:w="1563"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植被情况</w:t>
            </w:r>
          </w:p>
        </w:tc>
        <w:tc>
          <w:tcPr>
            <w:tcW w:w="3500"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荒漠植被，植被覆盖度</w:t>
            </w:r>
            <w:r>
              <w:rPr>
                <w:rFonts w:hint="eastAsia" w:cs="Times New Roman"/>
                <w:color w:val="auto"/>
                <w:highlight w:val="none"/>
                <w:lang w:val="en-US" w:eastAsia="zh-CN"/>
              </w:rPr>
              <w:t>5</w:t>
            </w:r>
            <w:r>
              <w:rPr>
                <w:rFonts w:hint="default" w:ascii="Times New Roman" w:hAnsi="Times New Roman" w:cs="Times New Roman"/>
                <w:color w:val="auto"/>
                <w:highlight w:val="none"/>
              </w:rPr>
              <w:t>%左右</w:t>
            </w:r>
          </w:p>
        </w:tc>
        <w:tc>
          <w:tcPr>
            <w:tcW w:w="3784" w:type="dxa"/>
            <w:gridSpan w:val="2"/>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荒漠植被，植被覆盖度</w:t>
            </w:r>
            <w:r>
              <w:rPr>
                <w:rFonts w:hint="eastAsia" w:cs="Times New Roman"/>
                <w:color w:val="auto"/>
                <w:highlight w:val="none"/>
                <w:lang w:val="en-US" w:eastAsia="zh-CN"/>
              </w:rPr>
              <w:t>5</w:t>
            </w:r>
            <w:r>
              <w:rPr>
                <w:rFonts w:hint="default" w:ascii="Times New Roman" w:hAnsi="Times New Roman" w:cs="Times New Roman"/>
                <w:color w:val="auto"/>
                <w:highlight w:val="none"/>
              </w:rPr>
              <w:t>%左右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9" w:hRule="exact"/>
          <w:tblHeader/>
          <w:jc w:val="center"/>
        </w:trPr>
        <w:tc>
          <w:tcPr>
            <w:tcW w:w="1563"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土壤侵蚀强度</w:t>
            </w:r>
          </w:p>
        </w:tc>
        <w:tc>
          <w:tcPr>
            <w:tcW w:w="3500"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轻度风力微度水力侵蚀，风力侵蚀为主</w:t>
            </w:r>
          </w:p>
        </w:tc>
        <w:tc>
          <w:tcPr>
            <w:tcW w:w="3784" w:type="dxa"/>
            <w:gridSpan w:val="2"/>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轻度风力微度水力侵蚀，风力侵蚀为主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49" w:hRule="exact"/>
          <w:tblHeader/>
          <w:jc w:val="center"/>
        </w:trPr>
        <w:tc>
          <w:tcPr>
            <w:tcW w:w="1563" w:type="dxa"/>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g</w:t>
            </w:r>
            <w:r>
              <w:rPr>
                <w:rFonts w:hint="eastAsia" w:cs="Times New Roman"/>
                <w:color w:val="auto"/>
                <w:highlight w:val="none"/>
                <w:lang w:val="en-US" w:eastAsia="zh-CN"/>
              </w:rPr>
              <w:t>u</w:t>
            </w:r>
            <w:r>
              <w:rPr>
                <w:rFonts w:hint="eastAsia" w:cs="Times New Roman"/>
                <w:color w:val="auto"/>
                <w:highlight w:val="none"/>
                <w:lang w:eastAsia="zh-CN"/>
              </w:rPr>
              <w:t>气象条件</w:t>
            </w:r>
          </w:p>
        </w:tc>
        <w:tc>
          <w:tcPr>
            <w:tcW w:w="3500" w:type="dxa"/>
            <w:vAlign w:val="center"/>
          </w:tcPr>
          <w:p>
            <w:pPr>
              <w:pStyle w:val="84"/>
              <w:rPr>
                <w:rFonts w:hint="default" w:ascii="Times New Roman" w:hAnsi="Times New Roman" w:eastAsia="仿宋" w:cs="Times New Roman"/>
                <w:color w:val="auto"/>
                <w:highlight w:val="none"/>
                <w:lang w:val="en-US" w:eastAsia="zh-CN"/>
              </w:rPr>
            </w:pPr>
            <w:r>
              <w:rPr>
                <w:rFonts w:ascii="仿宋" w:hAnsi="仿宋" w:eastAsia="仿宋"/>
                <w:color w:val="auto"/>
                <w:sz w:val="21"/>
                <w:szCs w:val="21"/>
              </w:rPr>
              <w:t>工程区为典型的大陆性气候，其特点是干旱，少雨，温差大，多风</w:t>
            </w:r>
            <w:r>
              <w:rPr>
                <w:rFonts w:hint="eastAsia" w:ascii="仿宋" w:hAnsi="仿宋" w:eastAsia="仿宋"/>
                <w:color w:val="auto"/>
                <w:sz w:val="21"/>
                <w:szCs w:val="21"/>
                <w:lang w:eastAsia="zh-CN"/>
              </w:rPr>
              <w:t>，风期集中在</w:t>
            </w:r>
            <w:r>
              <w:rPr>
                <w:rFonts w:hint="eastAsia" w:ascii="仿宋" w:hAnsi="仿宋" w:eastAsia="仿宋"/>
                <w:color w:val="auto"/>
                <w:sz w:val="21"/>
                <w:szCs w:val="21"/>
                <w:lang w:val="en-US" w:eastAsia="zh-CN"/>
              </w:rPr>
              <w:t>3-5月</w:t>
            </w:r>
          </w:p>
        </w:tc>
        <w:tc>
          <w:tcPr>
            <w:tcW w:w="3784" w:type="dxa"/>
            <w:gridSpan w:val="2"/>
            <w:vAlign w:val="center"/>
          </w:tcPr>
          <w:p>
            <w:pPr>
              <w:pStyle w:val="84"/>
              <w:ind w:firstLine="0" w:firstLineChars="0"/>
              <w:rPr>
                <w:rFonts w:hint="default" w:ascii="Times New Roman" w:hAnsi="Times New Roman" w:cs="Times New Roman"/>
                <w:color w:val="auto"/>
                <w:highlight w:val="none"/>
              </w:rPr>
            </w:pPr>
            <w:r>
              <w:rPr>
                <w:rFonts w:ascii="仿宋" w:hAnsi="仿宋" w:eastAsia="仿宋"/>
                <w:color w:val="auto"/>
                <w:sz w:val="21"/>
                <w:szCs w:val="21"/>
              </w:rPr>
              <w:t>工程区为典型的大陆性气候，其特点是干旱，少雨，温差大，多风</w:t>
            </w:r>
            <w:r>
              <w:rPr>
                <w:rFonts w:hint="eastAsia" w:ascii="仿宋" w:hAnsi="仿宋" w:eastAsia="仿宋"/>
                <w:color w:val="auto"/>
                <w:sz w:val="21"/>
                <w:szCs w:val="21"/>
                <w:lang w:eastAsia="zh-CN"/>
              </w:rPr>
              <w:t>，风期集中在</w:t>
            </w:r>
            <w:r>
              <w:rPr>
                <w:rFonts w:hint="eastAsia" w:ascii="仿宋" w:hAnsi="仿宋" w:eastAsia="仿宋"/>
                <w:color w:val="auto"/>
                <w:sz w:val="21"/>
                <w:szCs w:val="21"/>
                <w:lang w:val="en-US" w:eastAsia="zh-CN"/>
              </w:rPr>
              <w:t>3-5月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exact"/>
          <w:tblHeader/>
          <w:jc w:val="center"/>
        </w:trPr>
        <w:tc>
          <w:tcPr>
            <w:tcW w:w="1563"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年平均温度</w:t>
            </w:r>
          </w:p>
        </w:tc>
        <w:tc>
          <w:tcPr>
            <w:tcW w:w="3500" w:type="dxa"/>
            <w:vAlign w:val="center"/>
          </w:tcPr>
          <w:p>
            <w:pPr>
              <w:pStyle w:val="84"/>
              <w:rPr>
                <w:rFonts w:hint="default" w:ascii="Times New Roman" w:hAnsi="Times New Roman" w:cs="Times New Roman"/>
                <w:color w:val="auto"/>
                <w:highlight w:val="none"/>
              </w:rPr>
            </w:pPr>
            <w:r>
              <w:rPr>
                <w:rFonts w:hint="eastAsia" w:eastAsia="宋体" w:cs="Times New Roman"/>
                <w:color w:val="auto"/>
                <w:highlight w:val="none"/>
                <w:lang w:val="en-US" w:eastAsia="zh-CN"/>
              </w:rPr>
              <w:t>10.1</w:t>
            </w:r>
            <w:r>
              <w:rPr>
                <w:rFonts w:hint="default" w:ascii="Times New Roman" w:hAnsi="Times New Roman" w:eastAsia="宋体" w:cs="Times New Roman"/>
                <w:color w:val="auto"/>
                <w:highlight w:val="none"/>
              </w:rPr>
              <w:t>℃</w:t>
            </w:r>
          </w:p>
        </w:tc>
        <w:tc>
          <w:tcPr>
            <w:tcW w:w="3784" w:type="dxa"/>
            <w:gridSpan w:val="2"/>
            <w:vAlign w:val="center"/>
          </w:tcPr>
          <w:p>
            <w:pPr>
              <w:pStyle w:val="84"/>
              <w:ind w:firstLine="0" w:firstLineChars="0"/>
              <w:rPr>
                <w:rFonts w:hint="default" w:ascii="Times New Roman" w:hAnsi="Times New Roman" w:cs="Times New Roman"/>
                <w:color w:val="auto"/>
                <w:highlight w:val="none"/>
              </w:rPr>
            </w:pPr>
            <w:r>
              <w:rPr>
                <w:rFonts w:hint="eastAsia" w:eastAsia="宋体" w:cs="Times New Roman"/>
                <w:color w:val="auto"/>
                <w:highlight w:val="none"/>
                <w:lang w:val="en-US" w:eastAsia="zh-CN"/>
              </w:rPr>
              <w:t>10.1</w:t>
            </w:r>
            <w:r>
              <w:rPr>
                <w:rFonts w:hint="default" w:ascii="Times New Roman" w:hAnsi="Times New Roman" w:eastAsia="宋体"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0" w:hRule="exact"/>
          <w:tblHeader/>
          <w:jc w:val="center"/>
        </w:trPr>
        <w:tc>
          <w:tcPr>
            <w:tcW w:w="1563"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年蒸发量</w:t>
            </w:r>
          </w:p>
        </w:tc>
        <w:tc>
          <w:tcPr>
            <w:tcW w:w="3500" w:type="dxa"/>
            <w:vAlign w:val="center"/>
          </w:tcPr>
          <w:p>
            <w:pPr>
              <w:pStyle w:val="84"/>
              <w:rPr>
                <w:rFonts w:hint="default" w:ascii="Times New Roman" w:hAnsi="Times New Roman" w:cs="Times New Roman"/>
                <w:color w:val="auto"/>
                <w:highlight w:val="none"/>
              </w:rPr>
            </w:pPr>
            <w:r>
              <w:rPr>
                <w:rFonts w:hint="eastAsia" w:cs="Times New Roman"/>
                <w:color w:val="auto"/>
                <w:highlight w:val="none"/>
                <w:lang w:val="en-US" w:eastAsia="zh-CN"/>
              </w:rPr>
              <w:t>2442.5</w:t>
            </w:r>
            <w:r>
              <w:rPr>
                <w:rFonts w:hint="default" w:ascii="Times New Roman" w:hAnsi="Times New Roman" w:cs="Times New Roman"/>
                <w:color w:val="auto"/>
                <w:highlight w:val="none"/>
              </w:rPr>
              <w:t>mm</w:t>
            </w:r>
          </w:p>
        </w:tc>
        <w:tc>
          <w:tcPr>
            <w:tcW w:w="3784" w:type="dxa"/>
            <w:gridSpan w:val="2"/>
            <w:vAlign w:val="center"/>
          </w:tcPr>
          <w:p>
            <w:pPr>
              <w:pStyle w:val="84"/>
              <w:ind w:firstLine="0" w:firstLineChars="0"/>
              <w:rPr>
                <w:rFonts w:hint="default" w:ascii="Times New Roman" w:hAnsi="Times New Roman" w:cs="Times New Roman"/>
                <w:color w:val="auto"/>
                <w:highlight w:val="none"/>
              </w:rPr>
            </w:pPr>
            <w:r>
              <w:rPr>
                <w:rFonts w:hint="eastAsia" w:cs="Times New Roman"/>
                <w:color w:val="auto"/>
                <w:highlight w:val="none"/>
                <w:lang w:val="en-US" w:eastAsia="zh-CN"/>
              </w:rPr>
              <w:t>2442.5</w:t>
            </w:r>
            <w:r>
              <w:rPr>
                <w:rFonts w:hint="default" w:ascii="Times New Roman" w:hAnsi="Times New Roman" w:cs="Times New Roman"/>
                <w:color w:val="auto"/>
                <w:highlight w:val="none"/>
              </w:rPr>
              <w:t>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exact"/>
          <w:tblHeader/>
          <w:jc w:val="center"/>
        </w:trPr>
        <w:tc>
          <w:tcPr>
            <w:tcW w:w="1563"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年降水量</w:t>
            </w:r>
          </w:p>
        </w:tc>
        <w:tc>
          <w:tcPr>
            <w:tcW w:w="3500" w:type="dxa"/>
            <w:vAlign w:val="center"/>
          </w:tcPr>
          <w:p>
            <w:pPr>
              <w:pStyle w:val="84"/>
              <w:rPr>
                <w:rFonts w:hint="default" w:ascii="Times New Roman" w:hAnsi="Times New Roman" w:cs="Times New Roman"/>
                <w:color w:val="auto"/>
                <w:highlight w:val="none"/>
              </w:rPr>
            </w:pPr>
            <w:r>
              <w:rPr>
                <w:rFonts w:hint="eastAsia" w:cs="Times New Roman"/>
                <w:color w:val="auto"/>
                <w:highlight w:val="none"/>
                <w:lang w:val="en-US" w:eastAsia="zh-CN"/>
              </w:rPr>
              <w:t>34.9</w:t>
            </w:r>
            <w:r>
              <w:rPr>
                <w:rFonts w:hint="default" w:ascii="Times New Roman" w:hAnsi="Times New Roman" w:cs="Times New Roman"/>
                <w:color w:val="auto"/>
                <w:highlight w:val="none"/>
              </w:rPr>
              <w:t>mm</w:t>
            </w:r>
          </w:p>
        </w:tc>
        <w:tc>
          <w:tcPr>
            <w:tcW w:w="3784" w:type="dxa"/>
            <w:gridSpan w:val="2"/>
            <w:vAlign w:val="center"/>
          </w:tcPr>
          <w:p>
            <w:pPr>
              <w:pStyle w:val="84"/>
              <w:ind w:firstLine="0" w:firstLineChars="0"/>
              <w:rPr>
                <w:rFonts w:hint="default" w:ascii="Times New Roman" w:hAnsi="Times New Roman" w:cs="Times New Roman"/>
                <w:color w:val="auto"/>
                <w:highlight w:val="none"/>
              </w:rPr>
            </w:pPr>
            <w:r>
              <w:rPr>
                <w:rFonts w:hint="eastAsia" w:cs="Times New Roman"/>
                <w:color w:val="auto"/>
                <w:highlight w:val="none"/>
                <w:lang w:val="en-US" w:eastAsia="zh-CN"/>
              </w:rPr>
              <w:t>34.9</w:t>
            </w:r>
            <w:r>
              <w:rPr>
                <w:rFonts w:hint="default" w:ascii="Times New Roman" w:hAnsi="Times New Roman" w:cs="Times New Roman"/>
                <w:color w:val="auto"/>
                <w:highlight w:val="none"/>
              </w:rPr>
              <w:t>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exact"/>
          <w:tblHeader/>
          <w:jc w:val="center"/>
        </w:trPr>
        <w:tc>
          <w:tcPr>
            <w:tcW w:w="1563"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平均风速</w:t>
            </w:r>
          </w:p>
        </w:tc>
        <w:tc>
          <w:tcPr>
            <w:tcW w:w="3500"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1.6m/s</w:t>
            </w:r>
          </w:p>
        </w:tc>
        <w:tc>
          <w:tcPr>
            <w:tcW w:w="3784" w:type="dxa"/>
            <w:gridSpan w:val="2"/>
            <w:vAlign w:val="center"/>
          </w:tcPr>
          <w:p>
            <w:pPr>
              <w:pStyle w:val="84"/>
              <w:ind w:firstLine="0" w:firstLineChars="0"/>
              <w:rPr>
                <w:rFonts w:hint="default" w:ascii="Times New Roman" w:hAnsi="Times New Roman" w:cs="Times New Roman"/>
                <w:color w:val="auto"/>
                <w:highlight w:val="none"/>
              </w:rPr>
            </w:pPr>
            <w:r>
              <w:rPr>
                <w:rFonts w:hint="eastAsia" w:cs="Times New Roman"/>
                <w:color w:val="auto"/>
                <w:highlight w:val="none"/>
                <w:lang w:val="en-US" w:eastAsia="zh-CN"/>
              </w:rPr>
              <w:t>1.6</w:t>
            </w:r>
            <w:r>
              <w:rPr>
                <w:rFonts w:hint="default" w:ascii="Times New Roman" w:hAnsi="Times New Roman" w:cs="Times New Roman"/>
                <w:color w:val="auto"/>
                <w:highlight w:val="none"/>
              </w:rPr>
              <w:t>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66" w:hRule="exact"/>
          <w:tblHeader/>
          <w:jc w:val="center"/>
        </w:trPr>
        <w:tc>
          <w:tcPr>
            <w:tcW w:w="1563"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项目建设产生水土流失特点</w:t>
            </w:r>
          </w:p>
        </w:tc>
        <w:tc>
          <w:tcPr>
            <w:tcW w:w="7284" w:type="dxa"/>
            <w:gridSpan w:val="3"/>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项目区开挖、填筑，机械、人员活动等，使占地区地表原状土壤结构和植被受到扰动，改变了现状地形，使原有水土保持功能减弱甚至丧失，如不及时采取有效的防治措施，将不可避免地造成水土流失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6" w:hRule="exact"/>
          <w:tblHeader/>
          <w:jc w:val="center"/>
        </w:trPr>
        <w:tc>
          <w:tcPr>
            <w:tcW w:w="1563" w:type="dxa"/>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监测单位</w:t>
            </w:r>
          </w:p>
        </w:tc>
        <w:tc>
          <w:tcPr>
            <w:tcW w:w="3642" w:type="dxa"/>
            <w:gridSpan w:val="2"/>
            <w:vAlign w:val="center"/>
          </w:tcPr>
          <w:p>
            <w:pPr>
              <w:pStyle w:val="84"/>
              <w:rPr>
                <w:rFonts w:hint="default" w:ascii="Times New Roman" w:hAnsi="Times New Roman" w:cs="Times New Roman"/>
                <w:color w:val="auto"/>
                <w:highlight w:val="none"/>
              </w:rPr>
            </w:pPr>
            <w:r>
              <w:rPr>
                <w:rFonts w:hint="eastAsia" w:ascii="仿宋" w:hAnsi="仿宋" w:eastAsia="仿宋"/>
                <w:color w:val="auto"/>
                <w:sz w:val="21"/>
                <w:szCs w:val="21"/>
              </w:rPr>
              <w:t>新疆万汇工程项目管理有限公司</w:t>
            </w:r>
          </w:p>
        </w:tc>
        <w:tc>
          <w:tcPr>
            <w:tcW w:w="3642"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黄河水土保持绥德治理监督局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6" w:hRule="exact"/>
          <w:tblHeader/>
          <w:jc w:val="center"/>
        </w:trPr>
        <w:tc>
          <w:tcPr>
            <w:tcW w:w="1563" w:type="dxa"/>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监测时段</w:t>
            </w:r>
          </w:p>
        </w:tc>
        <w:tc>
          <w:tcPr>
            <w:tcW w:w="3642" w:type="dxa"/>
            <w:gridSpan w:val="2"/>
            <w:vAlign w:val="center"/>
          </w:tcPr>
          <w:p>
            <w:pPr>
              <w:pStyle w:val="84"/>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2012年12月至2013年12月</w:t>
            </w:r>
          </w:p>
        </w:tc>
        <w:tc>
          <w:tcPr>
            <w:tcW w:w="3642" w:type="dxa"/>
            <w:vAlign w:val="center"/>
          </w:tcPr>
          <w:p>
            <w:pPr>
              <w:pStyle w:val="61"/>
              <w:adjustRightInd w:val="0"/>
              <w:snapToGrid w:val="0"/>
              <w:spacing w:line="240" w:lineRule="auto"/>
              <w:ind w:firstLine="0" w:firstLineChars="0"/>
              <w:jc w:val="center"/>
              <w:rPr>
                <w:rFonts w:hint="default" w:ascii="Times New Roman" w:hAnsi="Times New Roman" w:cs="Times New Roman"/>
                <w:color w:val="auto"/>
                <w:highlight w:val="none"/>
              </w:rPr>
            </w:pPr>
            <w:r>
              <w:rPr>
                <w:rFonts w:hint="eastAsia" w:ascii="仿宋" w:hAnsi="仿宋" w:eastAsia="仿宋"/>
                <w:color w:val="auto"/>
                <w:sz w:val="21"/>
                <w:szCs w:val="21"/>
              </w:rPr>
              <w:t>201</w:t>
            </w:r>
            <w:r>
              <w:rPr>
                <w:rFonts w:hint="eastAsia" w:ascii="仿宋" w:hAnsi="仿宋" w:eastAsia="仿宋"/>
                <w:color w:val="auto"/>
                <w:sz w:val="21"/>
                <w:szCs w:val="21"/>
                <w:lang w:val="en-US" w:eastAsia="zh-CN"/>
              </w:rPr>
              <w:t>6</w:t>
            </w:r>
            <w:r>
              <w:rPr>
                <w:rFonts w:hint="eastAsia" w:ascii="仿宋" w:hAnsi="仿宋" w:eastAsia="仿宋"/>
                <w:color w:val="auto"/>
                <w:sz w:val="21"/>
                <w:szCs w:val="21"/>
              </w:rPr>
              <w:t>年</w:t>
            </w:r>
            <w:r>
              <w:rPr>
                <w:rFonts w:hint="eastAsia" w:ascii="仿宋" w:hAnsi="仿宋" w:eastAsia="仿宋"/>
                <w:color w:val="auto"/>
                <w:sz w:val="21"/>
                <w:szCs w:val="21"/>
                <w:lang w:val="en-US" w:eastAsia="zh-CN"/>
              </w:rPr>
              <w:t>6</w:t>
            </w:r>
            <w:r>
              <w:rPr>
                <w:rFonts w:hint="eastAsia" w:ascii="仿宋" w:hAnsi="仿宋" w:eastAsia="仿宋"/>
                <w:color w:val="auto"/>
                <w:sz w:val="21"/>
                <w:szCs w:val="21"/>
              </w:rPr>
              <w:t>月至2017年</w:t>
            </w:r>
            <w:r>
              <w:rPr>
                <w:rFonts w:hint="eastAsia" w:ascii="仿宋" w:hAnsi="仿宋" w:eastAsia="仿宋"/>
                <w:color w:val="auto"/>
                <w:sz w:val="21"/>
                <w:szCs w:val="21"/>
                <w:lang w:val="en-US" w:eastAsia="zh-CN"/>
              </w:rPr>
              <w:t>6</w:t>
            </w:r>
            <w:r>
              <w:rPr>
                <w:rFonts w:hint="eastAsia" w:ascii="仿宋" w:hAnsi="仿宋" w:eastAsia="仿宋"/>
                <w:color w:val="auto"/>
                <w:sz w:val="21"/>
                <w:szCs w:val="21"/>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6" w:hRule="exact"/>
          <w:tblHeader/>
          <w:jc w:val="center"/>
        </w:trPr>
        <w:tc>
          <w:tcPr>
            <w:tcW w:w="1563" w:type="dxa"/>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是否验收</w:t>
            </w:r>
          </w:p>
        </w:tc>
        <w:tc>
          <w:tcPr>
            <w:tcW w:w="3642" w:type="dxa"/>
            <w:gridSpan w:val="2"/>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未验收</w:t>
            </w:r>
          </w:p>
        </w:tc>
        <w:tc>
          <w:tcPr>
            <w:tcW w:w="3642" w:type="dxa"/>
            <w:vAlign w:val="center"/>
          </w:tcPr>
          <w:p>
            <w:pPr>
              <w:pStyle w:val="61"/>
              <w:adjustRightInd w:val="0"/>
              <w:snapToGrid w:val="0"/>
              <w:spacing w:line="240" w:lineRule="auto"/>
              <w:ind w:firstLine="0" w:firstLineChars="0"/>
              <w:jc w:val="center"/>
              <w:rPr>
                <w:rFonts w:hint="default" w:ascii="Times New Roman" w:hAnsi="Times New Roman" w:cs="Times New Roman"/>
                <w:color w:val="auto"/>
                <w:highlight w:val="none"/>
              </w:rPr>
            </w:pPr>
            <w:r>
              <w:rPr>
                <w:rFonts w:hint="eastAsia" w:ascii="仿宋" w:hAnsi="仿宋" w:eastAsia="仿宋"/>
                <w:color w:val="auto"/>
                <w:sz w:val="21"/>
                <w:szCs w:val="21"/>
              </w:rPr>
              <w:t>通过验收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exact"/>
          <w:tblHeader/>
          <w:jc w:val="center"/>
        </w:trPr>
        <w:tc>
          <w:tcPr>
            <w:tcW w:w="1563"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结论</w:t>
            </w:r>
          </w:p>
        </w:tc>
        <w:tc>
          <w:tcPr>
            <w:tcW w:w="7284" w:type="dxa"/>
            <w:gridSpan w:val="3"/>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具有较强的类比性</w:t>
            </w:r>
          </w:p>
        </w:tc>
      </w:tr>
    </w:tbl>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类比工程通过现场调查观测的监测方法，积累比较全面的水土流失现状调查资料。根据对类比工程的水土保持监测数据进行比较分析，在现场调查的时候对原地貌主要侵蚀类型进</w:t>
      </w:r>
      <w:r>
        <w:rPr>
          <w:rFonts w:hint="eastAsia" w:cs="Times New Roman"/>
          <w:color w:val="auto"/>
          <w:highlight w:val="none"/>
          <w:lang w:val="en-US" w:eastAsia="zh-CN"/>
        </w:rPr>
        <w:t>qie</w:t>
      </w:r>
      <w:r>
        <w:rPr>
          <w:rFonts w:hint="default" w:ascii="Times New Roman" w:hAnsi="Times New Roman" w:cs="Times New Roman"/>
          <w:color w:val="auto"/>
          <w:highlight w:val="none"/>
        </w:rPr>
        <w:t>行实验测定，并咨询当地水土保持专家后修正确定侵蚀模数（按不利情况考虑，扰动后模数的取值大多在实测值的基础上进行了适当修正）。根据类比工程“</w:t>
      </w:r>
      <w:r>
        <w:rPr>
          <w:rFonts w:hint="eastAsia" w:cs="Times New Roman"/>
          <w:color w:val="auto"/>
          <w:highlight w:val="none"/>
          <w:lang w:eastAsia="zh-CN"/>
        </w:rPr>
        <w:t>哈密荣信石城子三期</w:t>
      </w:r>
      <w:r>
        <w:rPr>
          <w:rFonts w:hint="eastAsia" w:cs="Times New Roman"/>
          <w:color w:val="auto"/>
          <w:highlight w:val="none"/>
          <w:lang w:val="en-US" w:eastAsia="zh-CN"/>
        </w:rPr>
        <w:t>20MWp光伏发电项目</w:t>
      </w:r>
      <w:r>
        <w:rPr>
          <w:rFonts w:hint="default" w:ascii="Times New Roman" w:hAnsi="Times New Roman" w:cs="Times New Roman"/>
          <w:color w:val="auto"/>
          <w:highlight w:val="none"/>
        </w:rPr>
        <w:t>”的监测数据</w:t>
      </w:r>
      <w:r>
        <w:rPr>
          <w:rFonts w:hint="eastAsia" w:cs="Times New Roman"/>
          <w:color w:val="auto"/>
          <w:highlight w:val="none"/>
          <w:lang w:eastAsia="zh-CN"/>
        </w:rPr>
        <w:t>，</w:t>
      </w:r>
      <w:r>
        <w:t>考虑到</w:t>
      </w:r>
      <w:r>
        <w:rPr>
          <w:rFonts w:hint="eastAsia"/>
          <w:lang w:eastAsia="zh-CN"/>
        </w:rPr>
        <w:t>两个项目地理位置、</w:t>
      </w:r>
      <w:r>
        <w:t>植被</w:t>
      </w:r>
      <w:r>
        <w:rPr>
          <w:rFonts w:hint="eastAsia"/>
          <w:lang w:eastAsia="zh-CN"/>
        </w:rPr>
        <w:t>类型及覆盖度、</w:t>
      </w:r>
      <w:r>
        <w:t>降水量</w:t>
      </w:r>
      <w:r>
        <w:rPr>
          <w:rFonts w:hint="eastAsia"/>
          <w:lang w:eastAsia="zh-CN"/>
        </w:rPr>
        <w:t>、</w:t>
      </w:r>
      <w:r>
        <w:t>平均风速</w:t>
      </w:r>
      <w:r>
        <w:rPr>
          <w:rFonts w:hint="eastAsia"/>
          <w:lang w:eastAsia="zh-CN"/>
        </w:rPr>
        <w:t>基本一致，且两个工程工程类别、扰动形式相近，且建设期均跨越整个自然年，采取的水保措施相近，故</w:t>
      </w:r>
      <w:r>
        <w:rPr>
          <w:rFonts w:hint="eastAsia" w:cs="Times New Roman"/>
          <w:color w:val="auto"/>
          <w:highlight w:val="none"/>
          <w:lang w:eastAsia="zh-CN"/>
        </w:rPr>
        <w:t>根据</w:t>
      </w:r>
      <w:r>
        <w:rPr>
          <w:rFonts w:hint="default" w:ascii="Times New Roman" w:hAnsi="Times New Roman" w:cs="Times New Roman"/>
          <w:color w:val="auto"/>
          <w:highlight w:val="none"/>
        </w:rPr>
        <w:t>类比项目扰动后土壤侵蚀模数为</w:t>
      </w: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000</w:t>
      </w:r>
      <w:r>
        <w:rPr>
          <w:rFonts w:hint="default" w:ascii="Times New Roman" w:hAnsi="Times New Roman" w:cs="Times New Roman"/>
          <w:color w:val="auto"/>
          <w:highlight w:val="none"/>
        </w:rPr>
        <w:t>t/km²</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rPr>
        <w:t>a，</w:t>
      </w:r>
      <w:r>
        <w:rPr>
          <w:rFonts w:hint="eastAsia" w:cs="Times New Roman"/>
          <w:color w:val="auto"/>
          <w:highlight w:val="none"/>
          <w:lang w:eastAsia="zh-CN"/>
        </w:rPr>
        <w:t>本项目不做修正，</w:t>
      </w:r>
      <w:r>
        <w:rPr>
          <w:rFonts w:hint="default" w:ascii="Times New Roman" w:hAnsi="Times New Roman" w:cs="Times New Roman"/>
          <w:color w:val="auto"/>
          <w:highlight w:val="none"/>
        </w:rPr>
        <w:t>最终确定本项目扰动后扰动后土壤侵蚀模数为</w:t>
      </w: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000</w:t>
      </w:r>
      <w:r>
        <w:rPr>
          <w:rFonts w:hint="default" w:ascii="Times New Roman" w:hAnsi="Times New Roman" w:cs="Times New Roman"/>
          <w:color w:val="auto"/>
          <w:highlight w:val="none"/>
        </w:rPr>
        <w:t>t/km²</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rPr>
        <w:t>a。</w:t>
      </w:r>
    </w:p>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4.3.3.3 自然恢复期侵蚀模数的确定</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自然恢复期内项目建设区由于地表所受人为扰动减少，侵蚀模数在自然恢复期内随着地表逐渐的稳定，其数值逐渐减少，但在此区域缺少这方面的监测资料，因此根据当地水土保持工作经验，结合咨询相关专家，确定本工程各预测单元的自然恢复期为2-5年，考虑到项目区属典型的山前冲洪积倾斜平原区，考虑到项目区降水稀少、土壤条件差，因此本项目自然恢复期考虑为5年。项目区经过5年的自然恢复，扰动后土壤侵蚀模数可恢复到原地貌水平。</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本项目各防治分区施工扰动后的土壤侵蚀模数见表4.3-3。</w:t>
      </w: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表4.3-3   扰动原地貌前后侵蚀模数变化汇总表</w:t>
      </w:r>
    </w:p>
    <w:tbl>
      <w:tblPr>
        <w:tblStyle w:val="27"/>
        <w:tblW w:w="90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6"/>
        <w:gridCol w:w="1356"/>
        <w:gridCol w:w="1113"/>
        <w:gridCol w:w="1218"/>
        <w:gridCol w:w="850"/>
        <w:gridCol w:w="839"/>
        <w:gridCol w:w="948"/>
        <w:gridCol w:w="902"/>
        <w:gridCol w:w="10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172" w:type="dxa"/>
            <w:gridSpan w:val="2"/>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防治分区</w:t>
            </w:r>
          </w:p>
        </w:tc>
        <w:tc>
          <w:tcPr>
            <w:tcW w:w="1113"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原地貌</w:t>
            </w:r>
          </w:p>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土壤侵蚀模数</w:t>
            </w:r>
          </w:p>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(t/km²</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rPr>
              <w:t>a)</w:t>
            </w:r>
          </w:p>
        </w:tc>
        <w:tc>
          <w:tcPr>
            <w:tcW w:w="5775" w:type="dxa"/>
            <w:gridSpan w:val="6"/>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扰动后土壤侵蚀模数(t/km²</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2172" w:type="dxa"/>
            <w:gridSpan w:val="2"/>
            <w:vMerge w:val="continue"/>
            <w:vAlign w:val="center"/>
          </w:tcPr>
          <w:p>
            <w:pPr>
              <w:pStyle w:val="84"/>
              <w:rPr>
                <w:rFonts w:hint="default" w:ascii="Times New Roman" w:hAnsi="Times New Roman" w:cs="Times New Roman"/>
                <w:color w:val="auto"/>
                <w:highlight w:val="none"/>
              </w:rPr>
            </w:pPr>
          </w:p>
        </w:tc>
        <w:tc>
          <w:tcPr>
            <w:tcW w:w="1113" w:type="dxa"/>
            <w:vMerge w:val="continue"/>
            <w:vAlign w:val="center"/>
          </w:tcPr>
          <w:p>
            <w:pPr>
              <w:pStyle w:val="84"/>
              <w:rPr>
                <w:rFonts w:hint="default" w:ascii="Times New Roman" w:hAnsi="Times New Roman" w:cs="Times New Roman"/>
                <w:color w:val="auto"/>
                <w:highlight w:val="none"/>
              </w:rPr>
            </w:pPr>
          </w:p>
        </w:tc>
        <w:tc>
          <w:tcPr>
            <w:tcW w:w="1218"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施工期（包括施工准备期）</w:t>
            </w:r>
          </w:p>
        </w:tc>
        <w:tc>
          <w:tcPr>
            <w:tcW w:w="4557" w:type="dxa"/>
            <w:gridSpan w:val="5"/>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自然恢复期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2172" w:type="dxa"/>
            <w:gridSpan w:val="2"/>
            <w:vMerge w:val="continue"/>
            <w:vAlign w:val="center"/>
          </w:tcPr>
          <w:p>
            <w:pPr>
              <w:pStyle w:val="84"/>
              <w:rPr>
                <w:rFonts w:hint="default" w:ascii="Times New Roman" w:hAnsi="Times New Roman" w:cs="Times New Roman"/>
                <w:color w:val="auto"/>
                <w:highlight w:val="none"/>
              </w:rPr>
            </w:pPr>
          </w:p>
        </w:tc>
        <w:tc>
          <w:tcPr>
            <w:tcW w:w="1113" w:type="dxa"/>
            <w:vMerge w:val="continue"/>
            <w:vAlign w:val="center"/>
          </w:tcPr>
          <w:p>
            <w:pPr>
              <w:pStyle w:val="84"/>
              <w:rPr>
                <w:rFonts w:hint="default" w:ascii="Times New Roman" w:hAnsi="Times New Roman" w:cs="Times New Roman"/>
                <w:color w:val="auto"/>
                <w:highlight w:val="none"/>
              </w:rPr>
            </w:pPr>
          </w:p>
        </w:tc>
        <w:tc>
          <w:tcPr>
            <w:tcW w:w="1218" w:type="dxa"/>
            <w:vMerge w:val="continue"/>
            <w:vAlign w:val="center"/>
          </w:tcPr>
          <w:p>
            <w:pPr>
              <w:pStyle w:val="84"/>
              <w:rPr>
                <w:rFonts w:hint="default" w:ascii="Times New Roman" w:hAnsi="Times New Roman" w:cs="Times New Roman"/>
                <w:color w:val="auto"/>
                <w:highlight w:val="none"/>
              </w:rPr>
            </w:pPr>
          </w:p>
        </w:tc>
        <w:tc>
          <w:tcPr>
            <w:tcW w:w="850"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第一年</w:t>
            </w:r>
          </w:p>
        </w:tc>
        <w:tc>
          <w:tcPr>
            <w:tcW w:w="839"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第二年</w:t>
            </w:r>
          </w:p>
        </w:tc>
        <w:tc>
          <w:tcPr>
            <w:tcW w:w="948"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第三年</w:t>
            </w:r>
          </w:p>
        </w:tc>
        <w:tc>
          <w:tcPr>
            <w:tcW w:w="902"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第四年</w:t>
            </w:r>
          </w:p>
        </w:tc>
        <w:tc>
          <w:tcPr>
            <w:tcW w:w="1018"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第五年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816"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光伏发电区</w:t>
            </w:r>
          </w:p>
        </w:tc>
        <w:tc>
          <w:tcPr>
            <w:tcW w:w="1356"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光伏阵列区</w:t>
            </w:r>
          </w:p>
        </w:tc>
        <w:tc>
          <w:tcPr>
            <w:tcW w:w="1113" w:type="dxa"/>
            <w:shd w:val="clear" w:color="auto" w:fill="auto"/>
            <w:vAlign w:val="center"/>
          </w:tcPr>
          <w:p>
            <w:pPr>
              <w:pStyle w:val="84"/>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rPr>
              <w:t>1</w:t>
            </w:r>
            <w:r>
              <w:rPr>
                <w:rFonts w:hint="eastAsia" w:cs="Times New Roman"/>
                <w:color w:val="auto"/>
                <w:highlight w:val="none"/>
                <w:lang w:val="en-US" w:eastAsia="zh-CN"/>
              </w:rPr>
              <w:t>500</w:t>
            </w:r>
          </w:p>
        </w:tc>
        <w:tc>
          <w:tcPr>
            <w:tcW w:w="1218"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eastAsia="仿宋_GB2312" w:cs="Times New Roman"/>
                <w:color w:val="auto"/>
                <w:spacing w:val="-2"/>
                <w:kern w:val="0"/>
                <w:sz w:val="21"/>
                <w:szCs w:val="21"/>
                <w:highlight w:val="none"/>
                <w:lang w:val="en-US" w:eastAsia="zh-CN" w:bidi="ar-SA"/>
              </w:rPr>
              <w:t>4000</w:t>
            </w:r>
          </w:p>
        </w:tc>
        <w:tc>
          <w:tcPr>
            <w:tcW w:w="850"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3300</w:t>
            </w:r>
          </w:p>
        </w:tc>
        <w:tc>
          <w:tcPr>
            <w:tcW w:w="839"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2700</w:t>
            </w:r>
          </w:p>
        </w:tc>
        <w:tc>
          <w:tcPr>
            <w:tcW w:w="948"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2200</w:t>
            </w:r>
          </w:p>
        </w:tc>
        <w:tc>
          <w:tcPr>
            <w:tcW w:w="902"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1800</w:t>
            </w:r>
          </w:p>
        </w:tc>
        <w:tc>
          <w:tcPr>
            <w:tcW w:w="1018"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816" w:type="dxa"/>
            <w:vMerge w:val="continue"/>
            <w:vAlign w:val="center"/>
          </w:tcPr>
          <w:p>
            <w:pPr>
              <w:pStyle w:val="84"/>
              <w:rPr>
                <w:rFonts w:hint="default" w:ascii="Times New Roman" w:hAnsi="Times New Roman" w:cs="Times New Roman"/>
                <w:color w:val="auto"/>
                <w:highlight w:val="none"/>
              </w:rPr>
            </w:pPr>
          </w:p>
        </w:tc>
        <w:tc>
          <w:tcPr>
            <w:tcW w:w="1356"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集电线路区</w:t>
            </w:r>
          </w:p>
        </w:tc>
        <w:tc>
          <w:tcPr>
            <w:tcW w:w="1113"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cs="Times New Roman"/>
                <w:color w:val="auto"/>
                <w:highlight w:val="none"/>
                <w:lang w:val="en-US" w:eastAsia="zh-CN"/>
              </w:rPr>
              <w:t>500</w:t>
            </w:r>
          </w:p>
        </w:tc>
        <w:tc>
          <w:tcPr>
            <w:tcW w:w="1218"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eastAsia="仿宋_GB2312" w:cs="Times New Roman"/>
                <w:color w:val="auto"/>
                <w:spacing w:val="-2"/>
                <w:kern w:val="0"/>
                <w:sz w:val="21"/>
                <w:szCs w:val="21"/>
                <w:highlight w:val="none"/>
                <w:lang w:val="en-US" w:eastAsia="zh-CN" w:bidi="ar-SA"/>
              </w:rPr>
              <w:t>4000</w:t>
            </w:r>
          </w:p>
        </w:tc>
        <w:tc>
          <w:tcPr>
            <w:tcW w:w="850"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3300</w:t>
            </w:r>
          </w:p>
        </w:tc>
        <w:tc>
          <w:tcPr>
            <w:tcW w:w="839"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2700</w:t>
            </w:r>
          </w:p>
        </w:tc>
        <w:tc>
          <w:tcPr>
            <w:tcW w:w="948"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2200</w:t>
            </w:r>
          </w:p>
        </w:tc>
        <w:tc>
          <w:tcPr>
            <w:tcW w:w="902"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1800</w:t>
            </w:r>
          </w:p>
        </w:tc>
        <w:tc>
          <w:tcPr>
            <w:tcW w:w="1018"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816"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道路工程区</w:t>
            </w:r>
          </w:p>
        </w:tc>
        <w:tc>
          <w:tcPr>
            <w:tcW w:w="1356"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进场道路</w:t>
            </w:r>
          </w:p>
        </w:tc>
        <w:tc>
          <w:tcPr>
            <w:tcW w:w="1113"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cs="Times New Roman"/>
                <w:color w:val="auto"/>
                <w:highlight w:val="none"/>
                <w:lang w:val="en-US" w:eastAsia="zh-CN"/>
              </w:rPr>
              <w:t>500</w:t>
            </w:r>
          </w:p>
        </w:tc>
        <w:tc>
          <w:tcPr>
            <w:tcW w:w="1218"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eastAsia="仿宋_GB2312" w:cs="Times New Roman"/>
                <w:color w:val="auto"/>
                <w:spacing w:val="-2"/>
                <w:kern w:val="0"/>
                <w:sz w:val="21"/>
                <w:szCs w:val="21"/>
                <w:highlight w:val="none"/>
                <w:lang w:val="en-US" w:eastAsia="zh-CN" w:bidi="ar-SA"/>
              </w:rPr>
              <w:t>4000</w:t>
            </w:r>
          </w:p>
        </w:tc>
        <w:tc>
          <w:tcPr>
            <w:tcW w:w="850"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3300</w:t>
            </w:r>
          </w:p>
        </w:tc>
        <w:tc>
          <w:tcPr>
            <w:tcW w:w="839"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2700</w:t>
            </w:r>
          </w:p>
        </w:tc>
        <w:tc>
          <w:tcPr>
            <w:tcW w:w="948"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2200</w:t>
            </w:r>
          </w:p>
        </w:tc>
        <w:tc>
          <w:tcPr>
            <w:tcW w:w="902"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1800</w:t>
            </w:r>
          </w:p>
        </w:tc>
        <w:tc>
          <w:tcPr>
            <w:tcW w:w="1018"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816" w:type="dxa"/>
            <w:vMerge w:val="continue"/>
            <w:vAlign w:val="center"/>
          </w:tcPr>
          <w:p>
            <w:pPr>
              <w:pStyle w:val="84"/>
              <w:rPr>
                <w:rFonts w:hint="default" w:ascii="Times New Roman" w:hAnsi="Times New Roman" w:cs="Times New Roman"/>
                <w:color w:val="auto"/>
                <w:highlight w:val="none"/>
              </w:rPr>
            </w:pPr>
          </w:p>
        </w:tc>
        <w:tc>
          <w:tcPr>
            <w:tcW w:w="1356"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场内道路</w:t>
            </w:r>
          </w:p>
        </w:tc>
        <w:tc>
          <w:tcPr>
            <w:tcW w:w="1113"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cs="Times New Roman"/>
                <w:color w:val="auto"/>
                <w:highlight w:val="none"/>
                <w:lang w:val="en-US" w:eastAsia="zh-CN"/>
              </w:rPr>
              <w:t>500</w:t>
            </w:r>
          </w:p>
        </w:tc>
        <w:tc>
          <w:tcPr>
            <w:tcW w:w="1218"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eastAsia="仿宋_GB2312" w:cs="Times New Roman"/>
                <w:color w:val="auto"/>
                <w:spacing w:val="-2"/>
                <w:kern w:val="0"/>
                <w:sz w:val="21"/>
                <w:szCs w:val="21"/>
                <w:highlight w:val="none"/>
                <w:lang w:val="en-US" w:eastAsia="zh-CN" w:bidi="ar-SA"/>
              </w:rPr>
              <w:t>4000</w:t>
            </w:r>
          </w:p>
        </w:tc>
        <w:tc>
          <w:tcPr>
            <w:tcW w:w="850"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3300</w:t>
            </w:r>
          </w:p>
        </w:tc>
        <w:tc>
          <w:tcPr>
            <w:tcW w:w="839"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2700</w:t>
            </w:r>
          </w:p>
        </w:tc>
        <w:tc>
          <w:tcPr>
            <w:tcW w:w="948"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2200</w:t>
            </w:r>
          </w:p>
        </w:tc>
        <w:tc>
          <w:tcPr>
            <w:tcW w:w="902"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1800</w:t>
            </w:r>
          </w:p>
        </w:tc>
        <w:tc>
          <w:tcPr>
            <w:tcW w:w="1018"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2172" w:type="dxa"/>
            <w:gridSpan w:val="2"/>
            <w:shd w:val="clear" w:color="auto" w:fill="auto"/>
            <w:vAlign w:val="center"/>
          </w:tcPr>
          <w:p>
            <w:pPr>
              <w:pStyle w:val="84"/>
              <w:rPr>
                <w:rFonts w:hint="default" w:ascii="Times New Roman" w:hAnsi="Times New Roman" w:cs="Times New Roman"/>
                <w:color w:val="auto"/>
                <w:highlight w:val="none"/>
              </w:rPr>
            </w:pPr>
            <w:r>
              <w:rPr>
                <w:rFonts w:hint="eastAsia" w:cs="Times New Roman"/>
                <w:color w:val="auto"/>
                <w:highlight w:val="none"/>
                <w:lang w:eastAsia="zh-CN"/>
              </w:rPr>
              <w:t>运行管理区</w:t>
            </w:r>
          </w:p>
        </w:tc>
        <w:tc>
          <w:tcPr>
            <w:tcW w:w="1113"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cs="Times New Roman"/>
                <w:color w:val="auto"/>
                <w:highlight w:val="none"/>
                <w:lang w:val="en-US" w:eastAsia="zh-CN"/>
              </w:rPr>
              <w:t>500</w:t>
            </w:r>
          </w:p>
        </w:tc>
        <w:tc>
          <w:tcPr>
            <w:tcW w:w="1218"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eastAsia="仿宋_GB2312" w:cs="Times New Roman"/>
                <w:color w:val="auto"/>
                <w:spacing w:val="-2"/>
                <w:kern w:val="0"/>
                <w:sz w:val="21"/>
                <w:szCs w:val="21"/>
                <w:highlight w:val="none"/>
                <w:lang w:val="en-US" w:eastAsia="zh-CN" w:bidi="ar-SA"/>
              </w:rPr>
              <w:t>4000</w:t>
            </w:r>
          </w:p>
        </w:tc>
        <w:tc>
          <w:tcPr>
            <w:tcW w:w="850"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3300</w:t>
            </w:r>
          </w:p>
        </w:tc>
        <w:tc>
          <w:tcPr>
            <w:tcW w:w="839"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2700</w:t>
            </w:r>
          </w:p>
        </w:tc>
        <w:tc>
          <w:tcPr>
            <w:tcW w:w="948"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2200</w:t>
            </w:r>
          </w:p>
        </w:tc>
        <w:tc>
          <w:tcPr>
            <w:tcW w:w="902"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1800</w:t>
            </w:r>
          </w:p>
        </w:tc>
        <w:tc>
          <w:tcPr>
            <w:tcW w:w="1018"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172" w:type="dxa"/>
            <w:gridSpan w:val="2"/>
            <w:shd w:val="clear" w:color="auto" w:fill="auto"/>
            <w:vAlign w:val="center"/>
          </w:tcPr>
          <w:p>
            <w:pPr>
              <w:pStyle w:val="84"/>
              <w:rPr>
                <w:rFonts w:hint="default" w:ascii="Times New Roman" w:hAnsi="Times New Roman" w:eastAsia="仿宋_GB2312" w:cs="Times New Roman"/>
                <w:color w:val="auto"/>
                <w:highlight w:val="none"/>
                <w:lang w:eastAsia="zh-CN"/>
              </w:rPr>
            </w:pPr>
            <w:r>
              <w:rPr>
                <w:rFonts w:hint="eastAsia" w:cs="Times New Roman"/>
                <w:color w:val="auto"/>
                <w:highlight w:val="none"/>
                <w:lang w:eastAsia="zh-CN"/>
              </w:rPr>
              <w:t>施工生产生活区</w:t>
            </w:r>
          </w:p>
        </w:tc>
        <w:tc>
          <w:tcPr>
            <w:tcW w:w="1113"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cs="Times New Roman"/>
                <w:color w:val="auto"/>
                <w:highlight w:val="none"/>
                <w:lang w:val="en-US" w:eastAsia="zh-CN"/>
              </w:rPr>
              <w:t>500</w:t>
            </w:r>
          </w:p>
        </w:tc>
        <w:tc>
          <w:tcPr>
            <w:tcW w:w="1218"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eastAsia="仿宋_GB2312" w:cs="Times New Roman"/>
                <w:color w:val="auto"/>
                <w:spacing w:val="-2"/>
                <w:kern w:val="0"/>
                <w:sz w:val="21"/>
                <w:szCs w:val="21"/>
                <w:highlight w:val="none"/>
                <w:lang w:val="en-US" w:eastAsia="zh-CN" w:bidi="ar-SA"/>
              </w:rPr>
              <w:t>4000</w:t>
            </w:r>
          </w:p>
        </w:tc>
        <w:tc>
          <w:tcPr>
            <w:tcW w:w="850"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3300</w:t>
            </w:r>
          </w:p>
        </w:tc>
        <w:tc>
          <w:tcPr>
            <w:tcW w:w="839"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2700</w:t>
            </w:r>
          </w:p>
        </w:tc>
        <w:tc>
          <w:tcPr>
            <w:tcW w:w="948"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2200</w:t>
            </w:r>
          </w:p>
        </w:tc>
        <w:tc>
          <w:tcPr>
            <w:tcW w:w="902"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1800</w:t>
            </w:r>
          </w:p>
        </w:tc>
        <w:tc>
          <w:tcPr>
            <w:tcW w:w="1018" w:type="dxa"/>
            <w:shd w:val="clear" w:color="auto" w:fill="auto"/>
            <w:vAlign w:val="center"/>
          </w:tcPr>
          <w:p>
            <w:pPr>
              <w:pStyle w:val="84"/>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z w:val="21"/>
                <w:szCs w:val="21"/>
                <w:highlight w:val="none"/>
              </w:rPr>
              <w:t>1500</w:t>
            </w:r>
          </w:p>
        </w:tc>
      </w:tr>
    </w:tbl>
    <w:p>
      <w:pPr>
        <w:pStyle w:val="69"/>
        <w:spacing w:before="120" w:beforeLines="50"/>
        <w:rPr>
          <w:rFonts w:hint="default" w:ascii="Times New Roman" w:hAnsi="Times New Roman" w:cs="Times New Roman"/>
          <w:color w:val="auto"/>
          <w:highlight w:val="none"/>
        </w:rPr>
      </w:pPr>
      <w:r>
        <w:rPr>
          <w:rFonts w:hint="default" w:ascii="Times New Roman" w:hAnsi="Times New Roman" w:cs="Times New Roman"/>
          <w:color w:val="auto"/>
          <w:highlight w:val="none"/>
        </w:rPr>
        <w:t>4.3.4 预测结果</w:t>
      </w:r>
    </w:p>
    <w:p>
      <w:pPr>
        <w:pStyle w:val="56"/>
        <w:ind w:firstLine="480"/>
        <w:rPr>
          <w:rFonts w:hint="default" w:ascii="Times New Roman" w:hAnsi="Times New Roman" w:cs="Times New Roman"/>
          <w:color w:val="auto"/>
          <w:highlight w:val="none"/>
        </w:rPr>
      </w:pPr>
      <w:bookmarkStart w:id="106" w:name="_Toc20665"/>
      <w:bookmarkStart w:id="107" w:name="_Toc26990"/>
      <w:r>
        <w:rPr>
          <w:rFonts w:hint="default" w:ascii="Times New Roman" w:hAnsi="Times New Roman" w:cs="Times New Roman"/>
          <w:color w:val="auto"/>
          <w:highlight w:val="none"/>
        </w:rPr>
        <w:t>根据《生产建设项目水土保持技术标准》（GB50433-2018）确定的土壤流失预测方法，经计算，本项目扰动后产生的水土流失总量</w:t>
      </w:r>
      <w:r>
        <w:rPr>
          <w:rFonts w:hint="eastAsia" w:cs="Times New Roman"/>
          <w:color w:val="auto"/>
          <w:highlight w:val="none"/>
          <w:lang w:val="en-US" w:eastAsia="zh-CN"/>
        </w:rPr>
        <w:t>7760.17</w:t>
      </w:r>
      <w:r>
        <w:rPr>
          <w:rFonts w:hint="default" w:ascii="Times New Roman" w:hAnsi="Times New Roman" w:cs="Times New Roman"/>
          <w:color w:val="auto"/>
          <w:highlight w:val="none"/>
        </w:rPr>
        <w:t>t，其中背景水土流失量44</w:t>
      </w:r>
      <w:r>
        <w:rPr>
          <w:rFonts w:hint="eastAsia" w:cs="Times New Roman"/>
          <w:color w:val="auto"/>
          <w:highlight w:val="none"/>
          <w:lang w:val="en-US" w:eastAsia="zh-CN"/>
        </w:rPr>
        <w:t>68.75</w:t>
      </w:r>
      <w:r>
        <w:rPr>
          <w:rFonts w:hint="default" w:ascii="Times New Roman" w:hAnsi="Times New Roman" w:cs="Times New Roman"/>
          <w:color w:val="auto"/>
          <w:highlight w:val="none"/>
        </w:rPr>
        <w:t>t，新增水土流失量32</w:t>
      </w:r>
      <w:r>
        <w:rPr>
          <w:rFonts w:hint="eastAsia" w:cs="Times New Roman"/>
          <w:color w:val="auto"/>
          <w:highlight w:val="none"/>
          <w:lang w:val="en-US" w:eastAsia="zh-CN"/>
        </w:rPr>
        <w:t>91.42</w:t>
      </w:r>
      <w:r>
        <w:rPr>
          <w:rFonts w:hint="default" w:ascii="Times New Roman" w:hAnsi="Times New Roman" w:cs="Times New Roman"/>
          <w:color w:val="auto"/>
          <w:highlight w:val="none"/>
        </w:rPr>
        <w:t>t。</w:t>
      </w:r>
    </w:p>
    <w:p>
      <w:pPr>
        <w:pStyle w:val="75"/>
        <w:rPr>
          <w:rFonts w:hint="default" w:ascii="Times New Roman" w:hAnsi="Times New Roman" w:cs="Times New Roman"/>
          <w:color w:val="auto"/>
          <w:highlight w:val="none"/>
        </w:rPr>
        <w:sectPr>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表4.3-4         本项目水土流失预测结果</w:t>
      </w:r>
    </w:p>
    <w:tbl>
      <w:tblPr>
        <w:tblStyle w:val="27"/>
        <w:tblW w:w="1398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540"/>
        <w:gridCol w:w="1826"/>
        <w:gridCol w:w="995"/>
        <w:gridCol w:w="1323"/>
        <w:gridCol w:w="1298"/>
        <w:gridCol w:w="1130"/>
        <w:gridCol w:w="1065"/>
        <w:gridCol w:w="1141"/>
        <w:gridCol w:w="1116"/>
        <w:gridCol w:w="1331"/>
        <w:gridCol w:w="121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3366"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预测单元</w:t>
            </w:r>
          </w:p>
        </w:tc>
        <w:tc>
          <w:tcPr>
            <w:tcW w:w="2318"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预测时段</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侵蚀背景值t/(km²·a)</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扰动后侵蚀模数t/(km²·a)</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侵蚀面积(hm²)</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侵蚀时间(年)</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背景流失量(t)</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预测流失量(t)</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新增流失量(t)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54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光伏发电区</w:t>
            </w:r>
          </w:p>
        </w:tc>
        <w:tc>
          <w:tcPr>
            <w:tcW w:w="182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光伏阵列区</w:t>
            </w:r>
          </w:p>
        </w:tc>
        <w:tc>
          <w:tcPr>
            <w:tcW w:w="2318"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施工期</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4000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43.46</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1.08</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704.05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1877.47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1173.42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自然恢复期</w:t>
            </w: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第一年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3300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43.35</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650.25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1430.55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780.30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第二年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2700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43.35</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650.25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1170.45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520.20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第三年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2200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43.35</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650.25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953.70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303.45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第四年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1800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43.35</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650.25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780.30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130.05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第五年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1500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43.35</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650.25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650.25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2318"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小计</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3955.30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6862.72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2907.42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集电线路区</w:t>
            </w:r>
          </w:p>
        </w:tc>
        <w:tc>
          <w:tcPr>
            <w:tcW w:w="2318"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施工期</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4000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2.76</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1.08</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44.71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119.23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74.52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自然恢复期</w:t>
            </w: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第一年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3300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2.76</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41.40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91.08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49.68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第二年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2700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2.76</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41.40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74.52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33.12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第三年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2200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2.76</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41.40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60.72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19.32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第四年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1800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2.76</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41.40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49.68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8.28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第五年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1500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2.76</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41.40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41.40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2318"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小计</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251.71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436.63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184.92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道路工程区</w:t>
            </w:r>
          </w:p>
        </w:tc>
        <w:tc>
          <w:tcPr>
            <w:tcW w:w="182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进场道路</w:t>
            </w:r>
          </w:p>
        </w:tc>
        <w:tc>
          <w:tcPr>
            <w:tcW w:w="2318"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施工期</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4000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0.</w:t>
            </w:r>
            <w:r>
              <w:rPr>
                <w:rFonts w:hint="eastAsia" w:eastAsia="仿宋_GB2312" w:cs="Times New Roman"/>
                <w:color w:val="auto"/>
                <w:spacing w:val="-2"/>
                <w:kern w:val="0"/>
                <w:sz w:val="21"/>
                <w:szCs w:val="21"/>
                <w:highlight w:val="none"/>
                <w:lang w:val="en-US" w:eastAsia="zh-CN" w:bidi="ar-SA"/>
              </w:rPr>
              <w:t>03</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1.08</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0.49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1.30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0.81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自然恢复期</w:t>
            </w: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第一年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3300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0</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0.00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0.00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第二年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2700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0</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0.00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0.00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第三年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2200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0</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0.00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0.00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第四年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1800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0</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0.00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0.00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第五年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1500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0</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0.00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0.00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2318"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小计</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0.49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1.30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0.81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场内道路</w:t>
            </w:r>
          </w:p>
        </w:tc>
        <w:tc>
          <w:tcPr>
            <w:tcW w:w="2318"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施工期</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4000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1.92</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1.08</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31.10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82.94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51.84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自然恢复期</w:t>
            </w: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第一年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3300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1.92</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28.80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63.36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34.56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第二年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2700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1.92</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28.80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51.84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23.04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第三年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2200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1.92</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28.80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42.24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13.44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第四年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1800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1.92</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28.80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34.56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5.76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第五年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1500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1.92</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28.80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28.80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8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2318"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小计</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175.10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303.74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128.64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6" w:type="dxa"/>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运行管理</w:t>
            </w:r>
            <w:r>
              <w:rPr>
                <w:rFonts w:hint="default" w:ascii="Times New Roman" w:hAnsi="Times New Roman" w:eastAsia="仿宋_GB2312" w:cs="Times New Roman"/>
                <w:color w:val="auto"/>
                <w:spacing w:val="-2"/>
                <w:kern w:val="0"/>
                <w:sz w:val="21"/>
                <w:szCs w:val="21"/>
                <w:highlight w:val="none"/>
                <w:lang w:val="en-US" w:eastAsia="zh-CN" w:bidi="ar-SA"/>
              </w:rPr>
              <w:t>区</w:t>
            </w:r>
          </w:p>
        </w:tc>
        <w:tc>
          <w:tcPr>
            <w:tcW w:w="2318"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施工期</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4000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0.</w:t>
            </w:r>
            <w:r>
              <w:rPr>
                <w:rFonts w:hint="eastAsia" w:eastAsia="仿宋_GB2312" w:cs="Times New Roman"/>
                <w:color w:val="auto"/>
                <w:spacing w:val="-2"/>
                <w:kern w:val="0"/>
                <w:sz w:val="21"/>
                <w:szCs w:val="21"/>
                <w:highlight w:val="none"/>
                <w:lang w:val="en-US" w:eastAsia="zh-CN" w:bidi="ar-SA"/>
              </w:rPr>
              <w:t>83</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1.08</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13.45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35.86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22.41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6" w:type="dxa"/>
            <w:gridSpan w:val="2"/>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自然恢复期</w:t>
            </w: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第一年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3300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0.41</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6.15</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13.53</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7.38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6" w:type="dxa"/>
            <w:gridSpan w:val="2"/>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第二年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2700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0.41</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6.15</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11.07</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4.92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6" w:type="dxa"/>
            <w:gridSpan w:val="2"/>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第三年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2200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0.41</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6.15</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9.02</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2.87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6" w:type="dxa"/>
            <w:gridSpan w:val="2"/>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第四年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1800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0.41</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6.15</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7.38</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1.23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6" w:type="dxa"/>
            <w:gridSpan w:val="2"/>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第五年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1500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0.41</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6.15</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6.15</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6" w:type="dxa"/>
            <w:gridSpan w:val="2"/>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2318"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小计</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44.2</w:t>
            </w:r>
            <w:r>
              <w:rPr>
                <w:rFonts w:hint="eastAsia" w:eastAsia="仿宋_GB2312" w:cs="Times New Roman"/>
                <w:i w:val="0"/>
                <w:color w:val="000000"/>
                <w:spacing w:val="-2"/>
                <w:kern w:val="0"/>
                <w:sz w:val="21"/>
                <w:szCs w:val="21"/>
                <w:highlight w:val="none"/>
                <w:u w:val="none"/>
                <w:lang w:val="en-US" w:eastAsia="zh-CN" w:bidi="ar-SA"/>
              </w:rPr>
              <w:t>0</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83.01</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38.81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6" w:type="dxa"/>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施工生产生活区</w:t>
            </w:r>
          </w:p>
        </w:tc>
        <w:tc>
          <w:tcPr>
            <w:tcW w:w="2318"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施工期</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4000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0.</w:t>
            </w:r>
            <w:r>
              <w:rPr>
                <w:rFonts w:hint="eastAsia" w:eastAsia="仿宋_GB2312" w:cs="Times New Roman"/>
                <w:color w:val="auto"/>
                <w:spacing w:val="-2"/>
                <w:kern w:val="0"/>
                <w:sz w:val="21"/>
                <w:szCs w:val="21"/>
                <w:highlight w:val="none"/>
                <w:lang w:val="en-US" w:eastAsia="zh-CN" w:bidi="ar-SA"/>
              </w:rPr>
              <w:t>46</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1.08</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7.45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19.87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12.42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6" w:type="dxa"/>
            <w:gridSpan w:val="2"/>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自然恢复期</w:t>
            </w: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第一年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3300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0.</w:t>
            </w:r>
            <w:r>
              <w:rPr>
                <w:rFonts w:hint="eastAsia" w:eastAsia="仿宋_GB2312" w:cs="Times New Roman"/>
                <w:color w:val="auto"/>
                <w:spacing w:val="-2"/>
                <w:kern w:val="0"/>
                <w:sz w:val="21"/>
                <w:szCs w:val="21"/>
                <w:highlight w:val="none"/>
                <w:lang w:val="en-US" w:eastAsia="zh-CN" w:bidi="ar-SA"/>
              </w:rPr>
              <w:t>46</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6.90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15.18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8.28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6" w:type="dxa"/>
            <w:gridSpan w:val="2"/>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第二年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2700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0.</w:t>
            </w:r>
            <w:r>
              <w:rPr>
                <w:rFonts w:hint="eastAsia" w:eastAsia="仿宋_GB2312" w:cs="Times New Roman"/>
                <w:color w:val="auto"/>
                <w:spacing w:val="-2"/>
                <w:kern w:val="0"/>
                <w:sz w:val="21"/>
                <w:szCs w:val="21"/>
                <w:highlight w:val="none"/>
                <w:lang w:val="en-US" w:eastAsia="zh-CN" w:bidi="ar-SA"/>
              </w:rPr>
              <w:t>46</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6.90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12.42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5.52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6" w:type="dxa"/>
            <w:gridSpan w:val="2"/>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第三年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2200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0.</w:t>
            </w:r>
            <w:r>
              <w:rPr>
                <w:rFonts w:hint="eastAsia" w:eastAsia="仿宋_GB2312" w:cs="Times New Roman"/>
                <w:color w:val="auto"/>
                <w:spacing w:val="-2"/>
                <w:kern w:val="0"/>
                <w:sz w:val="21"/>
                <w:szCs w:val="21"/>
                <w:highlight w:val="none"/>
                <w:lang w:val="en-US" w:eastAsia="zh-CN" w:bidi="ar-SA"/>
              </w:rPr>
              <w:t>46</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6.90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10.12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3.22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6" w:type="dxa"/>
            <w:gridSpan w:val="2"/>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第四年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1800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0.</w:t>
            </w:r>
            <w:r>
              <w:rPr>
                <w:rFonts w:hint="eastAsia" w:eastAsia="仿宋_GB2312" w:cs="Times New Roman"/>
                <w:color w:val="auto"/>
                <w:spacing w:val="-2"/>
                <w:kern w:val="0"/>
                <w:sz w:val="21"/>
                <w:szCs w:val="21"/>
                <w:highlight w:val="none"/>
                <w:lang w:val="en-US" w:eastAsia="zh-CN" w:bidi="ar-SA"/>
              </w:rPr>
              <w:t>46</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6.90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8.28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1.38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6" w:type="dxa"/>
            <w:gridSpan w:val="2"/>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9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3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第五年</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w:t>
            </w:r>
          </w:p>
        </w:tc>
        <w:tc>
          <w:tcPr>
            <w:tcW w:w="11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000000"/>
                <w:spacing w:val="-2"/>
                <w:kern w:val="0"/>
                <w:sz w:val="21"/>
                <w:szCs w:val="21"/>
                <w:highlight w:val="none"/>
                <w:lang w:bidi="ar-SA"/>
              </w:rPr>
              <w:t>1500</w:t>
            </w: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0.</w:t>
            </w:r>
            <w:r>
              <w:rPr>
                <w:rFonts w:hint="eastAsia" w:eastAsia="仿宋_GB2312" w:cs="Times New Roman"/>
                <w:color w:val="auto"/>
                <w:spacing w:val="-2"/>
                <w:kern w:val="0"/>
                <w:sz w:val="21"/>
                <w:szCs w:val="21"/>
                <w:highlight w:val="none"/>
                <w:lang w:val="en-US" w:eastAsia="zh-CN" w:bidi="ar-SA"/>
              </w:rPr>
              <w:t>46</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6.90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6.90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6" w:type="dxa"/>
            <w:gridSpan w:val="2"/>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2318"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小计</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41.95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72.77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30.82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6" w:type="dxa"/>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合计</w:t>
            </w:r>
          </w:p>
        </w:tc>
        <w:tc>
          <w:tcPr>
            <w:tcW w:w="2318"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施工期</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801.25 </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2136.67 </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1335.42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6" w:type="dxa"/>
            <w:gridSpan w:val="2"/>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2318"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自然恢复期</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3667.5</w:t>
            </w:r>
            <w:r>
              <w:rPr>
                <w:rFonts w:hint="eastAsia" w:eastAsia="仿宋_GB2312" w:cs="Times New Roman"/>
                <w:i w:val="0"/>
                <w:color w:val="000000"/>
                <w:spacing w:val="-2"/>
                <w:kern w:val="0"/>
                <w:sz w:val="21"/>
                <w:szCs w:val="21"/>
                <w:highlight w:val="none"/>
                <w:u w:val="none"/>
                <w:lang w:val="en-US" w:eastAsia="zh-CN" w:bidi="ar-SA"/>
              </w:rPr>
              <w:t>0</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5623.5</w:t>
            </w:r>
            <w:r>
              <w:rPr>
                <w:rFonts w:hint="eastAsia" w:eastAsia="仿宋_GB2312" w:cs="Times New Roman"/>
                <w:i w:val="0"/>
                <w:color w:val="000000"/>
                <w:spacing w:val="-2"/>
                <w:kern w:val="0"/>
                <w:sz w:val="21"/>
                <w:szCs w:val="21"/>
                <w:highlight w:val="none"/>
                <w:u w:val="none"/>
                <w:lang w:val="en-US" w:eastAsia="zh-CN" w:bidi="ar-SA"/>
              </w:rPr>
              <w:t>0</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1956</w:t>
            </w:r>
            <w:r>
              <w:rPr>
                <w:rFonts w:hint="eastAsia" w:eastAsia="仿宋_GB2312" w:cs="Times New Roman"/>
                <w:i w:val="0"/>
                <w:color w:val="000000"/>
                <w:spacing w:val="-2"/>
                <w:kern w:val="0"/>
                <w:sz w:val="21"/>
                <w:szCs w:val="21"/>
                <w:highlight w:val="none"/>
                <w:u w:val="none"/>
                <w:lang w:val="en-US" w:eastAsia="zh-CN" w:bidi="ar-SA"/>
              </w:rPr>
              <w:t>.00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684" w:type="dxa"/>
            <w:gridSpan w:val="4"/>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总计</w:t>
            </w:r>
          </w:p>
        </w:tc>
        <w:tc>
          <w:tcPr>
            <w:tcW w:w="12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4468.75</w:t>
            </w:r>
          </w:p>
        </w:tc>
        <w:tc>
          <w:tcPr>
            <w:tcW w:w="13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7760.17</w:t>
            </w:r>
          </w:p>
        </w:tc>
        <w:tc>
          <w:tcPr>
            <w:tcW w:w="121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3291.42</w:t>
            </w:r>
          </w:p>
        </w:tc>
      </w:tr>
    </w:tbl>
    <w:p>
      <w:pPr>
        <w:pStyle w:val="75"/>
        <w:spacing w:line="240" w:lineRule="auto"/>
        <w:jc w:val="both"/>
        <w:rPr>
          <w:rFonts w:hint="default" w:ascii="Times New Roman" w:hAnsi="Times New Roman" w:cs="Times New Roman"/>
          <w:color w:val="auto"/>
          <w:highlight w:val="none"/>
        </w:rPr>
        <w:sectPr>
          <w:pgSz w:w="16838" w:h="11906" w:orient="landscape"/>
          <w:pgMar w:top="1531" w:right="1440" w:bottom="1531" w:left="1440" w:header="851" w:footer="992" w:gutter="0"/>
          <w:pgBorders>
            <w:top w:val="none" w:sz="0" w:space="0"/>
            <w:left w:val="none" w:sz="0" w:space="0"/>
            <w:bottom w:val="none" w:sz="0" w:space="0"/>
            <w:right w:val="none" w:sz="0" w:space="0"/>
          </w:pgBorders>
          <w:pgNumType w:chapStyle="1"/>
          <w:cols w:space="720" w:num="1"/>
          <w:docGrid w:linePitch="326" w:charSpace="0"/>
        </w:sectPr>
      </w:pPr>
    </w:p>
    <w:p>
      <w:pPr>
        <w:pStyle w:val="66"/>
        <w:ind w:firstLine="148"/>
        <w:rPr>
          <w:rFonts w:hint="default" w:ascii="Times New Roman" w:hAnsi="Times New Roman" w:cs="Times New Roman"/>
          <w:color w:val="auto"/>
          <w:highlight w:val="none"/>
        </w:rPr>
      </w:pPr>
      <w:bookmarkStart w:id="108" w:name="_Toc30721"/>
      <w:r>
        <w:rPr>
          <w:rFonts w:hint="default" w:ascii="Times New Roman" w:hAnsi="Times New Roman" w:cs="Times New Roman"/>
          <w:color w:val="auto"/>
          <w:highlight w:val="none"/>
        </w:rPr>
        <w:t>4.4 水土流失危害分析</w:t>
      </w:r>
      <w:bookmarkEnd w:id="106"/>
      <w:bookmarkEnd w:id="107"/>
      <w:bookmarkEnd w:id="108"/>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项目地形地貌和施工建设的特点，本项目建设不会引发泥石流、地面塌陷、大型滑坡等严重生态影响。但本项目建设过程中场地平整、建筑物基础以及管沟开挖回填，建设期间期间占地范围内临时堆土堆料、车辆碾压等活动破坏了地表植被、表层结皮，使项目区地表裸露，使地表失去了原有的抗冲抗蚀能力，从而加剧了项目区的水土流失。若不采取有效的水土流失防治措施，将产生一定的水土流失危害：</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（1）可能造成土地生产力的下降</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土壤生产力的高低与土地理化性质密切相关，本工程建设可能对周边土地生产力的影响体现在如下方面：扰动地表土壤侵蚀强度的增加会使项目区及周边地表组成物质中细粒含量减少，粗粒含量增加，土壤机械组成粗化，有机质流失，进而导致项目区及周边土地生产力降低。</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（2）加大项目区水土流失强度</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根据前文描述的项目区气象资料及区域地表物质组成，工程建设造成区域地表被长期吹蚀及水蚀，改变项目区地表状况，使其丧失抗侵蚀能力，水力侵蚀及风力侵蚀强度将增大。</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（3）对周边环境的影响</w:t>
      </w:r>
    </w:p>
    <w:p>
      <w:pPr>
        <w:pStyle w:val="56"/>
        <w:ind w:firstLine="480"/>
        <w:rPr>
          <w:rFonts w:hint="eastAsia"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水蚀及风蚀强度的增加，使区域水土流失加剧，周边地表裸露疏松，出现更多扬沙天气，使区域大气环境、水环境和生态环境受到一定影响。</w:t>
      </w:r>
    </w:p>
    <w:p>
      <w:pPr>
        <w:pStyle w:val="66"/>
        <w:ind w:firstLine="148"/>
        <w:rPr>
          <w:rFonts w:hint="default" w:ascii="Times New Roman" w:hAnsi="Times New Roman" w:cs="Times New Roman"/>
          <w:color w:val="auto"/>
          <w:highlight w:val="none"/>
        </w:rPr>
      </w:pPr>
      <w:bookmarkStart w:id="109" w:name="_Toc211660632"/>
      <w:bookmarkStart w:id="110" w:name="_Toc289049623"/>
      <w:bookmarkStart w:id="111" w:name="_Toc301080780"/>
      <w:bookmarkStart w:id="112" w:name="_Toc320819410"/>
      <w:bookmarkStart w:id="113" w:name="_Toc229448543"/>
      <w:bookmarkStart w:id="114" w:name="_Toc320819105"/>
      <w:bookmarkStart w:id="115" w:name="_Toc301080363"/>
      <w:bookmarkStart w:id="116" w:name="_Toc16887"/>
      <w:bookmarkStart w:id="117" w:name="_Toc6763"/>
      <w:bookmarkStart w:id="118" w:name="_Toc3849"/>
      <w:r>
        <w:rPr>
          <w:rFonts w:hint="default" w:ascii="Times New Roman" w:hAnsi="Times New Roman" w:cs="Times New Roman"/>
          <w:color w:val="auto"/>
          <w:highlight w:val="none"/>
        </w:rPr>
        <w:t>4.5</w:t>
      </w:r>
      <w:bookmarkEnd w:id="109"/>
      <w:bookmarkEnd w:id="110"/>
      <w:bookmarkEnd w:id="111"/>
      <w:bookmarkEnd w:id="112"/>
      <w:bookmarkEnd w:id="113"/>
      <w:bookmarkEnd w:id="114"/>
      <w:bookmarkEnd w:id="115"/>
      <w:r>
        <w:rPr>
          <w:rFonts w:hint="default" w:ascii="Times New Roman" w:hAnsi="Times New Roman" w:cs="Times New Roman"/>
          <w:color w:val="auto"/>
          <w:highlight w:val="none"/>
        </w:rPr>
        <w:t xml:space="preserve"> </w:t>
      </w:r>
      <w:bookmarkEnd w:id="116"/>
      <w:bookmarkEnd w:id="117"/>
      <w:r>
        <w:rPr>
          <w:rFonts w:hint="default" w:ascii="Times New Roman" w:hAnsi="Times New Roman" w:cs="Times New Roman"/>
          <w:color w:val="auto"/>
          <w:highlight w:val="none"/>
        </w:rPr>
        <w:t>预测成果</w:t>
      </w:r>
      <w:bookmarkEnd w:id="118"/>
    </w:p>
    <w:p>
      <w:pPr>
        <w:pStyle w:val="56"/>
        <w:ind w:firstLine="480"/>
        <w:rPr>
          <w:rFonts w:hint="default" w:ascii="Times New Roman" w:hAnsi="Times New Roman" w:cs="Times New Roman"/>
          <w:color w:val="auto"/>
          <w:highlight w:val="none"/>
        </w:rPr>
      </w:pPr>
      <w:bookmarkStart w:id="119" w:name="_Toc407014551"/>
      <w:bookmarkStart w:id="120" w:name="_Toc417412337"/>
      <w:r>
        <w:rPr>
          <w:rFonts w:hint="default" w:ascii="Times New Roman" w:hAnsi="Times New Roman" w:cs="Times New Roman"/>
          <w:color w:val="auto"/>
          <w:highlight w:val="none"/>
        </w:rPr>
        <w:t>根据下表统计分析计算，本项目水土流失防治重点区域为光伏发电区的光伏阵列区。上述区域水土流失影响范围大，土壤侵蚀量较大，因此光伏发电区的光伏阵列区应为项目水土流失防治和监测的重点区域。水土流失重点时段为</w:t>
      </w:r>
      <w:r>
        <w:rPr>
          <w:rFonts w:hint="default" w:ascii="Times New Roman" w:hAnsi="Times New Roman" w:cs="Times New Roman"/>
          <w:color w:val="auto"/>
          <w:highlight w:val="none"/>
          <w:lang w:eastAsia="zh-CN"/>
        </w:rPr>
        <w:t>施工</w:t>
      </w:r>
      <w:r>
        <w:rPr>
          <w:rFonts w:hint="default" w:ascii="Times New Roman" w:hAnsi="Times New Roman" w:cs="Times New Roman"/>
          <w:color w:val="auto"/>
          <w:highlight w:val="none"/>
        </w:rPr>
        <w:t>期。各预测时段水土流失量汇总表，见表4.5-1。</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pPr>
        <w:pStyle w:val="56"/>
        <w:ind w:firstLine="480"/>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表4.5-1    各预测时段水土流失量汇总表</w:t>
      </w:r>
    </w:p>
    <w:tbl>
      <w:tblPr>
        <w:tblStyle w:val="27"/>
        <w:tblW w:w="88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524"/>
        <w:gridCol w:w="2020"/>
        <w:gridCol w:w="1979"/>
        <w:gridCol w:w="1723"/>
        <w:gridCol w:w="16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3544"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时期</w:t>
            </w:r>
          </w:p>
        </w:tc>
        <w:tc>
          <w:tcPr>
            <w:tcW w:w="19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水土流失总量（t）</w:t>
            </w:r>
          </w:p>
        </w:tc>
        <w:tc>
          <w:tcPr>
            <w:tcW w:w="17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新增水土流失量（t)</w:t>
            </w:r>
          </w:p>
        </w:tc>
        <w:tc>
          <w:tcPr>
            <w:tcW w:w="16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新增流失量比例</w:t>
            </w:r>
            <w:r>
              <w:rPr>
                <w:rFonts w:hint="eastAsia" w:eastAsia="仿宋_GB2312" w:cs="Times New Roman"/>
                <w:snapToGrid w:val="0"/>
                <w:color w:val="auto"/>
                <w:kern w:val="24"/>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44"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施工期</w:t>
            </w:r>
          </w:p>
        </w:tc>
        <w:tc>
          <w:tcPr>
            <w:tcW w:w="19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i w:val="0"/>
                <w:snapToGrid w:val="0"/>
                <w:color w:val="000000"/>
                <w:kern w:val="24"/>
                <w:sz w:val="21"/>
                <w:szCs w:val="21"/>
                <w:highlight w:val="none"/>
                <w:u w:val="none"/>
                <w:lang w:val="en-US" w:eastAsia="zh-CN" w:bidi="ar-SA"/>
              </w:rPr>
              <w:t xml:space="preserve">2136.67 </w:t>
            </w:r>
          </w:p>
        </w:tc>
        <w:tc>
          <w:tcPr>
            <w:tcW w:w="17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i w:val="0"/>
                <w:snapToGrid w:val="0"/>
                <w:color w:val="000000"/>
                <w:kern w:val="24"/>
                <w:sz w:val="21"/>
                <w:szCs w:val="21"/>
                <w:highlight w:val="none"/>
                <w:u w:val="none"/>
                <w:lang w:val="en-US" w:eastAsia="zh-CN" w:bidi="ar-SA"/>
              </w:rPr>
              <w:t xml:space="preserve">1335.42 </w:t>
            </w:r>
          </w:p>
        </w:tc>
        <w:tc>
          <w:tcPr>
            <w:tcW w:w="16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snapToGrid w:val="0"/>
                <w:color w:val="000000"/>
                <w:kern w:val="24"/>
                <w:sz w:val="21"/>
                <w:szCs w:val="21"/>
                <w:highlight w:val="none"/>
                <w:u w:val="none"/>
                <w:lang w:val="en-US" w:eastAsia="zh-CN" w:bidi="ar-SA"/>
              </w:rPr>
            </w:pPr>
            <w:r>
              <w:rPr>
                <w:rFonts w:hint="eastAsia" w:ascii="Times New Roman" w:hAnsi="Times New Roman" w:eastAsia="仿宋_GB2312" w:cs="Times New Roman"/>
                <w:i w:val="0"/>
                <w:snapToGrid w:val="0"/>
                <w:color w:val="000000"/>
                <w:kern w:val="24"/>
                <w:sz w:val="21"/>
                <w:szCs w:val="21"/>
                <w:highlight w:val="none"/>
                <w:u w:val="none"/>
                <w:lang w:val="en-US" w:eastAsia="zh-CN" w:bidi="ar-SA"/>
              </w:rPr>
              <w:t xml:space="preserve">40.57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自然恢复期</w:t>
            </w:r>
          </w:p>
        </w:tc>
        <w:tc>
          <w:tcPr>
            <w:tcW w:w="2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第一年</w:t>
            </w:r>
          </w:p>
        </w:tc>
        <w:tc>
          <w:tcPr>
            <w:tcW w:w="19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snapToGrid w:val="0"/>
                <w:color w:val="000000"/>
                <w:kern w:val="24"/>
                <w:sz w:val="21"/>
                <w:szCs w:val="21"/>
                <w:highlight w:val="none"/>
                <w:u w:val="none"/>
                <w:lang w:val="en-US" w:eastAsia="zh-CN" w:bidi="ar-SA"/>
              </w:rPr>
            </w:pPr>
            <w:r>
              <w:rPr>
                <w:rFonts w:hint="eastAsia" w:ascii="Times New Roman" w:hAnsi="Times New Roman" w:eastAsia="仿宋_GB2312" w:cs="Times New Roman"/>
                <w:i w:val="0"/>
                <w:snapToGrid w:val="0"/>
                <w:color w:val="000000"/>
                <w:kern w:val="24"/>
                <w:sz w:val="21"/>
                <w:szCs w:val="21"/>
                <w:highlight w:val="none"/>
                <w:u w:val="none"/>
                <w:lang w:val="en-US" w:eastAsia="zh-CN" w:bidi="ar-SA"/>
              </w:rPr>
              <w:t>1613.7</w:t>
            </w:r>
            <w:r>
              <w:rPr>
                <w:rFonts w:hint="eastAsia" w:eastAsia="仿宋_GB2312" w:cs="Times New Roman"/>
                <w:i w:val="0"/>
                <w:snapToGrid w:val="0"/>
                <w:color w:val="000000"/>
                <w:kern w:val="24"/>
                <w:sz w:val="21"/>
                <w:szCs w:val="21"/>
                <w:highlight w:val="none"/>
                <w:u w:val="none"/>
                <w:lang w:val="en-US" w:eastAsia="zh-CN" w:bidi="ar-SA"/>
              </w:rPr>
              <w:t>0</w:t>
            </w:r>
          </w:p>
        </w:tc>
        <w:tc>
          <w:tcPr>
            <w:tcW w:w="17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snapToGrid w:val="0"/>
                <w:color w:val="000000"/>
                <w:kern w:val="24"/>
                <w:sz w:val="21"/>
                <w:szCs w:val="21"/>
                <w:highlight w:val="none"/>
                <w:u w:val="none"/>
                <w:lang w:val="en-US" w:eastAsia="zh-CN" w:bidi="ar-SA"/>
              </w:rPr>
            </w:pPr>
            <w:r>
              <w:rPr>
                <w:rFonts w:hint="eastAsia" w:ascii="Times New Roman" w:hAnsi="Times New Roman" w:eastAsia="仿宋_GB2312" w:cs="Times New Roman"/>
                <w:i w:val="0"/>
                <w:snapToGrid w:val="0"/>
                <w:color w:val="000000"/>
                <w:kern w:val="24"/>
                <w:sz w:val="21"/>
                <w:szCs w:val="21"/>
                <w:highlight w:val="none"/>
                <w:u w:val="none"/>
                <w:lang w:val="en-US" w:eastAsia="zh-CN" w:bidi="ar-SA"/>
              </w:rPr>
              <w:t>880.2</w:t>
            </w:r>
            <w:r>
              <w:rPr>
                <w:rFonts w:hint="eastAsia" w:eastAsia="仿宋_GB2312" w:cs="Times New Roman"/>
                <w:i w:val="0"/>
                <w:snapToGrid w:val="0"/>
                <w:color w:val="000000"/>
                <w:kern w:val="24"/>
                <w:sz w:val="21"/>
                <w:szCs w:val="21"/>
                <w:highlight w:val="none"/>
                <w:u w:val="none"/>
                <w:lang w:val="en-US" w:eastAsia="zh-CN" w:bidi="ar-SA"/>
              </w:rPr>
              <w:t>0</w:t>
            </w:r>
          </w:p>
        </w:tc>
        <w:tc>
          <w:tcPr>
            <w:tcW w:w="16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snapToGrid w:val="0"/>
                <w:color w:val="000000"/>
                <w:kern w:val="24"/>
                <w:sz w:val="21"/>
                <w:szCs w:val="21"/>
                <w:highlight w:val="none"/>
                <w:u w:val="none"/>
                <w:lang w:val="en-US" w:eastAsia="zh-CN" w:bidi="ar-SA"/>
              </w:rPr>
            </w:pPr>
            <w:r>
              <w:rPr>
                <w:rFonts w:hint="eastAsia" w:ascii="Times New Roman" w:hAnsi="Times New Roman" w:eastAsia="仿宋_GB2312" w:cs="Times New Roman"/>
                <w:i w:val="0"/>
                <w:snapToGrid w:val="0"/>
                <w:color w:val="000000"/>
                <w:kern w:val="24"/>
                <w:sz w:val="21"/>
                <w:szCs w:val="21"/>
                <w:highlight w:val="none"/>
                <w:u w:val="none"/>
                <w:lang w:val="en-US" w:eastAsia="zh-CN" w:bidi="ar-SA"/>
              </w:rPr>
              <w:t xml:space="preserve">26.74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24"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2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第二年</w:t>
            </w:r>
          </w:p>
        </w:tc>
        <w:tc>
          <w:tcPr>
            <w:tcW w:w="19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snapToGrid w:val="0"/>
                <w:color w:val="000000"/>
                <w:kern w:val="24"/>
                <w:sz w:val="21"/>
                <w:szCs w:val="21"/>
                <w:highlight w:val="none"/>
                <w:u w:val="none"/>
                <w:lang w:val="en-US" w:eastAsia="zh-CN" w:bidi="ar-SA"/>
              </w:rPr>
            </w:pPr>
            <w:r>
              <w:rPr>
                <w:rFonts w:hint="eastAsia" w:ascii="Times New Roman" w:hAnsi="Times New Roman" w:eastAsia="仿宋_GB2312" w:cs="Times New Roman"/>
                <w:i w:val="0"/>
                <w:snapToGrid w:val="0"/>
                <w:color w:val="000000"/>
                <w:kern w:val="24"/>
                <w:sz w:val="21"/>
                <w:szCs w:val="21"/>
                <w:highlight w:val="none"/>
                <w:u w:val="none"/>
                <w:lang w:val="en-US" w:eastAsia="zh-CN" w:bidi="ar-SA"/>
              </w:rPr>
              <w:t>1320.3</w:t>
            </w:r>
            <w:r>
              <w:rPr>
                <w:rFonts w:hint="eastAsia" w:eastAsia="仿宋_GB2312" w:cs="Times New Roman"/>
                <w:i w:val="0"/>
                <w:snapToGrid w:val="0"/>
                <w:color w:val="000000"/>
                <w:kern w:val="24"/>
                <w:sz w:val="21"/>
                <w:szCs w:val="21"/>
                <w:highlight w:val="none"/>
                <w:u w:val="none"/>
                <w:lang w:val="en-US" w:eastAsia="zh-CN" w:bidi="ar-SA"/>
              </w:rPr>
              <w:t>0</w:t>
            </w:r>
          </w:p>
        </w:tc>
        <w:tc>
          <w:tcPr>
            <w:tcW w:w="17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snapToGrid w:val="0"/>
                <w:color w:val="000000"/>
                <w:kern w:val="24"/>
                <w:sz w:val="21"/>
                <w:szCs w:val="21"/>
                <w:highlight w:val="none"/>
                <w:u w:val="none"/>
                <w:lang w:val="en-US" w:eastAsia="zh-CN" w:bidi="ar-SA"/>
              </w:rPr>
            </w:pPr>
            <w:r>
              <w:rPr>
                <w:rFonts w:hint="eastAsia" w:ascii="Times New Roman" w:hAnsi="Times New Roman" w:eastAsia="仿宋_GB2312" w:cs="Times New Roman"/>
                <w:i w:val="0"/>
                <w:snapToGrid w:val="0"/>
                <w:color w:val="000000"/>
                <w:kern w:val="24"/>
                <w:sz w:val="21"/>
                <w:szCs w:val="21"/>
                <w:highlight w:val="none"/>
                <w:u w:val="none"/>
                <w:lang w:val="en-US" w:eastAsia="zh-CN" w:bidi="ar-SA"/>
              </w:rPr>
              <w:t>586.8</w:t>
            </w:r>
            <w:r>
              <w:rPr>
                <w:rFonts w:hint="eastAsia" w:eastAsia="仿宋_GB2312" w:cs="Times New Roman"/>
                <w:i w:val="0"/>
                <w:snapToGrid w:val="0"/>
                <w:color w:val="000000"/>
                <w:kern w:val="24"/>
                <w:sz w:val="21"/>
                <w:szCs w:val="21"/>
                <w:highlight w:val="none"/>
                <w:u w:val="none"/>
                <w:lang w:val="en-US" w:eastAsia="zh-CN" w:bidi="ar-SA"/>
              </w:rPr>
              <w:t>0</w:t>
            </w:r>
          </w:p>
        </w:tc>
        <w:tc>
          <w:tcPr>
            <w:tcW w:w="16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snapToGrid w:val="0"/>
                <w:color w:val="000000"/>
                <w:kern w:val="24"/>
                <w:sz w:val="21"/>
                <w:szCs w:val="21"/>
                <w:highlight w:val="none"/>
                <w:u w:val="none"/>
                <w:lang w:val="en-US" w:eastAsia="zh-CN" w:bidi="ar-SA"/>
              </w:rPr>
            </w:pPr>
            <w:r>
              <w:rPr>
                <w:rFonts w:hint="eastAsia" w:ascii="Times New Roman" w:hAnsi="Times New Roman" w:eastAsia="仿宋_GB2312" w:cs="Times New Roman"/>
                <w:i w:val="0"/>
                <w:snapToGrid w:val="0"/>
                <w:color w:val="000000"/>
                <w:kern w:val="24"/>
                <w:sz w:val="21"/>
                <w:szCs w:val="21"/>
                <w:highlight w:val="none"/>
                <w:u w:val="none"/>
                <w:lang w:val="en-US" w:eastAsia="zh-CN" w:bidi="ar-SA"/>
              </w:rPr>
              <w:t xml:space="preserve">17.83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24"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2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第三年</w:t>
            </w:r>
          </w:p>
        </w:tc>
        <w:tc>
          <w:tcPr>
            <w:tcW w:w="19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snapToGrid w:val="0"/>
                <w:color w:val="000000"/>
                <w:kern w:val="24"/>
                <w:sz w:val="21"/>
                <w:szCs w:val="21"/>
                <w:highlight w:val="none"/>
                <w:u w:val="none"/>
                <w:lang w:val="en-US" w:eastAsia="zh-CN" w:bidi="ar-SA"/>
              </w:rPr>
            </w:pPr>
            <w:r>
              <w:rPr>
                <w:rFonts w:hint="eastAsia" w:ascii="Times New Roman" w:hAnsi="Times New Roman" w:eastAsia="仿宋_GB2312" w:cs="Times New Roman"/>
                <w:i w:val="0"/>
                <w:snapToGrid w:val="0"/>
                <w:color w:val="000000"/>
                <w:kern w:val="24"/>
                <w:sz w:val="21"/>
                <w:szCs w:val="21"/>
                <w:highlight w:val="none"/>
                <w:u w:val="none"/>
                <w:lang w:val="en-US" w:eastAsia="zh-CN" w:bidi="ar-SA"/>
              </w:rPr>
              <w:t>1075.8</w:t>
            </w:r>
            <w:r>
              <w:rPr>
                <w:rFonts w:hint="eastAsia" w:eastAsia="仿宋_GB2312" w:cs="Times New Roman"/>
                <w:i w:val="0"/>
                <w:snapToGrid w:val="0"/>
                <w:color w:val="000000"/>
                <w:kern w:val="24"/>
                <w:sz w:val="21"/>
                <w:szCs w:val="21"/>
                <w:highlight w:val="none"/>
                <w:u w:val="none"/>
                <w:lang w:val="en-US" w:eastAsia="zh-CN" w:bidi="ar-SA"/>
              </w:rPr>
              <w:t>0</w:t>
            </w:r>
          </w:p>
        </w:tc>
        <w:tc>
          <w:tcPr>
            <w:tcW w:w="17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snapToGrid w:val="0"/>
                <w:color w:val="000000"/>
                <w:kern w:val="24"/>
                <w:sz w:val="21"/>
                <w:szCs w:val="21"/>
                <w:highlight w:val="none"/>
                <w:u w:val="none"/>
                <w:lang w:val="en-US" w:eastAsia="zh-CN" w:bidi="ar-SA"/>
              </w:rPr>
            </w:pPr>
            <w:r>
              <w:rPr>
                <w:rFonts w:hint="eastAsia" w:ascii="Times New Roman" w:hAnsi="Times New Roman" w:eastAsia="仿宋_GB2312" w:cs="Times New Roman"/>
                <w:i w:val="0"/>
                <w:snapToGrid w:val="0"/>
                <w:color w:val="000000"/>
                <w:kern w:val="24"/>
                <w:sz w:val="21"/>
                <w:szCs w:val="21"/>
                <w:highlight w:val="none"/>
                <w:u w:val="none"/>
                <w:lang w:val="en-US" w:eastAsia="zh-CN" w:bidi="ar-SA"/>
              </w:rPr>
              <w:t>342.3</w:t>
            </w:r>
            <w:r>
              <w:rPr>
                <w:rFonts w:hint="eastAsia" w:eastAsia="仿宋_GB2312" w:cs="Times New Roman"/>
                <w:i w:val="0"/>
                <w:snapToGrid w:val="0"/>
                <w:color w:val="000000"/>
                <w:kern w:val="24"/>
                <w:sz w:val="21"/>
                <w:szCs w:val="21"/>
                <w:highlight w:val="none"/>
                <w:u w:val="none"/>
                <w:lang w:val="en-US" w:eastAsia="zh-CN" w:bidi="ar-SA"/>
              </w:rPr>
              <w:t>0</w:t>
            </w:r>
          </w:p>
        </w:tc>
        <w:tc>
          <w:tcPr>
            <w:tcW w:w="16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snapToGrid w:val="0"/>
                <w:color w:val="000000"/>
                <w:kern w:val="24"/>
                <w:sz w:val="21"/>
                <w:szCs w:val="21"/>
                <w:highlight w:val="none"/>
                <w:u w:val="none"/>
                <w:lang w:val="en-US" w:eastAsia="zh-CN" w:bidi="ar-SA"/>
              </w:rPr>
            </w:pPr>
            <w:r>
              <w:rPr>
                <w:rFonts w:hint="eastAsia" w:ascii="Times New Roman" w:hAnsi="Times New Roman" w:eastAsia="仿宋_GB2312" w:cs="Times New Roman"/>
                <w:i w:val="0"/>
                <w:snapToGrid w:val="0"/>
                <w:color w:val="000000"/>
                <w:kern w:val="24"/>
                <w:sz w:val="21"/>
                <w:szCs w:val="21"/>
                <w:highlight w:val="none"/>
                <w:u w:val="none"/>
                <w:lang w:val="en-US" w:eastAsia="zh-CN" w:bidi="ar-SA"/>
              </w:rPr>
              <w:t xml:space="preserve">10.40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24"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2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第四年</w:t>
            </w:r>
          </w:p>
        </w:tc>
        <w:tc>
          <w:tcPr>
            <w:tcW w:w="19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snapToGrid w:val="0"/>
                <w:color w:val="000000"/>
                <w:kern w:val="24"/>
                <w:sz w:val="21"/>
                <w:szCs w:val="21"/>
                <w:highlight w:val="none"/>
                <w:u w:val="none"/>
                <w:lang w:val="en-US" w:eastAsia="zh-CN" w:bidi="ar-SA"/>
              </w:rPr>
            </w:pPr>
            <w:r>
              <w:rPr>
                <w:rFonts w:hint="eastAsia" w:ascii="Times New Roman" w:hAnsi="Times New Roman" w:eastAsia="仿宋_GB2312" w:cs="Times New Roman"/>
                <w:i w:val="0"/>
                <w:snapToGrid w:val="0"/>
                <w:color w:val="000000"/>
                <w:kern w:val="24"/>
                <w:sz w:val="21"/>
                <w:szCs w:val="21"/>
                <w:highlight w:val="none"/>
                <w:u w:val="none"/>
                <w:lang w:val="en-US" w:eastAsia="zh-CN" w:bidi="ar-SA"/>
              </w:rPr>
              <w:t>880.2</w:t>
            </w:r>
            <w:r>
              <w:rPr>
                <w:rFonts w:hint="eastAsia" w:eastAsia="仿宋_GB2312" w:cs="Times New Roman"/>
                <w:i w:val="0"/>
                <w:snapToGrid w:val="0"/>
                <w:color w:val="000000"/>
                <w:kern w:val="24"/>
                <w:sz w:val="21"/>
                <w:szCs w:val="21"/>
                <w:highlight w:val="none"/>
                <w:u w:val="none"/>
                <w:lang w:val="en-US" w:eastAsia="zh-CN" w:bidi="ar-SA"/>
              </w:rPr>
              <w:t>0</w:t>
            </w:r>
          </w:p>
        </w:tc>
        <w:tc>
          <w:tcPr>
            <w:tcW w:w="17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snapToGrid w:val="0"/>
                <w:color w:val="000000"/>
                <w:kern w:val="24"/>
                <w:sz w:val="21"/>
                <w:szCs w:val="21"/>
                <w:highlight w:val="none"/>
                <w:u w:val="none"/>
                <w:lang w:val="en-US" w:eastAsia="zh-CN" w:bidi="ar-SA"/>
              </w:rPr>
            </w:pPr>
            <w:r>
              <w:rPr>
                <w:rFonts w:hint="eastAsia" w:ascii="Times New Roman" w:hAnsi="Times New Roman" w:eastAsia="仿宋_GB2312" w:cs="Times New Roman"/>
                <w:i w:val="0"/>
                <w:snapToGrid w:val="0"/>
                <w:color w:val="000000"/>
                <w:kern w:val="24"/>
                <w:sz w:val="21"/>
                <w:szCs w:val="21"/>
                <w:highlight w:val="none"/>
                <w:u w:val="none"/>
                <w:lang w:val="en-US" w:eastAsia="zh-CN" w:bidi="ar-SA"/>
              </w:rPr>
              <w:t>146.7</w:t>
            </w:r>
            <w:r>
              <w:rPr>
                <w:rFonts w:hint="eastAsia" w:eastAsia="仿宋_GB2312" w:cs="Times New Roman"/>
                <w:i w:val="0"/>
                <w:snapToGrid w:val="0"/>
                <w:color w:val="000000"/>
                <w:kern w:val="24"/>
                <w:sz w:val="21"/>
                <w:szCs w:val="21"/>
                <w:highlight w:val="none"/>
                <w:u w:val="none"/>
                <w:lang w:val="en-US" w:eastAsia="zh-CN" w:bidi="ar-SA"/>
              </w:rPr>
              <w:t>0</w:t>
            </w:r>
          </w:p>
        </w:tc>
        <w:tc>
          <w:tcPr>
            <w:tcW w:w="16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snapToGrid w:val="0"/>
                <w:color w:val="000000"/>
                <w:kern w:val="24"/>
                <w:sz w:val="21"/>
                <w:szCs w:val="21"/>
                <w:highlight w:val="none"/>
                <w:u w:val="none"/>
                <w:lang w:val="en-US" w:eastAsia="zh-CN" w:bidi="ar-SA"/>
              </w:rPr>
            </w:pPr>
            <w:r>
              <w:rPr>
                <w:rFonts w:hint="eastAsia" w:ascii="Times New Roman" w:hAnsi="Times New Roman" w:eastAsia="仿宋_GB2312" w:cs="Times New Roman"/>
                <w:i w:val="0"/>
                <w:snapToGrid w:val="0"/>
                <w:color w:val="000000"/>
                <w:kern w:val="24"/>
                <w:sz w:val="21"/>
                <w:szCs w:val="21"/>
                <w:highlight w:val="none"/>
                <w:u w:val="none"/>
                <w:lang w:val="en-US" w:eastAsia="zh-CN" w:bidi="ar-SA"/>
              </w:rPr>
              <w:t xml:space="preserve">4.46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24"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2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第五年</w:t>
            </w:r>
          </w:p>
        </w:tc>
        <w:tc>
          <w:tcPr>
            <w:tcW w:w="19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snapToGrid w:val="0"/>
                <w:color w:val="000000"/>
                <w:kern w:val="24"/>
                <w:sz w:val="21"/>
                <w:szCs w:val="21"/>
                <w:highlight w:val="none"/>
                <w:u w:val="none"/>
                <w:lang w:val="en-US" w:eastAsia="zh-CN" w:bidi="ar-SA"/>
              </w:rPr>
            </w:pPr>
            <w:r>
              <w:rPr>
                <w:rFonts w:hint="eastAsia" w:ascii="Times New Roman" w:hAnsi="Times New Roman" w:eastAsia="仿宋_GB2312" w:cs="Times New Roman"/>
                <w:i w:val="0"/>
                <w:snapToGrid w:val="0"/>
                <w:color w:val="000000"/>
                <w:kern w:val="24"/>
                <w:sz w:val="21"/>
                <w:szCs w:val="21"/>
                <w:highlight w:val="none"/>
                <w:u w:val="none"/>
                <w:lang w:val="en-US" w:eastAsia="zh-CN" w:bidi="ar-SA"/>
              </w:rPr>
              <w:t>733.5</w:t>
            </w:r>
            <w:r>
              <w:rPr>
                <w:rFonts w:hint="eastAsia" w:eastAsia="仿宋_GB2312" w:cs="Times New Roman"/>
                <w:i w:val="0"/>
                <w:snapToGrid w:val="0"/>
                <w:color w:val="000000"/>
                <w:kern w:val="24"/>
                <w:sz w:val="21"/>
                <w:szCs w:val="21"/>
                <w:highlight w:val="none"/>
                <w:u w:val="none"/>
                <w:lang w:val="en-US" w:eastAsia="zh-CN" w:bidi="ar-SA"/>
              </w:rPr>
              <w:t>0</w:t>
            </w:r>
          </w:p>
        </w:tc>
        <w:tc>
          <w:tcPr>
            <w:tcW w:w="17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snapToGrid w:val="0"/>
                <w:color w:val="000000"/>
                <w:kern w:val="24"/>
                <w:sz w:val="21"/>
                <w:szCs w:val="21"/>
                <w:highlight w:val="none"/>
                <w:u w:val="none"/>
                <w:lang w:val="en-US" w:eastAsia="zh-CN" w:bidi="ar-SA"/>
              </w:rPr>
            </w:pPr>
            <w:r>
              <w:rPr>
                <w:rFonts w:hint="eastAsia" w:ascii="Times New Roman" w:hAnsi="Times New Roman" w:eastAsia="仿宋_GB2312" w:cs="Times New Roman"/>
                <w:i w:val="0"/>
                <w:snapToGrid w:val="0"/>
                <w:color w:val="000000"/>
                <w:kern w:val="24"/>
                <w:sz w:val="21"/>
                <w:szCs w:val="21"/>
                <w:highlight w:val="none"/>
                <w:u w:val="none"/>
                <w:lang w:val="en-US" w:eastAsia="zh-CN" w:bidi="ar-SA"/>
              </w:rPr>
              <w:t>0</w:t>
            </w:r>
            <w:r>
              <w:rPr>
                <w:rFonts w:hint="eastAsia" w:eastAsia="仿宋_GB2312" w:cs="Times New Roman"/>
                <w:i w:val="0"/>
                <w:snapToGrid w:val="0"/>
                <w:color w:val="000000"/>
                <w:kern w:val="24"/>
                <w:sz w:val="21"/>
                <w:szCs w:val="21"/>
                <w:highlight w:val="none"/>
                <w:u w:val="none"/>
                <w:lang w:val="en-US" w:eastAsia="zh-CN" w:bidi="ar-SA"/>
              </w:rPr>
              <w:t>.00</w:t>
            </w:r>
          </w:p>
        </w:tc>
        <w:tc>
          <w:tcPr>
            <w:tcW w:w="16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snapToGrid w:val="0"/>
                <w:color w:val="000000"/>
                <w:kern w:val="24"/>
                <w:sz w:val="21"/>
                <w:szCs w:val="21"/>
                <w:highlight w:val="none"/>
                <w:u w:val="none"/>
                <w:lang w:val="en-US" w:eastAsia="zh-CN" w:bidi="ar-SA"/>
              </w:rPr>
            </w:pPr>
            <w:r>
              <w:rPr>
                <w:rFonts w:hint="eastAsia" w:ascii="Times New Roman" w:hAnsi="Times New Roman" w:eastAsia="仿宋_GB2312" w:cs="Times New Roman"/>
                <w:i w:val="0"/>
                <w:snapToGrid w:val="0"/>
                <w:color w:val="000000"/>
                <w:kern w:val="24"/>
                <w:sz w:val="21"/>
                <w:szCs w:val="21"/>
                <w:highlight w:val="none"/>
                <w:u w:val="none"/>
                <w:lang w:val="en-US" w:eastAsia="zh-CN" w:bidi="ar-SA"/>
              </w:rPr>
              <w:t xml:space="preserve">0.00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44"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合计</w:t>
            </w:r>
          </w:p>
        </w:tc>
        <w:tc>
          <w:tcPr>
            <w:tcW w:w="19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snapToGrid w:val="0"/>
                <w:color w:val="000000"/>
                <w:kern w:val="24"/>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7760.17</w:t>
            </w:r>
          </w:p>
        </w:tc>
        <w:tc>
          <w:tcPr>
            <w:tcW w:w="17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snapToGrid w:val="0"/>
                <w:color w:val="000000"/>
                <w:kern w:val="24"/>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3291.42</w:t>
            </w:r>
          </w:p>
        </w:tc>
        <w:tc>
          <w:tcPr>
            <w:tcW w:w="16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snapToGrid w:val="0"/>
                <w:color w:val="000000"/>
                <w:kern w:val="24"/>
                <w:sz w:val="21"/>
                <w:szCs w:val="21"/>
                <w:highlight w:val="none"/>
                <w:u w:val="none"/>
                <w:lang w:val="en-US" w:eastAsia="zh-CN" w:bidi="ar-SA"/>
              </w:rPr>
            </w:pPr>
            <w:r>
              <w:rPr>
                <w:rFonts w:hint="eastAsia" w:ascii="Times New Roman" w:hAnsi="Times New Roman" w:eastAsia="仿宋_GB2312" w:cs="Times New Roman"/>
                <w:i w:val="0"/>
                <w:snapToGrid w:val="0"/>
                <w:color w:val="000000"/>
                <w:kern w:val="24"/>
                <w:sz w:val="21"/>
                <w:szCs w:val="21"/>
                <w:highlight w:val="none"/>
                <w:u w:val="none"/>
                <w:lang w:val="en-US" w:eastAsia="zh-CN" w:bidi="ar-SA"/>
              </w:rPr>
              <w:t xml:space="preserve">100.00 </w:t>
            </w:r>
          </w:p>
        </w:tc>
      </w:tr>
    </w:tbl>
    <w:p>
      <w:pPr>
        <w:pStyle w:val="56"/>
        <w:ind w:firstLine="0" w:firstLineChars="0"/>
        <w:rPr>
          <w:rFonts w:hint="default" w:ascii="Times New Roman" w:hAnsi="Times New Roman" w:cs="Times New Roman"/>
          <w:color w:val="auto"/>
          <w:highlight w:val="none"/>
        </w:rPr>
      </w:pPr>
    </w:p>
    <w:p>
      <w:pPr>
        <w:pStyle w:val="56"/>
        <w:ind w:firstLine="480"/>
        <w:jc w:val="left"/>
      </w:pPr>
      <w:r>
        <w:drawing>
          <wp:inline distT="0" distB="0" distL="114300" distR="114300">
            <wp:extent cx="4572000" cy="2743200"/>
            <wp:effectExtent l="4445" t="4445" r="14605"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56"/>
        <w:ind w:left="0" w:leftChars="0" w:firstLine="0" w:firstLineChars="0"/>
        <w:jc w:val="center"/>
        <w:rPr>
          <w:rFonts w:hint="default" w:eastAsia="仿宋_GB2312"/>
          <w:b/>
          <w:bCs/>
          <w:lang w:val="en-US" w:eastAsia="zh-CN"/>
        </w:rPr>
      </w:pPr>
      <w:r>
        <w:rPr>
          <w:rFonts w:hint="default" w:ascii="Times New Roman" w:hAnsi="Times New Roman" w:cs="Times New Roman"/>
          <w:b/>
          <w:bCs/>
          <w:color w:val="auto"/>
          <w:highlight w:val="none"/>
        </w:rPr>
        <w:t>图</w:t>
      </w:r>
      <w:r>
        <w:rPr>
          <w:rFonts w:hint="eastAsia" w:cs="Times New Roman"/>
          <w:b/>
          <w:bCs/>
          <w:color w:val="auto"/>
          <w:highlight w:val="none"/>
          <w:lang w:val="en-US" w:eastAsia="zh-CN"/>
        </w:rPr>
        <w:t>4.5</w:t>
      </w:r>
      <w:r>
        <w:rPr>
          <w:rFonts w:hint="default" w:ascii="Times New Roman" w:hAnsi="Times New Roman" w:cs="Times New Roman"/>
          <w:b/>
          <w:bCs/>
          <w:color w:val="auto"/>
          <w:highlight w:val="none"/>
        </w:rPr>
        <w:t>-1      各预测时段水土流失量汇总</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各预测单元水土流失量汇总表，见表4.5-2。</w:t>
      </w:r>
    </w:p>
    <w:p>
      <w:pPr>
        <w:pStyle w:val="75"/>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表</w:t>
      </w:r>
      <w:r>
        <w:rPr>
          <w:rFonts w:hint="default" w:ascii="Times New Roman" w:hAnsi="Times New Roman" w:cs="Times New Roman"/>
          <w:color w:val="auto"/>
          <w:highlight w:val="none"/>
        </w:rPr>
        <w:t>4</w:t>
      </w:r>
      <w:r>
        <w:rPr>
          <w:rFonts w:hint="default" w:ascii="Times New Roman" w:hAnsi="Times New Roman" w:cs="Times New Roman"/>
          <w:snapToGrid w:val="0"/>
          <w:color w:val="auto"/>
          <w:kern w:val="24"/>
          <w:highlight w:val="none"/>
        </w:rPr>
        <w:t>.5-2    各预测单元水土流失量汇总表</w:t>
      </w:r>
    </w:p>
    <w:tbl>
      <w:tblPr>
        <w:tblStyle w:val="27"/>
        <w:tblW w:w="94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21"/>
        <w:gridCol w:w="1664"/>
        <w:gridCol w:w="2125"/>
        <w:gridCol w:w="2128"/>
        <w:gridCol w:w="20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3085" w:type="dxa"/>
            <w:gridSpan w:val="2"/>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防治分区</w:t>
            </w:r>
          </w:p>
        </w:tc>
        <w:tc>
          <w:tcPr>
            <w:tcW w:w="2125"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水土流失总量（t）</w:t>
            </w:r>
          </w:p>
        </w:tc>
        <w:tc>
          <w:tcPr>
            <w:tcW w:w="2128"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新增水土流失量（t)</w:t>
            </w:r>
          </w:p>
        </w:tc>
        <w:tc>
          <w:tcPr>
            <w:tcW w:w="2094" w:type="dxa"/>
            <w:shd w:val="clear" w:color="auto" w:fill="auto"/>
            <w:vAlign w:val="center"/>
          </w:tcPr>
          <w:p>
            <w:pPr>
              <w:pStyle w:val="84"/>
              <w:jc w:val="left"/>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rPr>
              <w:t>新增流失量比</w:t>
            </w:r>
            <w:r>
              <w:rPr>
                <w:rFonts w:hint="eastAsia" w:cs="Times New Roman"/>
                <w:color w:val="auto"/>
                <w:highlight w:val="none"/>
                <w:lang w:eastAsia="zh-CN"/>
              </w:rPr>
              <w:t>例（</w:t>
            </w:r>
            <w:r>
              <w:rPr>
                <w:rFonts w:hint="eastAsia" w:cs="Times New Roman"/>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421"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光伏发电区</w:t>
            </w:r>
          </w:p>
        </w:tc>
        <w:tc>
          <w:tcPr>
            <w:tcW w:w="166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光伏阵列区</w:t>
            </w:r>
          </w:p>
        </w:tc>
        <w:tc>
          <w:tcPr>
            <w:tcW w:w="2125"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6862.72 </w:t>
            </w:r>
          </w:p>
        </w:tc>
        <w:tc>
          <w:tcPr>
            <w:tcW w:w="2128"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2907.42 </w:t>
            </w:r>
          </w:p>
        </w:tc>
        <w:tc>
          <w:tcPr>
            <w:tcW w:w="2094"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 xml:space="preserve">88.33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421" w:type="dxa"/>
            <w:vMerge w:val="continue"/>
            <w:vAlign w:val="center"/>
          </w:tcPr>
          <w:p>
            <w:pPr>
              <w:pStyle w:val="84"/>
              <w:rPr>
                <w:rFonts w:hint="default" w:ascii="Times New Roman" w:hAnsi="Times New Roman" w:cs="Times New Roman"/>
                <w:color w:val="auto"/>
                <w:highlight w:val="none"/>
              </w:rPr>
            </w:pPr>
          </w:p>
        </w:tc>
        <w:tc>
          <w:tcPr>
            <w:tcW w:w="166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集电线路区</w:t>
            </w:r>
          </w:p>
        </w:tc>
        <w:tc>
          <w:tcPr>
            <w:tcW w:w="2125"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436.63 </w:t>
            </w:r>
          </w:p>
        </w:tc>
        <w:tc>
          <w:tcPr>
            <w:tcW w:w="2128"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184.92 </w:t>
            </w:r>
          </w:p>
        </w:tc>
        <w:tc>
          <w:tcPr>
            <w:tcW w:w="2094"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 xml:space="preserve">5.62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421"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道路工程区</w:t>
            </w:r>
          </w:p>
        </w:tc>
        <w:tc>
          <w:tcPr>
            <w:tcW w:w="166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进场道路</w:t>
            </w:r>
          </w:p>
        </w:tc>
        <w:tc>
          <w:tcPr>
            <w:tcW w:w="2125"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1.30 </w:t>
            </w:r>
          </w:p>
        </w:tc>
        <w:tc>
          <w:tcPr>
            <w:tcW w:w="2128"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0.81 </w:t>
            </w:r>
          </w:p>
        </w:tc>
        <w:tc>
          <w:tcPr>
            <w:tcW w:w="2094"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 xml:space="preserve">0.02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421" w:type="dxa"/>
            <w:vMerge w:val="continue"/>
            <w:vAlign w:val="center"/>
          </w:tcPr>
          <w:p>
            <w:pPr>
              <w:pStyle w:val="84"/>
              <w:rPr>
                <w:rFonts w:hint="default" w:ascii="Times New Roman" w:hAnsi="Times New Roman" w:cs="Times New Roman"/>
                <w:color w:val="auto"/>
                <w:highlight w:val="none"/>
              </w:rPr>
            </w:pPr>
          </w:p>
        </w:tc>
        <w:tc>
          <w:tcPr>
            <w:tcW w:w="166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场内道路</w:t>
            </w:r>
          </w:p>
        </w:tc>
        <w:tc>
          <w:tcPr>
            <w:tcW w:w="2125"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303.74 </w:t>
            </w:r>
          </w:p>
        </w:tc>
        <w:tc>
          <w:tcPr>
            <w:tcW w:w="2128"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128.64 </w:t>
            </w:r>
          </w:p>
        </w:tc>
        <w:tc>
          <w:tcPr>
            <w:tcW w:w="2094"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 xml:space="preserve">3.91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3085" w:type="dxa"/>
            <w:gridSpan w:val="2"/>
            <w:shd w:val="clear" w:color="auto" w:fill="auto"/>
            <w:vAlign w:val="center"/>
          </w:tcPr>
          <w:p>
            <w:pPr>
              <w:pStyle w:val="84"/>
              <w:rPr>
                <w:rFonts w:hint="default" w:ascii="Times New Roman" w:hAnsi="Times New Roman" w:eastAsia="仿宋_GB2312" w:cs="Times New Roman"/>
                <w:color w:val="auto"/>
                <w:highlight w:val="none"/>
                <w:lang w:eastAsia="zh-CN"/>
              </w:rPr>
            </w:pPr>
            <w:r>
              <w:rPr>
                <w:rFonts w:hint="eastAsia" w:cs="Times New Roman"/>
                <w:color w:val="auto"/>
                <w:highlight w:val="none"/>
                <w:lang w:eastAsia="zh-CN"/>
              </w:rPr>
              <w:t>运行管理</w:t>
            </w:r>
            <w:r>
              <w:rPr>
                <w:rFonts w:hint="default" w:ascii="Times New Roman" w:hAnsi="Times New Roman" w:cs="Times New Roman"/>
                <w:color w:val="auto"/>
                <w:highlight w:val="none"/>
                <w:lang w:eastAsia="zh-CN"/>
              </w:rPr>
              <w:t>区</w:t>
            </w:r>
          </w:p>
        </w:tc>
        <w:tc>
          <w:tcPr>
            <w:tcW w:w="2125"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83.01</w:t>
            </w:r>
          </w:p>
        </w:tc>
        <w:tc>
          <w:tcPr>
            <w:tcW w:w="2128"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38.81</w:t>
            </w:r>
          </w:p>
        </w:tc>
        <w:tc>
          <w:tcPr>
            <w:tcW w:w="2094"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 xml:space="preserve">1.18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3085" w:type="dxa"/>
            <w:gridSpan w:val="2"/>
            <w:shd w:val="clear" w:color="auto" w:fill="auto"/>
            <w:vAlign w:val="center"/>
          </w:tcPr>
          <w:p>
            <w:pPr>
              <w:pStyle w:val="84"/>
              <w:rPr>
                <w:rFonts w:hint="default" w:ascii="Times New Roman" w:hAnsi="Times New Roman" w:cs="Times New Roman"/>
                <w:color w:val="auto"/>
                <w:highlight w:val="none"/>
              </w:rPr>
            </w:pPr>
            <w:r>
              <w:rPr>
                <w:rFonts w:hint="eastAsia" w:cs="Times New Roman"/>
                <w:color w:val="auto"/>
                <w:highlight w:val="none"/>
                <w:lang w:eastAsia="zh-CN"/>
              </w:rPr>
              <w:t>施工生产生活区</w:t>
            </w:r>
          </w:p>
        </w:tc>
        <w:tc>
          <w:tcPr>
            <w:tcW w:w="2125"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72.77 </w:t>
            </w:r>
          </w:p>
        </w:tc>
        <w:tc>
          <w:tcPr>
            <w:tcW w:w="2128"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i w:val="0"/>
                <w:color w:val="000000"/>
                <w:spacing w:val="-2"/>
                <w:kern w:val="0"/>
                <w:sz w:val="21"/>
                <w:szCs w:val="21"/>
                <w:highlight w:val="none"/>
                <w:u w:val="none"/>
                <w:lang w:val="en-US" w:eastAsia="zh-CN" w:bidi="ar-SA"/>
              </w:rPr>
              <w:t xml:space="preserve">30.82 </w:t>
            </w:r>
          </w:p>
        </w:tc>
        <w:tc>
          <w:tcPr>
            <w:tcW w:w="2094"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 xml:space="preserve">0.94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3085" w:type="dxa"/>
            <w:gridSpan w:val="2"/>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合计</w:t>
            </w:r>
          </w:p>
        </w:tc>
        <w:tc>
          <w:tcPr>
            <w:tcW w:w="2125"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7760.17</w:t>
            </w:r>
          </w:p>
        </w:tc>
        <w:tc>
          <w:tcPr>
            <w:tcW w:w="2128"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3291.42</w:t>
            </w:r>
          </w:p>
        </w:tc>
        <w:tc>
          <w:tcPr>
            <w:tcW w:w="2094"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i w:val="0"/>
                <w:color w:val="000000"/>
                <w:spacing w:val="-2"/>
                <w:kern w:val="0"/>
                <w:sz w:val="21"/>
                <w:szCs w:val="21"/>
                <w:highlight w:val="none"/>
                <w:u w:val="none"/>
                <w:lang w:val="en-US" w:eastAsia="zh-CN" w:bidi="ar-SA"/>
              </w:rPr>
            </w:pPr>
            <w:r>
              <w:rPr>
                <w:rFonts w:hint="eastAsia" w:ascii="Times New Roman" w:hAnsi="Times New Roman" w:eastAsia="仿宋_GB2312" w:cs="Times New Roman"/>
                <w:i w:val="0"/>
                <w:color w:val="000000"/>
                <w:spacing w:val="-2"/>
                <w:kern w:val="0"/>
                <w:sz w:val="21"/>
                <w:szCs w:val="21"/>
                <w:highlight w:val="none"/>
                <w:u w:val="none"/>
                <w:lang w:val="en-US" w:eastAsia="zh-CN" w:bidi="ar-SA"/>
              </w:rPr>
              <w:t xml:space="preserve">100.00 </w:t>
            </w:r>
          </w:p>
        </w:tc>
      </w:tr>
    </w:tbl>
    <w:p>
      <w:pPr>
        <w:pStyle w:val="66"/>
        <w:ind w:left="0" w:leftChars="0" w:firstLine="0" w:firstLineChars="0"/>
        <w:jc w:val="center"/>
        <w:outlineLvl w:val="9"/>
      </w:pPr>
      <w:bookmarkStart w:id="121" w:name="_Toc17782"/>
      <w:bookmarkStart w:id="122" w:name="_Toc16795"/>
      <w:r>
        <w:drawing>
          <wp:inline distT="0" distB="0" distL="114300" distR="114300">
            <wp:extent cx="4572000" cy="2743200"/>
            <wp:effectExtent l="4445" t="4445" r="14605" b="14605"/>
            <wp:docPr id="3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121"/>
      <w:bookmarkEnd w:id="122"/>
    </w:p>
    <w:p>
      <w:pPr>
        <w:pStyle w:val="66"/>
        <w:ind w:left="0" w:leftChars="0" w:firstLine="0" w:firstLineChars="0"/>
        <w:jc w:val="center"/>
        <w:outlineLvl w:val="9"/>
        <w:rPr>
          <w:rFonts w:hint="default" w:ascii="Times New Roman" w:hAnsi="Times New Roman" w:cs="Times New Roman"/>
          <w:b/>
          <w:bCs/>
          <w:color w:val="auto"/>
          <w:sz w:val="24"/>
          <w:szCs w:val="24"/>
          <w:highlight w:val="none"/>
        </w:rPr>
      </w:pPr>
      <w:bookmarkStart w:id="123" w:name="_Toc6617"/>
      <w:bookmarkStart w:id="124" w:name="_Toc9687"/>
      <w:r>
        <w:rPr>
          <w:rFonts w:hint="default" w:ascii="Times New Roman" w:hAnsi="Times New Roman" w:cs="Times New Roman"/>
          <w:b/>
          <w:bCs/>
          <w:color w:val="auto"/>
          <w:sz w:val="24"/>
          <w:szCs w:val="24"/>
          <w:highlight w:val="none"/>
        </w:rPr>
        <w:t>图</w:t>
      </w:r>
      <w:r>
        <w:rPr>
          <w:rFonts w:hint="eastAsia" w:cs="Times New Roman"/>
          <w:b/>
          <w:bCs/>
          <w:color w:val="auto"/>
          <w:sz w:val="24"/>
          <w:szCs w:val="24"/>
          <w:highlight w:val="none"/>
          <w:lang w:val="en-US" w:eastAsia="zh-CN"/>
        </w:rPr>
        <w:t>4.5</w:t>
      </w:r>
      <w:r>
        <w:rPr>
          <w:rFonts w:hint="default" w:ascii="Times New Roman" w:hAnsi="Times New Roman" w:cs="Times New Roman"/>
          <w:b/>
          <w:bCs/>
          <w:color w:val="auto"/>
          <w:sz w:val="24"/>
          <w:szCs w:val="24"/>
          <w:highlight w:val="none"/>
        </w:rPr>
        <w:t>-</w:t>
      </w:r>
      <w:r>
        <w:rPr>
          <w:rFonts w:hint="eastAsia"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rPr>
        <w:t xml:space="preserve">      各预测单元水土流失量汇总</w:t>
      </w:r>
      <w:bookmarkEnd w:id="123"/>
      <w:bookmarkEnd w:id="124"/>
    </w:p>
    <w:p>
      <w:pPr>
        <w:pStyle w:val="66"/>
        <w:ind w:firstLine="148"/>
        <w:rPr>
          <w:rFonts w:hint="eastAsia" w:ascii="Times New Roman" w:hAnsi="Times New Roman" w:eastAsia="仿宋_GB2312" w:cs="Times New Roman"/>
          <w:color w:val="auto"/>
          <w:highlight w:val="none"/>
          <w:lang w:eastAsia="zh-CN"/>
        </w:rPr>
      </w:pPr>
      <w:bookmarkStart w:id="125" w:name="_Toc31857"/>
      <w:r>
        <w:rPr>
          <w:rFonts w:hint="default" w:ascii="Times New Roman" w:hAnsi="Times New Roman" w:cs="Times New Roman"/>
          <w:color w:val="auto"/>
          <w:highlight w:val="none"/>
        </w:rPr>
        <w:t>4.</w:t>
      </w:r>
      <w:r>
        <w:rPr>
          <w:rFonts w:hint="eastAsia" w:cs="Times New Roman"/>
          <w:color w:val="auto"/>
          <w:highlight w:val="none"/>
          <w:lang w:val="en-US" w:eastAsia="zh-CN"/>
        </w:rPr>
        <w:t>6</w:t>
      </w:r>
      <w:r>
        <w:rPr>
          <w:rFonts w:hint="default" w:ascii="Times New Roman" w:hAnsi="Times New Roman" w:cs="Times New Roman"/>
          <w:color w:val="auto"/>
          <w:highlight w:val="none"/>
        </w:rPr>
        <w:t xml:space="preserve"> </w:t>
      </w:r>
      <w:r>
        <w:rPr>
          <w:rFonts w:hint="eastAsia" w:cs="Times New Roman"/>
          <w:color w:val="auto"/>
          <w:highlight w:val="none"/>
          <w:lang w:eastAsia="zh-CN"/>
        </w:rPr>
        <w:t>水土流失调查与分析</w:t>
      </w:r>
      <w:bookmarkEnd w:id="125"/>
    </w:p>
    <w:p>
      <w:pPr>
        <w:pStyle w:val="56"/>
        <w:ind w:firstLine="480"/>
        <w:rPr>
          <w:rFonts w:hint="default" w:ascii="Times New Roman" w:hAnsi="Times New Roman" w:cs="Times New Roman"/>
          <w:b/>
          <w:bCs/>
          <w:color w:val="auto"/>
          <w:sz w:val="24"/>
          <w:szCs w:val="24"/>
          <w:highlight w:val="none"/>
        </w:rPr>
      </w:pPr>
      <w:r>
        <w:rPr>
          <w:rFonts w:hint="eastAsia" w:cs="Times New Roman"/>
          <w:color w:val="auto"/>
          <w:highlight w:val="none"/>
          <w:lang w:eastAsia="zh-CN"/>
        </w:rPr>
        <w:t>根据实际调查，本项目在</w:t>
      </w:r>
      <w:r>
        <w:rPr>
          <w:rFonts w:hint="eastAsia" w:ascii="仿宋" w:hAnsi="仿宋" w:eastAsia="仿宋" w:cs="仿宋"/>
          <w:b w:val="0"/>
          <w:bCs/>
          <w:color w:val="auto"/>
          <w:sz w:val="24"/>
          <w:szCs w:val="24"/>
          <w:highlight w:val="none"/>
          <w:lang w:val="en-US" w:eastAsia="zh-CN"/>
        </w:rPr>
        <w:t>工程建设期和运行初期没有发生任何水土流失灾害事件。</w:t>
      </w:r>
    </w:p>
    <w:p>
      <w:pPr>
        <w:pStyle w:val="66"/>
        <w:ind w:firstLine="148"/>
        <w:rPr>
          <w:rFonts w:hint="default" w:ascii="Times New Roman" w:hAnsi="Times New Roman" w:cs="Times New Roman"/>
          <w:color w:val="auto"/>
          <w:highlight w:val="none"/>
        </w:rPr>
      </w:pPr>
      <w:bookmarkStart w:id="126" w:name="_Toc8485"/>
      <w:r>
        <w:rPr>
          <w:rFonts w:hint="default" w:ascii="Times New Roman" w:hAnsi="Times New Roman" w:cs="Times New Roman"/>
          <w:color w:val="auto"/>
          <w:highlight w:val="none"/>
        </w:rPr>
        <w:t>4.</w:t>
      </w:r>
      <w:r>
        <w:rPr>
          <w:rFonts w:hint="eastAsia" w:cs="Times New Roman"/>
          <w:color w:val="auto"/>
          <w:highlight w:val="none"/>
          <w:lang w:val="en-US" w:eastAsia="zh-CN"/>
        </w:rPr>
        <w:t>7</w:t>
      </w:r>
      <w:r>
        <w:rPr>
          <w:rFonts w:hint="default" w:ascii="Times New Roman" w:hAnsi="Times New Roman" w:cs="Times New Roman"/>
          <w:color w:val="auto"/>
          <w:highlight w:val="none"/>
        </w:rPr>
        <w:t xml:space="preserve"> 指导意见</w:t>
      </w:r>
      <w:bookmarkEnd w:id="126"/>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体工程建设区地貌单元为冲洪积平原区，水土流失类型为轻度风力、微度水力侵蚀等。工程建设过程中破坏地表植被和结皮，以及临时堆土堆置都产生了一定的水土流失。因此，做好工程建设过程中扰动区域的防护和恢复，是项目建设水土保持主要工作内容。根据以上调查内容和结果进行综合分析，针对项目已实施及本方案的防护措施等工作提出如下的指导意见：</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（1）防治措施的指导意见</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设产生水土流失的因素很多，如：地面坡度、地表组成物质与结构、风力、降雨强度等，都是造成水土流失的主导因素。项目区内原地表土壤侵蚀类型以轻度侵蚀为主，工程建设扰动地表后新增土壤侵蚀量较大，工程建设过程中采取一系列的水土保持防治措施，有效减轻由于工程建设造成的水土流失。建设单位在后期的建设过程中应积极落实主体工程设计及方案新增水土保持防护措施，优化施工工艺，根据工程实际情况，工程建设过程中积极采取一定的临时防护措施，在项目建设区能够实施植物措施的区域尽可能的采取一些植物措施，并制定相关组织管理措施，加强项目区水土保持措施后续管理及维护工作。</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加强宣传，增强工作人员的水土保持意识，工程建设运行要把水土保持宣传工作放在重要位置，加强宣传水土保持有关的法律，加强水土保持教育，增强水土保持意识。</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（2）施工时序的指导意见</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施工期水土流失主要集中在</w:t>
      </w:r>
      <w:r>
        <w:rPr>
          <w:rFonts w:hint="eastAsia" w:cs="Times New Roman"/>
          <w:color w:val="auto"/>
          <w:highlight w:val="none"/>
          <w:lang w:val="en-US" w:eastAsia="zh-CN"/>
        </w:rPr>
        <w:t>3</w:t>
      </w:r>
      <w:r>
        <w:rPr>
          <w:rFonts w:hint="default" w:ascii="Times New Roman" w:hAnsi="Times New Roman" w:cs="Times New Roman"/>
          <w:color w:val="auto"/>
          <w:highlight w:val="none"/>
        </w:rPr>
        <w:t>～9月份，因此在主体施工安排时，各区域土建部分施工应尽量避开降雨天气。对在降雨期间不得不实施的工程必须做好防护措施，使水土保持工程与主体工程在施工时相互配套，特别做好临时防护工程，减少施工中的水土流失。</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虽然工程建设存在着损坏原地貌、临时堆土以及开挖边坡等可能造成水土流失的不利因素，但通过制定科学的水土保持方案，采取相应的对策措施，对可能造成的水土流失进行积极有效的防治，是可以减少因工程建设所引起的水土流失并降低其不利影响的。</w:t>
      </w:r>
    </w:p>
    <w:p>
      <w:pPr>
        <w:pStyle w:val="56"/>
        <w:ind w:firstLine="480"/>
        <w:rPr>
          <w:rFonts w:hint="default" w:ascii="Times New Roman" w:hAnsi="Times New Roman" w:cs="Times New Roman"/>
          <w:color w:val="auto"/>
          <w:highlight w:val="none"/>
        </w:rPr>
      </w:pPr>
    </w:p>
    <w:p>
      <w:pPr>
        <w:pStyle w:val="56"/>
        <w:ind w:firstLine="480"/>
        <w:rPr>
          <w:rFonts w:hint="default" w:ascii="Times New Roman" w:hAnsi="Times New Roman" w:cs="Times New Roman"/>
          <w:color w:val="auto"/>
          <w:highlight w:val="none"/>
        </w:rPr>
      </w:pPr>
    </w:p>
    <w:p>
      <w:pPr>
        <w:pStyle w:val="56"/>
        <w:ind w:firstLine="480"/>
        <w:rPr>
          <w:rFonts w:hint="default" w:ascii="Times New Roman" w:hAnsi="Times New Roman" w:cs="Times New Roman"/>
          <w:color w:val="auto"/>
          <w:highlight w:val="none"/>
        </w:rPr>
      </w:pPr>
    </w:p>
    <w:p>
      <w:pPr>
        <w:pStyle w:val="56"/>
        <w:ind w:firstLine="480"/>
        <w:rPr>
          <w:rFonts w:hint="default" w:ascii="Times New Roman" w:hAnsi="Times New Roman" w:cs="Times New Roman"/>
          <w:color w:val="auto"/>
          <w:highlight w:val="none"/>
        </w:rPr>
        <w:sectPr>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bookmarkEnd w:id="119"/>
    <w:bookmarkEnd w:id="120"/>
    <w:p>
      <w:pPr>
        <w:pStyle w:val="65"/>
        <w:rPr>
          <w:rFonts w:hint="default" w:ascii="Times New Roman" w:hAnsi="Times New Roman" w:cs="Times New Roman"/>
          <w:color w:val="auto"/>
          <w:highlight w:val="none"/>
        </w:rPr>
      </w:pPr>
      <w:bookmarkStart w:id="127" w:name="_Toc25151"/>
      <w:r>
        <w:rPr>
          <w:rFonts w:hint="default" w:ascii="Times New Roman" w:hAnsi="Times New Roman" w:cs="Times New Roman"/>
          <w:color w:val="auto"/>
          <w:highlight w:val="none"/>
        </w:rPr>
        <w:t>5 水土保持措施</w:t>
      </w:r>
      <w:bookmarkEnd w:id="127"/>
    </w:p>
    <w:p>
      <w:pPr>
        <w:pStyle w:val="66"/>
        <w:ind w:firstLine="148"/>
        <w:rPr>
          <w:rFonts w:hint="default" w:ascii="Times New Roman" w:hAnsi="Times New Roman" w:cs="Times New Roman"/>
          <w:color w:val="auto"/>
          <w:highlight w:val="none"/>
        </w:rPr>
      </w:pPr>
      <w:bookmarkStart w:id="128" w:name="_Toc407014552"/>
      <w:bookmarkStart w:id="129" w:name="_Toc417412338"/>
      <w:bookmarkStart w:id="130" w:name="_Toc4922"/>
      <w:r>
        <w:rPr>
          <w:rFonts w:hint="default" w:ascii="Times New Roman" w:hAnsi="Times New Roman" w:cs="Times New Roman"/>
          <w:color w:val="auto"/>
          <w:highlight w:val="none"/>
        </w:rPr>
        <w:t xml:space="preserve">5.1 </w:t>
      </w:r>
      <w:bookmarkEnd w:id="128"/>
      <w:bookmarkEnd w:id="129"/>
      <w:r>
        <w:rPr>
          <w:rFonts w:hint="default" w:ascii="Times New Roman" w:hAnsi="Times New Roman" w:cs="Times New Roman"/>
          <w:color w:val="auto"/>
          <w:highlight w:val="none"/>
        </w:rPr>
        <w:t>防治区划分</w:t>
      </w:r>
      <w:bookmarkEnd w:id="130"/>
    </w:p>
    <w:p>
      <w:pPr>
        <w:pStyle w:val="69"/>
        <w:rPr>
          <w:rFonts w:hint="default" w:ascii="Times New Roman" w:hAnsi="Times New Roman" w:cs="Times New Roman"/>
          <w:color w:val="auto"/>
          <w:highlight w:val="none"/>
        </w:rPr>
      </w:pPr>
      <w:bookmarkStart w:id="131" w:name="_Toc417412340"/>
      <w:bookmarkStart w:id="132" w:name="_Toc407014554"/>
      <w:r>
        <w:rPr>
          <w:rFonts w:hint="default" w:ascii="Times New Roman" w:hAnsi="Times New Roman" w:cs="Times New Roman"/>
          <w:color w:val="auto"/>
          <w:highlight w:val="none"/>
        </w:rPr>
        <w:t>5.1.1 防治分区依据</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项目水土流失防治责任范围，项目区地形地貌、地质条件、气候、植被和水土流失特征，结合工程总体布局特征、占地类型及占用方式，造成的水土流失类型、水土流失的重点区域及水土流失防治目标等工程建设特点和人为活动影响情况综合分析进行水土流失防治分区。</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5.1.2 防治分区原则</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防治分区的划定遵循以下原则：</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（1）各区之间具有显著差异性；</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（2）相同分区内造成水土流失的主导因子相近或相似；</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（3）区内扰动特点和扰动后的地表物质形态具有同一性；</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（4）区内气候特征、地表形态和地面物质组成和外营力（侵蚀营力和抗蚀性）等水土流失主导因子相近或相似；</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（5）区内工程建设类别、性质、建设时序和水土流失特点差异性和相似性。</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5.1.3 防治分区结果</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项目的建设特点及划定的防治责任范围，将水土流失治理区按地貌类型进行分区，在地貌单元内再根据工程建设对水土流失的影响、区域自然条件、工程布局及不同部位水土流失特点等因素，将分区进行细化。按照水土流失类型相同及治理措施基本相近，各区之间差异较大的原则，将本项目的水土流失防治区划分为一个一级防治分区：冲洪积平原区。同时根据各一级分区工程建设特点共划分为4个二级防治分区，包括光伏发电区、道路工程区、</w:t>
      </w:r>
      <w:r>
        <w:rPr>
          <w:rFonts w:hint="eastAsia" w:cs="Times New Roman"/>
          <w:color w:val="auto"/>
          <w:highlight w:val="none"/>
          <w:lang w:eastAsia="zh-CN"/>
        </w:rPr>
        <w:t>运行管理</w:t>
      </w:r>
      <w:r>
        <w:rPr>
          <w:rFonts w:hint="default" w:ascii="Times New Roman" w:hAnsi="Times New Roman" w:cs="Times New Roman"/>
          <w:color w:val="auto"/>
          <w:highlight w:val="none"/>
        </w:rPr>
        <w:t>区以及</w:t>
      </w:r>
      <w:r>
        <w:rPr>
          <w:rFonts w:hint="eastAsia" w:cs="Times New Roman"/>
          <w:color w:val="auto"/>
          <w:highlight w:val="none"/>
          <w:lang w:eastAsia="zh-CN"/>
        </w:rPr>
        <w:t>施工生产生活区</w:t>
      </w:r>
      <w:r>
        <w:rPr>
          <w:rFonts w:hint="default" w:ascii="Times New Roman" w:hAnsi="Times New Roman" w:cs="Times New Roman"/>
          <w:color w:val="auto"/>
          <w:highlight w:val="none"/>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本项目水土流失防治分区表，见表5.1-1。</w:t>
      </w:r>
    </w:p>
    <w:p>
      <w:pPr>
        <w:pStyle w:val="75"/>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br w:type="page"/>
      </w:r>
    </w:p>
    <w:p>
      <w:pPr>
        <w:pStyle w:val="75"/>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表</w:t>
      </w:r>
      <w:r>
        <w:rPr>
          <w:rFonts w:hint="default" w:ascii="Times New Roman" w:hAnsi="Times New Roman" w:cs="Times New Roman"/>
          <w:color w:val="auto"/>
          <w:highlight w:val="none"/>
        </w:rPr>
        <w:t>5.1-1     按区域划分</w:t>
      </w:r>
      <w:r>
        <w:rPr>
          <w:rFonts w:hint="default" w:ascii="Times New Roman" w:hAnsi="Times New Roman" w:cs="Times New Roman"/>
          <w:snapToGrid w:val="0"/>
          <w:color w:val="auto"/>
          <w:kern w:val="24"/>
          <w:highlight w:val="none"/>
        </w:rPr>
        <w:t>分水土流失防治分区表    单位：hm²</w:t>
      </w:r>
    </w:p>
    <w:tbl>
      <w:tblPr>
        <w:tblStyle w:val="27"/>
        <w:tblW w:w="90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4"/>
        <w:gridCol w:w="1684"/>
        <w:gridCol w:w="1247"/>
        <w:gridCol w:w="1405"/>
        <w:gridCol w:w="2273"/>
        <w:gridCol w:w="11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127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一级分区</w:t>
            </w:r>
          </w:p>
        </w:tc>
        <w:tc>
          <w:tcPr>
            <w:tcW w:w="168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二级分区</w:t>
            </w:r>
          </w:p>
        </w:tc>
        <w:tc>
          <w:tcPr>
            <w:tcW w:w="1247"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三级分区</w:t>
            </w:r>
          </w:p>
        </w:tc>
        <w:tc>
          <w:tcPr>
            <w:tcW w:w="1405"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分区面积</w:t>
            </w:r>
          </w:p>
        </w:tc>
        <w:tc>
          <w:tcPr>
            <w:tcW w:w="2273"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分区特点</w:t>
            </w:r>
          </w:p>
        </w:tc>
        <w:tc>
          <w:tcPr>
            <w:tcW w:w="1177"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行政区划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1274"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冲洪积平原区</w:t>
            </w:r>
          </w:p>
        </w:tc>
        <w:tc>
          <w:tcPr>
            <w:tcW w:w="1684"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光伏发电区</w:t>
            </w:r>
          </w:p>
        </w:tc>
        <w:tc>
          <w:tcPr>
            <w:tcW w:w="1247"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光伏阵列区</w:t>
            </w:r>
          </w:p>
        </w:tc>
        <w:tc>
          <w:tcPr>
            <w:tcW w:w="1405"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43.46</w:t>
            </w:r>
          </w:p>
        </w:tc>
        <w:tc>
          <w:tcPr>
            <w:tcW w:w="2273"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分区按扰特点相同，施工工艺相同，施工时序在同一时间确定。</w:t>
            </w:r>
          </w:p>
        </w:tc>
        <w:tc>
          <w:tcPr>
            <w:tcW w:w="1177" w:type="dxa"/>
            <w:vMerge w:val="restart"/>
            <w:shd w:val="clear" w:color="auto" w:fill="auto"/>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哈密市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1274" w:type="dxa"/>
            <w:vMerge w:val="continue"/>
            <w:vAlign w:val="center"/>
          </w:tcPr>
          <w:p>
            <w:pPr>
              <w:pStyle w:val="84"/>
              <w:rPr>
                <w:rFonts w:hint="default" w:ascii="Times New Roman" w:hAnsi="Times New Roman" w:cs="Times New Roman"/>
                <w:color w:val="auto"/>
                <w:highlight w:val="none"/>
              </w:rPr>
            </w:pPr>
          </w:p>
        </w:tc>
        <w:tc>
          <w:tcPr>
            <w:tcW w:w="1684" w:type="dxa"/>
            <w:vMerge w:val="continue"/>
            <w:vAlign w:val="center"/>
          </w:tcPr>
          <w:p>
            <w:pPr>
              <w:pStyle w:val="84"/>
              <w:rPr>
                <w:rFonts w:hint="default" w:ascii="Times New Roman" w:hAnsi="Times New Roman" w:cs="Times New Roman"/>
                <w:color w:val="auto"/>
                <w:highlight w:val="none"/>
              </w:rPr>
            </w:pPr>
          </w:p>
        </w:tc>
        <w:tc>
          <w:tcPr>
            <w:tcW w:w="1247"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集电线路区</w:t>
            </w:r>
          </w:p>
        </w:tc>
        <w:tc>
          <w:tcPr>
            <w:tcW w:w="1405"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2.76</w:t>
            </w:r>
          </w:p>
        </w:tc>
        <w:tc>
          <w:tcPr>
            <w:tcW w:w="2273" w:type="dxa"/>
            <w:vMerge w:val="continue"/>
            <w:vAlign w:val="center"/>
          </w:tcPr>
          <w:p>
            <w:pPr>
              <w:pStyle w:val="84"/>
              <w:rPr>
                <w:rFonts w:hint="default" w:ascii="Times New Roman" w:hAnsi="Times New Roman" w:cs="Times New Roman"/>
                <w:color w:val="auto"/>
                <w:highlight w:val="none"/>
              </w:rPr>
            </w:pPr>
          </w:p>
        </w:tc>
        <w:tc>
          <w:tcPr>
            <w:tcW w:w="1177" w:type="dxa"/>
            <w:vMerge w:val="continue"/>
            <w:vAlign w:val="center"/>
          </w:tcPr>
          <w:p>
            <w:pPr>
              <w:pStyle w:val="84"/>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1274" w:type="dxa"/>
            <w:vMerge w:val="continue"/>
            <w:vAlign w:val="center"/>
          </w:tcPr>
          <w:p>
            <w:pPr>
              <w:pStyle w:val="84"/>
              <w:rPr>
                <w:rFonts w:hint="default" w:ascii="Times New Roman" w:hAnsi="Times New Roman" w:cs="Times New Roman"/>
                <w:color w:val="auto"/>
                <w:highlight w:val="none"/>
              </w:rPr>
            </w:pPr>
          </w:p>
        </w:tc>
        <w:tc>
          <w:tcPr>
            <w:tcW w:w="1684"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道路工程区</w:t>
            </w:r>
          </w:p>
        </w:tc>
        <w:tc>
          <w:tcPr>
            <w:tcW w:w="1247"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进场道路</w:t>
            </w:r>
          </w:p>
        </w:tc>
        <w:tc>
          <w:tcPr>
            <w:tcW w:w="1405"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0.03</w:t>
            </w:r>
          </w:p>
        </w:tc>
        <w:tc>
          <w:tcPr>
            <w:tcW w:w="2273" w:type="dxa"/>
            <w:vMerge w:val="continue"/>
            <w:vAlign w:val="center"/>
          </w:tcPr>
          <w:p>
            <w:pPr>
              <w:pStyle w:val="84"/>
              <w:rPr>
                <w:rFonts w:hint="default" w:ascii="Times New Roman" w:hAnsi="Times New Roman" w:cs="Times New Roman"/>
                <w:color w:val="auto"/>
                <w:highlight w:val="none"/>
              </w:rPr>
            </w:pPr>
          </w:p>
        </w:tc>
        <w:tc>
          <w:tcPr>
            <w:tcW w:w="1177" w:type="dxa"/>
            <w:vMerge w:val="continue"/>
            <w:vAlign w:val="center"/>
          </w:tcPr>
          <w:p>
            <w:pPr>
              <w:pStyle w:val="84"/>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1274" w:type="dxa"/>
            <w:vMerge w:val="continue"/>
            <w:vAlign w:val="center"/>
          </w:tcPr>
          <w:p>
            <w:pPr>
              <w:pStyle w:val="84"/>
              <w:rPr>
                <w:rFonts w:hint="default" w:ascii="Times New Roman" w:hAnsi="Times New Roman" w:cs="Times New Roman"/>
                <w:color w:val="auto"/>
                <w:highlight w:val="none"/>
              </w:rPr>
            </w:pPr>
          </w:p>
        </w:tc>
        <w:tc>
          <w:tcPr>
            <w:tcW w:w="1684" w:type="dxa"/>
            <w:vMerge w:val="continue"/>
            <w:vAlign w:val="center"/>
          </w:tcPr>
          <w:p>
            <w:pPr>
              <w:pStyle w:val="84"/>
              <w:rPr>
                <w:rFonts w:hint="default" w:ascii="Times New Roman" w:hAnsi="Times New Roman" w:cs="Times New Roman"/>
                <w:color w:val="auto"/>
                <w:highlight w:val="none"/>
              </w:rPr>
            </w:pPr>
          </w:p>
        </w:tc>
        <w:tc>
          <w:tcPr>
            <w:tcW w:w="1247"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场内道路</w:t>
            </w:r>
          </w:p>
        </w:tc>
        <w:tc>
          <w:tcPr>
            <w:tcW w:w="1405"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1.92</w:t>
            </w:r>
          </w:p>
        </w:tc>
        <w:tc>
          <w:tcPr>
            <w:tcW w:w="2273" w:type="dxa"/>
            <w:vMerge w:val="continue"/>
            <w:vAlign w:val="center"/>
          </w:tcPr>
          <w:p>
            <w:pPr>
              <w:pStyle w:val="84"/>
              <w:rPr>
                <w:rFonts w:hint="default" w:ascii="Times New Roman" w:hAnsi="Times New Roman" w:cs="Times New Roman"/>
                <w:color w:val="auto"/>
                <w:highlight w:val="none"/>
              </w:rPr>
            </w:pPr>
          </w:p>
        </w:tc>
        <w:tc>
          <w:tcPr>
            <w:tcW w:w="1177" w:type="dxa"/>
            <w:vMerge w:val="continue"/>
            <w:vAlign w:val="center"/>
          </w:tcPr>
          <w:p>
            <w:pPr>
              <w:pStyle w:val="84"/>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1274" w:type="dxa"/>
            <w:vMerge w:val="continue"/>
            <w:vAlign w:val="center"/>
          </w:tcPr>
          <w:p>
            <w:pPr>
              <w:pStyle w:val="84"/>
              <w:rPr>
                <w:rFonts w:hint="default" w:ascii="Times New Roman" w:hAnsi="Times New Roman" w:cs="Times New Roman"/>
                <w:color w:val="auto"/>
                <w:highlight w:val="none"/>
              </w:rPr>
            </w:pPr>
          </w:p>
        </w:tc>
        <w:tc>
          <w:tcPr>
            <w:tcW w:w="2931" w:type="dxa"/>
            <w:gridSpan w:val="2"/>
            <w:shd w:val="clear" w:color="auto" w:fill="auto"/>
            <w:vAlign w:val="center"/>
          </w:tcPr>
          <w:p>
            <w:pPr>
              <w:pStyle w:val="84"/>
              <w:rPr>
                <w:rFonts w:hint="default" w:ascii="Times New Roman" w:hAnsi="Times New Roman" w:cs="Times New Roman"/>
                <w:color w:val="auto"/>
                <w:highlight w:val="none"/>
              </w:rPr>
            </w:pPr>
            <w:r>
              <w:rPr>
                <w:rFonts w:hint="eastAsia" w:cs="Times New Roman"/>
                <w:color w:val="auto"/>
                <w:highlight w:val="none"/>
                <w:lang w:eastAsia="zh-CN"/>
              </w:rPr>
              <w:t>运行管理</w:t>
            </w:r>
            <w:r>
              <w:rPr>
                <w:rFonts w:hint="default" w:ascii="Times New Roman" w:hAnsi="Times New Roman" w:cs="Times New Roman"/>
                <w:color w:val="auto"/>
                <w:highlight w:val="none"/>
              </w:rPr>
              <w:t>区</w:t>
            </w:r>
          </w:p>
        </w:tc>
        <w:tc>
          <w:tcPr>
            <w:tcW w:w="1405"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0.</w:t>
            </w:r>
            <w:r>
              <w:rPr>
                <w:rFonts w:hint="eastAsia" w:eastAsia="仿宋_GB2312" w:cs="Times New Roman"/>
                <w:color w:val="auto"/>
                <w:spacing w:val="-2"/>
                <w:kern w:val="0"/>
                <w:sz w:val="21"/>
                <w:szCs w:val="21"/>
                <w:highlight w:val="none"/>
                <w:lang w:val="en-US" w:eastAsia="zh-CN" w:bidi="ar-SA"/>
              </w:rPr>
              <w:t>83</w:t>
            </w:r>
          </w:p>
        </w:tc>
        <w:tc>
          <w:tcPr>
            <w:tcW w:w="2273" w:type="dxa"/>
            <w:vMerge w:val="continue"/>
            <w:vAlign w:val="center"/>
          </w:tcPr>
          <w:p>
            <w:pPr>
              <w:pStyle w:val="84"/>
              <w:rPr>
                <w:rFonts w:hint="default" w:ascii="Times New Roman" w:hAnsi="Times New Roman" w:cs="Times New Roman"/>
                <w:color w:val="auto"/>
                <w:highlight w:val="none"/>
              </w:rPr>
            </w:pPr>
          </w:p>
        </w:tc>
        <w:tc>
          <w:tcPr>
            <w:tcW w:w="1177" w:type="dxa"/>
            <w:vMerge w:val="continue"/>
            <w:vAlign w:val="center"/>
          </w:tcPr>
          <w:p>
            <w:pPr>
              <w:pStyle w:val="84"/>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1274" w:type="dxa"/>
            <w:vMerge w:val="continue"/>
            <w:vAlign w:val="center"/>
          </w:tcPr>
          <w:p>
            <w:pPr>
              <w:pStyle w:val="84"/>
              <w:rPr>
                <w:rFonts w:hint="default" w:ascii="Times New Roman" w:hAnsi="Times New Roman" w:cs="Times New Roman"/>
                <w:color w:val="auto"/>
                <w:highlight w:val="none"/>
              </w:rPr>
            </w:pPr>
          </w:p>
        </w:tc>
        <w:tc>
          <w:tcPr>
            <w:tcW w:w="2931" w:type="dxa"/>
            <w:gridSpan w:val="2"/>
            <w:shd w:val="clear" w:color="auto" w:fill="auto"/>
            <w:vAlign w:val="center"/>
          </w:tcPr>
          <w:p>
            <w:pPr>
              <w:pStyle w:val="84"/>
              <w:rPr>
                <w:rFonts w:hint="default" w:ascii="Times New Roman" w:hAnsi="Times New Roman" w:eastAsia="仿宋_GB2312" w:cs="Times New Roman"/>
                <w:color w:val="auto"/>
                <w:highlight w:val="none"/>
                <w:lang w:eastAsia="zh-CN"/>
              </w:rPr>
            </w:pPr>
            <w:r>
              <w:rPr>
                <w:rFonts w:hint="eastAsia" w:cs="Times New Roman"/>
                <w:color w:val="auto"/>
                <w:highlight w:val="none"/>
                <w:lang w:eastAsia="zh-CN"/>
              </w:rPr>
              <w:t>施工生产生活区</w:t>
            </w:r>
          </w:p>
        </w:tc>
        <w:tc>
          <w:tcPr>
            <w:tcW w:w="1405"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0.</w:t>
            </w:r>
            <w:r>
              <w:rPr>
                <w:rFonts w:hint="eastAsia" w:eastAsia="仿宋_GB2312" w:cs="Times New Roman"/>
                <w:color w:val="auto"/>
                <w:spacing w:val="-2"/>
                <w:kern w:val="0"/>
                <w:sz w:val="21"/>
                <w:szCs w:val="21"/>
                <w:highlight w:val="none"/>
                <w:lang w:val="en-US" w:eastAsia="zh-CN" w:bidi="ar-SA"/>
              </w:rPr>
              <w:t>46</w:t>
            </w:r>
          </w:p>
        </w:tc>
        <w:tc>
          <w:tcPr>
            <w:tcW w:w="2273" w:type="dxa"/>
            <w:vMerge w:val="continue"/>
            <w:vAlign w:val="center"/>
          </w:tcPr>
          <w:p>
            <w:pPr>
              <w:pStyle w:val="84"/>
              <w:rPr>
                <w:rFonts w:hint="default" w:ascii="Times New Roman" w:hAnsi="Times New Roman" w:cs="Times New Roman"/>
                <w:color w:val="auto"/>
                <w:highlight w:val="none"/>
              </w:rPr>
            </w:pPr>
          </w:p>
        </w:tc>
        <w:tc>
          <w:tcPr>
            <w:tcW w:w="1177" w:type="dxa"/>
            <w:vMerge w:val="continue"/>
            <w:vAlign w:val="center"/>
          </w:tcPr>
          <w:p>
            <w:pPr>
              <w:pStyle w:val="84"/>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4205" w:type="dxa"/>
            <w:gridSpan w:val="3"/>
            <w:shd w:val="clear" w:color="auto" w:fill="auto"/>
            <w:vAlign w:val="center"/>
          </w:tcPr>
          <w:p>
            <w:pPr>
              <w:pStyle w:val="84"/>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合计</w:t>
            </w:r>
          </w:p>
        </w:tc>
        <w:tc>
          <w:tcPr>
            <w:tcW w:w="1405"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49.46</w:t>
            </w:r>
          </w:p>
        </w:tc>
        <w:tc>
          <w:tcPr>
            <w:tcW w:w="2273" w:type="dxa"/>
            <w:shd w:val="clear" w:color="auto" w:fill="auto"/>
            <w:vAlign w:val="center"/>
          </w:tcPr>
          <w:p>
            <w:pPr>
              <w:pStyle w:val="84"/>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　</w:t>
            </w:r>
          </w:p>
        </w:tc>
        <w:tc>
          <w:tcPr>
            <w:tcW w:w="1177" w:type="dxa"/>
            <w:shd w:val="clear" w:color="auto" w:fill="auto"/>
            <w:vAlign w:val="center"/>
          </w:tcPr>
          <w:p>
            <w:pPr>
              <w:pStyle w:val="84"/>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　</w:t>
            </w:r>
          </w:p>
        </w:tc>
      </w:tr>
    </w:tbl>
    <w:p>
      <w:pPr>
        <w:pStyle w:val="66"/>
        <w:ind w:firstLine="148"/>
        <w:rPr>
          <w:rFonts w:hint="default" w:ascii="Times New Roman" w:hAnsi="Times New Roman" w:cs="Times New Roman"/>
          <w:color w:val="auto"/>
          <w:highlight w:val="none"/>
        </w:rPr>
      </w:pPr>
      <w:bookmarkStart w:id="133" w:name="_Toc23968"/>
      <w:r>
        <w:rPr>
          <w:rFonts w:hint="default" w:ascii="Times New Roman" w:hAnsi="Times New Roman" w:cs="Times New Roman"/>
          <w:color w:val="auto"/>
          <w:highlight w:val="none"/>
        </w:rPr>
        <w:t xml:space="preserve">5.2 </w:t>
      </w:r>
      <w:bookmarkEnd w:id="131"/>
      <w:bookmarkEnd w:id="132"/>
      <w:r>
        <w:rPr>
          <w:rFonts w:hint="default" w:ascii="Times New Roman" w:hAnsi="Times New Roman" w:cs="Times New Roman"/>
          <w:color w:val="auto"/>
          <w:highlight w:val="none"/>
        </w:rPr>
        <w:t>措施总体布局</w:t>
      </w:r>
      <w:bookmarkEnd w:id="133"/>
    </w:p>
    <w:p>
      <w:pPr>
        <w:pStyle w:val="56"/>
        <w:ind w:firstLine="480"/>
        <w:rPr>
          <w:rFonts w:hint="default" w:ascii="Times New Roman" w:hAnsi="Times New Roman" w:cs="Times New Roman"/>
          <w:color w:val="auto"/>
          <w:highlight w:val="none"/>
        </w:rPr>
      </w:pPr>
      <w:bookmarkStart w:id="134" w:name="_Toc417412341"/>
      <w:bookmarkStart w:id="135" w:name="_Toc407014555"/>
      <w:r>
        <w:rPr>
          <w:rFonts w:hint="default" w:ascii="Times New Roman" w:hAnsi="Times New Roman" w:cs="Times New Roman"/>
          <w:color w:val="auto"/>
          <w:highlight w:val="none"/>
        </w:rPr>
        <w:t>据项目建设特点和当地的自然条件，在水土流失调查及分析评价主体工程中具有水土保持功能工程的基础上，针对建设施工活动引发水土流失的特点和造成危害程度，依据分区治理、突出重点的原则，对项目区水土流失进行综合治理。本工程水土保持分区防治措施总体布局由主体工程具有的水土保持功能的措施及本方案新增水土保持治理措施组成。将水土保持工程措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永久措施和临时措施有机结合起来，合理确定水土保持措施的总体布局，以形成完整的、科学的水土保持防治体系。</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根据主体工程资料</w:t>
      </w:r>
      <w:r>
        <w:rPr>
          <w:rFonts w:hint="eastAsia" w:cs="Times New Roman"/>
          <w:color w:val="auto"/>
          <w:highlight w:val="none"/>
          <w:lang w:eastAsia="zh-CN"/>
        </w:rPr>
        <w:t>与工程实际情况</w:t>
      </w:r>
      <w:r>
        <w:rPr>
          <w:rFonts w:hint="default" w:ascii="Times New Roman" w:hAnsi="Times New Roman" w:cs="Times New Roman"/>
          <w:color w:val="auto"/>
          <w:highlight w:val="none"/>
        </w:rPr>
        <w:t>，主体工程设计了</w:t>
      </w:r>
      <w:r>
        <w:rPr>
          <w:rFonts w:hint="eastAsia" w:cs="Times New Roman"/>
          <w:color w:val="auto"/>
          <w:highlight w:val="none"/>
          <w:lang w:eastAsia="zh-CN"/>
        </w:rPr>
        <w:t>一些</w:t>
      </w:r>
      <w:r>
        <w:rPr>
          <w:rFonts w:hint="default" w:ascii="Times New Roman" w:hAnsi="Times New Roman" w:cs="Times New Roman"/>
          <w:color w:val="auto"/>
          <w:highlight w:val="none"/>
        </w:rPr>
        <w:t>具有水土保持功能的措施包括：光伏</w:t>
      </w:r>
      <w:r>
        <w:rPr>
          <w:rFonts w:hint="eastAsia" w:cs="Times New Roman"/>
          <w:color w:val="auto"/>
          <w:highlight w:val="none"/>
          <w:lang w:eastAsia="zh-CN"/>
        </w:rPr>
        <w:t>区</w:t>
      </w:r>
      <w:r>
        <w:rPr>
          <w:rFonts w:hint="default" w:ascii="Times New Roman" w:hAnsi="Times New Roman" w:cs="Times New Roman"/>
          <w:color w:val="auto"/>
          <w:highlight w:val="none"/>
        </w:rPr>
        <w:t>的</w:t>
      </w:r>
      <w:r>
        <w:rPr>
          <w:rFonts w:hint="eastAsia" w:cs="Times New Roman"/>
          <w:color w:val="auto"/>
          <w:highlight w:val="none"/>
          <w:lang w:eastAsia="zh-CN"/>
        </w:rPr>
        <w:t>洒水、</w:t>
      </w:r>
      <w:r>
        <w:rPr>
          <w:rFonts w:hint="default" w:ascii="Times New Roman" w:hAnsi="Times New Roman" w:cs="Times New Roman"/>
          <w:color w:val="auto"/>
          <w:highlight w:val="none"/>
        </w:rPr>
        <w:t>土地平整</w:t>
      </w:r>
      <w:r>
        <w:rPr>
          <w:rFonts w:hint="eastAsia" w:cs="Times New Roman"/>
          <w:color w:val="auto"/>
          <w:highlight w:val="none"/>
          <w:lang w:eastAsia="zh-CN"/>
        </w:rPr>
        <w:t>、防尘网苫盖；道路工程区的洒水；运行管理区的防尘网苫盖、土地平整；施工生产生活区的彩钢板围栏、土地平整。</w:t>
      </w:r>
      <w:r>
        <w:rPr>
          <w:rFonts w:hint="default" w:ascii="Times New Roman" w:hAnsi="Times New Roman" w:cs="Times New Roman"/>
          <w:color w:val="auto"/>
          <w:highlight w:val="none"/>
        </w:rPr>
        <w:t>通过从水土保持角度分析，主体工程设计并</w:t>
      </w:r>
      <w:r>
        <w:rPr>
          <w:rFonts w:hint="eastAsia" w:cs="Times New Roman"/>
          <w:color w:val="auto"/>
          <w:highlight w:val="none"/>
          <w:lang w:eastAsia="zh-CN"/>
        </w:rPr>
        <w:t>实施</w:t>
      </w:r>
      <w:r>
        <w:rPr>
          <w:rFonts w:hint="default" w:ascii="Times New Roman" w:hAnsi="Times New Roman" w:cs="Times New Roman"/>
          <w:color w:val="auto"/>
          <w:highlight w:val="none"/>
        </w:rPr>
        <w:t>的具有水土保持功能的措施有效的减轻了工程施工过程中的水土流失，能够有效防护项目区建设期及后期恢复期间产生的水土流失</w:t>
      </w:r>
      <w:r>
        <w:rPr>
          <w:rFonts w:hint="eastAsia" w:cs="Times New Roman"/>
          <w:color w:val="auto"/>
          <w:highlight w:val="none"/>
          <w:lang w:eastAsia="zh-CN"/>
        </w:rPr>
        <w:t>。</w:t>
      </w:r>
    </w:p>
    <w:p>
      <w:pPr>
        <w:pStyle w:val="56"/>
        <w:numPr>
          <w:ilvl w:val="0"/>
          <w:numId w:val="0"/>
        </w:numPr>
        <w:ind w:firstLine="480"/>
        <w:rPr>
          <w:rFonts w:hint="default" w:ascii="Times New Roman" w:hAnsi="Times New Roman" w:cs="Times New Roman"/>
          <w:color w:val="auto"/>
          <w:highlight w:val="none"/>
        </w:rPr>
      </w:pPr>
      <w:r>
        <w:rPr>
          <w:rFonts w:hint="eastAsia" w:cs="Times New Roman"/>
          <w:color w:val="auto"/>
          <w:highlight w:val="none"/>
          <w:lang w:eastAsia="zh-CN"/>
        </w:rPr>
        <w:t>因项目现已进入运行期，</w:t>
      </w:r>
      <w:r>
        <w:rPr>
          <w:rFonts w:hint="eastAsia"/>
          <w:lang w:eastAsia="zh-CN"/>
        </w:rPr>
        <w:t>且项目区内有</w:t>
      </w:r>
      <w:r>
        <w:rPr>
          <w:rFonts w:hint="eastAsia"/>
          <w:lang w:val="en-US" w:eastAsia="zh-CN"/>
        </w:rPr>
        <w:t>20</w:t>
      </w:r>
      <w:r>
        <w:rPr>
          <w:rFonts w:hint="eastAsia" w:ascii="Times New Roman" w:hAnsi="Times New Roman" w:cs="Times New Roman"/>
          <w:color w:val="auto"/>
          <w:highlight w:val="none"/>
        </w:rPr>
        <w:t>hm²</w:t>
      </w:r>
      <w:r>
        <w:rPr>
          <w:rFonts w:hint="eastAsia" w:cs="Times New Roman"/>
          <w:color w:val="auto"/>
          <w:highlight w:val="none"/>
          <w:lang w:eastAsia="zh-CN"/>
        </w:rPr>
        <w:t>空地未利用，本次水土保持方案编制新增彩钢围栏，将项目实际占地区域与</w:t>
      </w:r>
      <w:r>
        <w:rPr>
          <w:rFonts w:hint="eastAsia" w:cs="Times New Roman"/>
          <w:color w:val="auto"/>
          <w:highlight w:val="none"/>
          <w:lang w:val="en-US" w:eastAsia="zh-CN"/>
        </w:rPr>
        <w:t>20</w:t>
      </w:r>
      <w:r>
        <w:rPr>
          <w:rFonts w:hint="eastAsia" w:ascii="Times New Roman" w:hAnsi="Times New Roman" w:cs="Times New Roman"/>
          <w:color w:val="auto"/>
          <w:highlight w:val="none"/>
        </w:rPr>
        <w:t>hm²</w:t>
      </w:r>
      <w:r>
        <w:rPr>
          <w:rFonts w:hint="eastAsia" w:cs="Times New Roman"/>
          <w:color w:val="auto"/>
          <w:highlight w:val="none"/>
          <w:lang w:eastAsia="zh-CN"/>
        </w:rPr>
        <w:t>空地分隔开，减少人为对空地原生地貌的扰动，减少水土流失。新增措施</w:t>
      </w:r>
      <w:r>
        <w:rPr>
          <w:rFonts w:hint="default" w:ascii="Times New Roman" w:hAnsi="Times New Roman" w:cs="Times New Roman"/>
          <w:color w:val="auto"/>
          <w:highlight w:val="none"/>
        </w:rPr>
        <w:t>与主体设计的各项措施形成一定的防护体系，有效治理</w:t>
      </w:r>
      <w:r>
        <w:rPr>
          <w:rFonts w:hint="eastAsia" w:cs="Times New Roman"/>
          <w:color w:val="auto"/>
          <w:highlight w:val="none"/>
          <w:lang w:eastAsia="zh-CN"/>
        </w:rPr>
        <w:t>项目施工及工程运行期间</w:t>
      </w:r>
      <w:r>
        <w:rPr>
          <w:rFonts w:hint="default" w:ascii="Times New Roman" w:hAnsi="Times New Roman" w:cs="Times New Roman"/>
          <w:color w:val="auto"/>
          <w:highlight w:val="none"/>
        </w:rPr>
        <w:t>产生的水土流失。</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（1）光伏发电区：1）光伏阵列区</w:t>
      </w:r>
      <w:r>
        <w:rPr>
          <w:rFonts w:hint="eastAsia" w:cs="Times New Roman"/>
          <w:color w:val="auto"/>
          <w:highlight w:val="none"/>
          <w:lang w:eastAsia="zh-CN"/>
        </w:rPr>
        <w:t>，施工期对扰动区洒水降尘，</w:t>
      </w:r>
      <w:r>
        <w:rPr>
          <w:rFonts w:hint="default" w:ascii="Times New Roman" w:hAnsi="Times New Roman" w:cs="Times New Roman"/>
          <w:color w:val="auto"/>
          <w:highlight w:val="none"/>
        </w:rPr>
        <w:t>施工后期对</w:t>
      </w:r>
      <w:r>
        <w:rPr>
          <w:rFonts w:hint="eastAsia" w:cs="Times New Roman"/>
          <w:color w:val="auto"/>
          <w:highlight w:val="none"/>
          <w:lang w:eastAsia="zh-CN"/>
        </w:rPr>
        <w:t>桩基础及光伏支架周边施工产生的</w:t>
      </w:r>
      <w:r>
        <w:rPr>
          <w:rFonts w:hint="default" w:ascii="Times New Roman" w:hAnsi="Times New Roman" w:cs="Times New Roman"/>
          <w:color w:val="auto"/>
          <w:highlight w:val="none"/>
        </w:rPr>
        <w:t>扰动区域采取土地平整；</w:t>
      </w:r>
      <w:r>
        <w:rPr>
          <w:rFonts w:hint="eastAsia" w:cs="Times New Roman"/>
          <w:color w:val="auto"/>
          <w:highlight w:val="none"/>
          <w:lang w:eastAsia="zh-CN"/>
        </w:rPr>
        <w:t>新增彩钢围栏，将项目实际占地区域与</w:t>
      </w:r>
      <w:r>
        <w:rPr>
          <w:rFonts w:hint="eastAsia" w:cs="Times New Roman"/>
          <w:color w:val="auto"/>
          <w:highlight w:val="none"/>
          <w:lang w:val="en-US" w:eastAsia="zh-CN"/>
        </w:rPr>
        <w:t>20</w:t>
      </w:r>
      <w:r>
        <w:rPr>
          <w:rFonts w:hint="eastAsia" w:ascii="Times New Roman" w:hAnsi="Times New Roman" w:cs="Times New Roman"/>
          <w:color w:val="auto"/>
          <w:highlight w:val="none"/>
        </w:rPr>
        <w:t>hm²</w:t>
      </w:r>
      <w:r>
        <w:rPr>
          <w:rFonts w:hint="eastAsia" w:cs="Times New Roman"/>
          <w:color w:val="auto"/>
          <w:highlight w:val="none"/>
          <w:lang w:eastAsia="zh-CN"/>
        </w:rPr>
        <w:t>空地分隔开。</w:t>
      </w:r>
      <w:r>
        <w:rPr>
          <w:rFonts w:hint="default" w:ascii="Times New Roman" w:hAnsi="Times New Roman" w:cs="Times New Roman"/>
          <w:color w:val="auto"/>
          <w:highlight w:val="none"/>
        </w:rPr>
        <w:t>2）集电线路区</w:t>
      </w:r>
      <w:r>
        <w:rPr>
          <w:rFonts w:hint="eastAsia" w:cs="Times New Roman"/>
          <w:color w:val="auto"/>
          <w:highlight w:val="none"/>
          <w:lang w:eastAsia="zh-CN"/>
        </w:rPr>
        <w:t>，施工期对临时堆土采取防尘网苫盖，施工结束后对扰动区域采取土地平整</w:t>
      </w:r>
      <w:r>
        <w:rPr>
          <w:rFonts w:hint="default" w:ascii="Times New Roman" w:hAnsi="Times New Roman" w:cs="Times New Roman"/>
          <w:color w:val="auto"/>
          <w:highlight w:val="none"/>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（2）道路工程区：1）进场道路，</w:t>
      </w:r>
      <w:r>
        <w:rPr>
          <w:rFonts w:hint="eastAsia" w:cs="Times New Roman"/>
          <w:color w:val="auto"/>
          <w:highlight w:val="none"/>
          <w:lang w:eastAsia="zh-CN"/>
        </w:rPr>
        <w:t>施工期</w:t>
      </w:r>
      <w:r>
        <w:rPr>
          <w:rFonts w:hint="default" w:ascii="Times New Roman" w:hAnsi="Times New Roman" w:cs="Times New Roman"/>
          <w:color w:val="auto"/>
          <w:highlight w:val="none"/>
        </w:rPr>
        <w:t>对扰动碾压区域采取洒水；2）场内道路，施工期间对扰动碾压区域采取洒水。</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eastAsia" w:cs="Times New Roman"/>
          <w:color w:val="auto"/>
          <w:highlight w:val="none"/>
          <w:lang w:eastAsia="zh-CN"/>
        </w:rPr>
        <w:t>运行管理</w:t>
      </w:r>
      <w:r>
        <w:rPr>
          <w:rFonts w:hint="default" w:ascii="Times New Roman" w:hAnsi="Times New Roman" w:cs="Times New Roman"/>
          <w:color w:val="auto"/>
          <w:highlight w:val="none"/>
        </w:rPr>
        <w:t>区：</w:t>
      </w:r>
      <w:r>
        <w:rPr>
          <w:rFonts w:hint="eastAsia" w:cs="Times New Roman"/>
          <w:color w:val="auto"/>
          <w:highlight w:val="none"/>
          <w:lang w:eastAsia="zh-CN"/>
        </w:rPr>
        <w:t>运行管理</w:t>
      </w:r>
      <w:r>
        <w:rPr>
          <w:rFonts w:hint="default" w:ascii="Times New Roman" w:hAnsi="Times New Roman" w:cs="Times New Roman"/>
          <w:color w:val="auto"/>
          <w:highlight w:val="none"/>
        </w:rPr>
        <w:t>区</w:t>
      </w:r>
      <w:r>
        <w:rPr>
          <w:rFonts w:hint="eastAsia" w:cs="Times New Roman"/>
          <w:color w:val="auto"/>
          <w:highlight w:val="none"/>
          <w:lang w:eastAsia="zh-CN"/>
        </w:rPr>
        <w:t>施工期间</w:t>
      </w:r>
      <w:r>
        <w:t>对建构筑物基坑开挖临时堆土采取防尘网苫盖</w:t>
      </w:r>
      <w:r>
        <w:rPr>
          <w:rFonts w:hint="eastAsia" w:cs="Times New Roman"/>
          <w:color w:val="auto"/>
          <w:highlight w:val="none"/>
          <w:lang w:eastAsia="zh-CN"/>
        </w:rPr>
        <w:t>，施工</w:t>
      </w:r>
      <w:r>
        <w:rPr>
          <w:rFonts w:hint="default" w:ascii="Times New Roman" w:hAnsi="Times New Roman" w:cs="Times New Roman"/>
          <w:color w:val="auto"/>
          <w:highlight w:val="none"/>
        </w:rPr>
        <w:t>后期对扰动区域采取土地平整。</w:t>
      </w:r>
    </w:p>
    <w:p>
      <w:pPr>
        <w:pStyle w:val="56"/>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r>
        <w:rPr>
          <w:rFonts w:hint="eastAsia" w:cs="Times New Roman"/>
          <w:color w:val="auto"/>
          <w:highlight w:val="none"/>
          <w:lang w:eastAsia="zh-CN"/>
        </w:rPr>
        <w:t>施工生产生活区</w:t>
      </w:r>
      <w:r>
        <w:rPr>
          <w:rFonts w:hint="default" w:ascii="Times New Roman" w:hAnsi="Times New Roman" w:cs="Times New Roman"/>
          <w:color w:val="auto"/>
          <w:highlight w:val="none"/>
        </w:rPr>
        <w:t>：</w:t>
      </w:r>
      <w:r>
        <w:rPr>
          <w:rFonts w:hint="eastAsia" w:cs="Times New Roman"/>
          <w:color w:val="auto"/>
          <w:highlight w:val="none"/>
          <w:lang w:eastAsia="zh-CN"/>
        </w:rPr>
        <w:t>施工生产生活区</w:t>
      </w:r>
      <w:r>
        <w:rPr>
          <w:rFonts w:hint="default" w:ascii="Times New Roman" w:hAnsi="Times New Roman" w:cs="Times New Roman"/>
          <w:color w:val="auto"/>
          <w:highlight w:val="none"/>
        </w:rPr>
        <w:t>在施工期间对周边采取彩钢板围栏，施工后期对施工迹地采取土地平整。</w:t>
      </w:r>
    </w:p>
    <w:p>
      <w:pPr>
        <w:pStyle w:val="75"/>
        <w:spacing w:after="120" w:afterLines="50"/>
        <w:rPr>
          <w:rFonts w:hint="default" w:ascii="Times New Roman" w:hAnsi="Times New Roman" w:cs="Times New Roman"/>
          <w:color w:val="auto"/>
          <w:highlight w:val="none"/>
        </w:rPr>
      </w:pPr>
      <w:r>
        <w:drawing>
          <wp:anchor distT="0" distB="0" distL="114300" distR="114300" simplePos="0" relativeHeight="253099008" behindDoc="0" locked="0" layoutInCell="1" allowOverlap="1">
            <wp:simplePos x="0" y="0"/>
            <wp:positionH relativeFrom="column">
              <wp:posOffset>0</wp:posOffset>
            </wp:positionH>
            <wp:positionV relativeFrom="paragraph">
              <wp:posOffset>47625</wp:posOffset>
            </wp:positionV>
            <wp:extent cx="5612130" cy="4888230"/>
            <wp:effectExtent l="0" t="0" r="7620" b="7620"/>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4"/>
                    <a:stretch>
                      <a:fillRect/>
                    </a:stretch>
                  </pic:blipFill>
                  <pic:spPr>
                    <a:xfrm>
                      <a:off x="0" y="0"/>
                      <a:ext cx="5612130" cy="4888230"/>
                    </a:xfrm>
                    <a:prstGeom prst="rect">
                      <a:avLst/>
                    </a:prstGeom>
                    <a:noFill/>
                    <a:ln>
                      <a:noFill/>
                    </a:ln>
                  </pic:spPr>
                </pic:pic>
              </a:graphicData>
            </a:graphic>
          </wp:anchor>
        </w:drawing>
      </w:r>
      <w:r>
        <w:rPr>
          <w:rFonts w:hint="default" w:ascii="Times New Roman" w:hAnsi="Times New Roman" w:cs="Times New Roman"/>
          <w:color w:val="auto"/>
          <w:highlight w:val="none"/>
        </w:rPr>
        <w:t>图5.2-1     水土保持措施体系框图</w:t>
      </w:r>
    </w:p>
    <w:p>
      <w:pPr>
        <w:pStyle w:val="66"/>
        <w:ind w:firstLine="148"/>
        <w:rPr>
          <w:rFonts w:hint="default" w:ascii="Times New Roman" w:hAnsi="Times New Roman" w:cs="Times New Roman"/>
          <w:color w:val="auto"/>
          <w:highlight w:val="none"/>
        </w:rPr>
      </w:pPr>
      <w:bookmarkStart w:id="136" w:name="_Toc30687"/>
      <w:r>
        <w:rPr>
          <w:rFonts w:hint="default" w:ascii="Times New Roman" w:hAnsi="Times New Roman" w:cs="Times New Roman"/>
          <w:color w:val="auto"/>
          <w:highlight w:val="none"/>
        </w:rPr>
        <w:t>5.3 措施设计及立地条件分析</w:t>
      </w:r>
      <w:bookmarkEnd w:id="136"/>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5.3.1 防治措施布设设计</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根据本项目特点，方案措施要满足《水土保持工程设计规范》（GB 51018-2014）中以下规定。扰动占压土地的平整及翻松应符合下列规定：</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（1）扰动后凹凸不平的地面应削凸填凹，进行粗平整。</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（2）扰动后地面相对平整或粗平整后的土地，压实度较高的应予以翻松。临时用地的土地整治应满足下列要求：建构筑周边空地、场内道路、光伏发电区、</w:t>
      </w:r>
      <w:r>
        <w:rPr>
          <w:rFonts w:hint="eastAsia" w:cs="Times New Roman"/>
          <w:color w:val="auto"/>
          <w:highlight w:val="none"/>
          <w:lang w:eastAsia="zh-CN"/>
        </w:rPr>
        <w:t>运行管理区</w:t>
      </w:r>
      <w:r>
        <w:rPr>
          <w:rFonts w:hint="default" w:ascii="Times New Roman" w:hAnsi="Times New Roman" w:cs="Times New Roman"/>
          <w:color w:val="auto"/>
          <w:highlight w:val="none"/>
        </w:rPr>
        <w:t>和</w:t>
      </w:r>
      <w:r>
        <w:rPr>
          <w:rFonts w:hint="eastAsia" w:cs="Times New Roman"/>
          <w:color w:val="auto"/>
          <w:highlight w:val="none"/>
          <w:lang w:eastAsia="zh-CN"/>
        </w:rPr>
        <w:t>施工生产生活区</w:t>
      </w:r>
      <w:r>
        <w:rPr>
          <w:rFonts w:hint="default" w:ascii="Times New Roman" w:hAnsi="Times New Roman" w:cs="Times New Roman"/>
          <w:color w:val="auto"/>
          <w:highlight w:val="none"/>
        </w:rPr>
        <w:t>施工结束后，应在清除地表临时垃圾的基础上，进行土地整治。</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5.3.2 植被立地条件分析</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植物措施立地条件是气候、地形、土壤和植被等环境因子组成的综合体，通过现场调查，项目建设区地貌单元为冲洪积平原区，地势变化较小，地形平坦开阔，地形略有起伏。气候类型属于典型温带大陆性半干旱气候，夏热冬寒、降水不均、蒸发强烈、空气干燥、温差大、干热风多等。项目区植被类型为荒漠植被，项目区</w:t>
      </w:r>
      <w:r>
        <w:rPr>
          <w:rFonts w:hint="eastAsia" w:cs="Times New Roman"/>
          <w:color w:val="auto"/>
          <w:highlight w:val="none"/>
          <w:lang w:eastAsia="zh-CN"/>
        </w:rPr>
        <w:t>内</w:t>
      </w:r>
      <w:r>
        <w:rPr>
          <w:rFonts w:hint="default" w:ascii="Times New Roman" w:hAnsi="Times New Roman" w:cs="Times New Roman"/>
          <w:color w:val="auto"/>
          <w:highlight w:val="none"/>
        </w:rPr>
        <w:t>植被</w:t>
      </w:r>
      <w:r>
        <w:rPr>
          <w:rFonts w:hint="eastAsia" w:cs="Times New Roman"/>
          <w:color w:val="auto"/>
          <w:highlight w:val="none"/>
          <w:lang w:eastAsia="zh-CN"/>
        </w:rPr>
        <w:t>单一，主要</w:t>
      </w:r>
      <w:r>
        <w:rPr>
          <w:rFonts w:hint="default" w:ascii="Times New Roman" w:hAnsi="Times New Roman" w:cs="Times New Roman"/>
          <w:color w:val="auto"/>
          <w:highlight w:val="none"/>
        </w:rPr>
        <w:t>有</w:t>
      </w:r>
      <w:r>
        <w:rPr>
          <w:rFonts w:hint="default" w:ascii="Times New Roman" w:hAnsi="Times New Roman" w:eastAsia="仿宋_GB2312" w:cs="Times New Roman"/>
          <w:color w:val="auto"/>
          <w:highlight w:val="none"/>
        </w:rPr>
        <w:t>芨芨草和骆驼刺</w:t>
      </w:r>
      <w:r>
        <w:rPr>
          <w:rFonts w:hint="default" w:ascii="Times New Roman" w:hAnsi="Times New Roman" w:cs="Times New Roman"/>
          <w:color w:val="auto"/>
          <w:highlight w:val="none"/>
        </w:rPr>
        <w:t>等，项目区整体植被覆盖度</w:t>
      </w:r>
      <w:r>
        <w:rPr>
          <w:rFonts w:hint="eastAsia" w:cs="Times New Roman"/>
          <w:color w:val="auto"/>
          <w:highlight w:val="none"/>
          <w:lang w:val="en-US" w:eastAsia="zh-CN"/>
        </w:rPr>
        <w:t>5</w:t>
      </w:r>
      <w:r>
        <w:rPr>
          <w:rFonts w:hint="default" w:ascii="Times New Roman" w:hAnsi="Times New Roman" w:cs="Times New Roman"/>
          <w:color w:val="auto"/>
          <w:highlight w:val="none"/>
        </w:rPr>
        <w:t>%左右。</w:t>
      </w:r>
    </w:p>
    <w:p>
      <w:pPr>
        <w:pStyle w:val="56"/>
        <w:ind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项目所在地多年平均降水量在</w:t>
      </w:r>
      <w:r>
        <w:rPr>
          <w:rFonts w:hint="eastAsia" w:cs="Times New Roman"/>
          <w:color w:val="auto"/>
          <w:highlight w:val="none"/>
          <w:lang w:val="en-US" w:eastAsia="zh-CN"/>
        </w:rPr>
        <w:t>34.9</w:t>
      </w:r>
      <w:r>
        <w:rPr>
          <w:rFonts w:hint="default" w:ascii="Times New Roman" w:hAnsi="Times New Roman" w:cs="Times New Roman"/>
          <w:color w:val="auto"/>
          <w:highlight w:val="none"/>
        </w:rPr>
        <w:t>mm左右，项目区内原地貌植被主要为荒漠植被，植被覆盖度约为</w:t>
      </w:r>
      <w:r>
        <w:rPr>
          <w:rFonts w:hint="eastAsia" w:cs="Times New Roman"/>
          <w:color w:val="auto"/>
          <w:highlight w:val="none"/>
          <w:lang w:val="en-US" w:eastAsia="zh-CN"/>
        </w:rPr>
        <w:t>5</w:t>
      </w:r>
      <w:r>
        <w:rPr>
          <w:rFonts w:hint="default" w:ascii="Times New Roman" w:hAnsi="Times New Roman" w:cs="Times New Roman"/>
          <w:color w:val="auto"/>
          <w:highlight w:val="none"/>
        </w:rPr>
        <w:t>%左右。根据项目区自然环境条件，原始地表被破坏后，受项目区降水量和土壤等因素的影响，通过一定时间的自然恢复，部分施工扰动区域可以实现自然恢复。受项目区内用地条件及功能区划限制，本项目不采取绿化措施</w:t>
      </w:r>
      <w:r>
        <w:rPr>
          <w:rFonts w:hint="default" w:ascii="Times New Roman" w:hAnsi="Times New Roman" w:eastAsia="宋体" w:cs="Times New Roman"/>
          <w:color w:val="auto"/>
          <w:highlight w:val="none"/>
        </w:rPr>
        <w:t>。</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表5.3-1      项目区立地条件及可绿化面积分析</w:t>
      </w:r>
    </w:p>
    <w:tbl>
      <w:tblPr>
        <w:tblStyle w:val="27"/>
        <w:tblW w:w="90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28"/>
        <w:gridCol w:w="757"/>
        <w:gridCol w:w="1419"/>
        <w:gridCol w:w="1662"/>
        <w:gridCol w:w="1171"/>
        <w:gridCol w:w="1417"/>
        <w:gridCol w:w="20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trPr>
        <w:tc>
          <w:tcPr>
            <w:tcW w:w="628"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地貌</w:t>
            </w:r>
          </w:p>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单元</w:t>
            </w:r>
          </w:p>
        </w:tc>
        <w:tc>
          <w:tcPr>
            <w:tcW w:w="2176" w:type="dxa"/>
            <w:gridSpan w:val="2"/>
            <w:shd w:val="clear" w:color="auto" w:fill="auto"/>
            <w:vAlign w:val="center"/>
          </w:tcPr>
          <w:p>
            <w:pPr>
              <w:pStyle w:val="84"/>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项目组成</w:t>
            </w:r>
          </w:p>
        </w:tc>
        <w:tc>
          <w:tcPr>
            <w:tcW w:w="1662"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立地条件</w:t>
            </w:r>
          </w:p>
        </w:tc>
        <w:tc>
          <w:tcPr>
            <w:tcW w:w="1171"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扰动面积</w:t>
            </w:r>
          </w:p>
          <w:p>
            <w:pPr>
              <w:pStyle w:val="84"/>
              <w:rPr>
                <w:rFonts w:hint="default" w:ascii="Times New Roman" w:hAnsi="Times New Roman" w:cs="Times New Roman"/>
                <w:color w:val="auto"/>
                <w:sz w:val="22"/>
                <w:highlight w:val="none"/>
              </w:rPr>
            </w:pPr>
            <w:r>
              <w:rPr>
                <w:rFonts w:hint="default" w:ascii="Times New Roman" w:hAnsi="Times New Roman" w:cs="Times New Roman"/>
                <w:color w:val="auto"/>
                <w:highlight w:val="none"/>
              </w:rPr>
              <w:t>（hm²）</w:t>
            </w:r>
          </w:p>
        </w:tc>
        <w:tc>
          <w:tcPr>
            <w:tcW w:w="1417" w:type="dxa"/>
            <w:shd w:val="clear" w:color="auto" w:fill="auto"/>
            <w:vAlign w:val="center"/>
          </w:tcPr>
          <w:p>
            <w:pPr>
              <w:pStyle w:val="84"/>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可绿化面积</w:t>
            </w:r>
          </w:p>
          <w:p>
            <w:pPr>
              <w:pStyle w:val="84"/>
              <w:rPr>
                <w:rFonts w:hint="default" w:ascii="Times New Roman" w:hAnsi="Times New Roman" w:cs="Times New Roman"/>
                <w:color w:val="auto"/>
                <w:sz w:val="22"/>
                <w:highlight w:val="none"/>
              </w:rPr>
            </w:pPr>
            <w:r>
              <w:rPr>
                <w:rFonts w:hint="default" w:ascii="Times New Roman" w:hAnsi="Times New Roman" w:cs="Times New Roman"/>
                <w:color w:val="auto"/>
                <w:highlight w:val="none"/>
              </w:rPr>
              <w:t>（hm²）</w:t>
            </w:r>
          </w:p>
        </w:tc>
        <w:tc>
          <w:tcPr>
            <w:tcW w:w="2006"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trPr>
        <w:tc>
          <w:tcPr>
            <w:tcW w:w="628"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山前冲洪积倾斜平原区</w:t>
            </w:r>
          </w:p>
        </w:tc>
        <w:tc>
          <w:tcPr>
            <w:tcW w:w="757" w:type="dxa"/>
            <w:vMerge w:val="restart"/>
            <w:shd w:val="clear" w:color="auto" w:fill="auto"/>
            <w:vAlign w:val="center"/>
          </w:tcPr>
          <w:p>
            <w:pPr>
              <w:pStyle w:val="84"/>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光伏发电区</w:t>
            </w:r>
          </w:p>
        </w:tc>
        <w:tc>
          <w:tcPr>
            <w:tcW w:w="1419" w:type="dxa"/>
            <w:shd w:val="clear" w:color="auto" w:fill="auto"/>
            <w:vAlign w:val="center"/>
          </w:tcPr>
          <w:p>
            <w:pPr>
              <w:pStyle w:val="84"/>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光伏阵列区</w:t>
            </w:r>
          </w:p>
        </w:tc>
        <w:tc>
          <w:tcPr>
            <w:tcW w:w="1662" w:type="dxa"/>
            <w:vMerge w:val="restart"/>
            <w:vAlign w:val="center"/>
          </w:tcPr>
          <w:p>
            <w:pPr>
              <w:pStyle w:val="84"/>
              <w:rPr>
                <w:rFonts w:hint="default" w:ascii="Times New Roman" w:hAnsi="Times New Roman" w:cs="Times New Roman"/>
                <w:color w:val="auto"/>
                <w:sz w:val="22"/>
                <w:highlight w:val="none"/>
              </w:rPr>
            </w:pPr>
            <w:r>
              <w:rPr>
                <w:rFonts w:hint="default" w:ascii="Times New Roman" w:hAnsi="Times New Roman" w:cs="Times New Roman"/>
                <w:color w:val="auto"/>
                <w:highlight w:val="none"/>
              </w:rPr>
              <w:t>属于</w:t>
            </w:r>
            <w:r>
              <w:rPr>
                <w:rFonts w:hint="eastAsia" w:cs="Times New Roman"/>
                <w:color w:val="auto"/>
                <w:highlight w:val="none"/>
                <w:lang w:eastAsia="zh-CN"/>
              </w:rPr>
              <w:t>温带</w:t>
            </w:r>
            <w:r>
              <w:rPr>
                <w:rFonts w:hint="default" w:ascii="Times New Roman" w:hAnsi="Times New Roman" w:cs="Times New Roman"/>
                <w:color w:val="auto"/>
                <w:highlight w:val="none"/>
              </w:rPr>
              <w:t>大陆性半干旱气候，降水稀少、地表富含砂砾石，土壤条件差。</w:t>
            </w:r>
          </w:p>
        </w:tc>
        <w:tc>
          <w:tcPr>
            <w:tcW w:w="1171"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43.46</w:t>
            </w:r>
          </w:p>
        </w:tc>
        <w:tc>
          <w:tcPr>
            <w:tcW w:w="1417" w:type="dxa"/>
            <w:shd w:val="clear" w:color="auto" w:fill="auto"/>
            <w:vAlign w:val="center"/>
          </w:tcPr>
          <w:p>
            <w:pPr>
              <w:pStyle w:val="84"/>
              <w:spacing w:line="240" w:lineRule="auto"/>
              <w:jc w:val="center"/>
              <w:rPr>
                <w:rFonts w:hint="default" w:ascii="Times New Roman" w:hAnsi="Times New Roman" w:eastAsia="仿宋_GB2312" w:cs="Times New Roman"/>
                <w:color w:val="auto"/>
                <w:sz w:val="22"/>
                <w:highlight w:val="none"/>
                <w:lang w:val="en-US" w:eastAsia="zh-CN"/>
              </w:rPr>
            </w:pPr>
            <w:r>
              <w:rPr>
                <w:rFonts w:hint="default" w:ascii="Times New Roman" w:hAnsi="Times New Roman" w:cs="Times New Roman"/>
                <w:color w:val="auto"/>
                <w:sz w:val="22"/>
                <w:highlight w:val="none"/>
                <w:lang w:val="en-US" w:eastAsia="zh-CN"/>
              </w:rPr>
              <w:t>0.00</w:t>
            </w:r>
          </w:p>
        </w:tc>
        <w:tc>
          <w:tcPr>
            <w:tcW w:w="2006"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施工扰动表层后不宜绿化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trPr>
        <w:tc>
          <w:tcPr>
            <w:tcW w:w="628" w:type="dxa"/>
            <w:vMerge w:val="continue"/>
            <w:vAlign w:val="center"/>
          </w:tcPr>
          <w:p>
            <w:pPr>
              <w:pStyle w:val="84"/>
              <w:rPr>
                <w:rFonts w:hint="default" w:ascii="Times New Roman" w:hAnsi="Times New Roman" w:cs="Times New Roman"/>
                <w:color w:val="auto"/>
                <w:highlight w:val="none"/>
              </w:rPr>
            </w:pPr>
          </w:p>
        </w:tc>
        <w:tc>
          <w:tcPr>
            <w:tcW w:w="757" w:type="dxa"/>
            <w:vMerge w:val="continue"/>
            <w:vAlign w:val="center"/>
          </w:tcPr>
          <w:p>
            <w:pPr>
              <w:pStyle w:val="84"/>
              <w:rPr>
                <w:rFonts w:hint="default" w:ascii="Times New Roman" w:hAnsi="Times New Roman" w:cs="Times New Roman"/>
                <w:color w:val="auto"/>
                <w:sz w:val="22"/>
                <w:highlight w:val="none"/>
              </w:rPr>
            </w:pPr>
          </w:p>
        </w:tc>
        <w:tc>
          <w:tcPr>
            <w:tcW w:w="1419" w:type="dxa"/>
            <w:shd w:val="clear" w:color="auto" w:fill="auto"/>
            <w:vAlign w:val="center"/>
          </w:tcPr>
          <w:p>
            <w:pPr>
              <w:pStyle w:val="84"/>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集电线路区</w:t>
            </w:r>
          </w:p>
        </w:tc>
        <w:tc>
          <w:tcPr>
            <w:tcW w:w="1662" w:type="dxa"/>
            <w:vMerge w:val="continue"/>
            <w:vAlign w:val="center"/>
          </w:tcPr>
          <w:p>
            <w:pPr>
              <w:pStyle w:val="84"/>
              <w:rPr>
                <w:rFonts w:hint="default" w:ascii="Times New Roman" w:hAnsi="Times New Roman" w:cs="Times New Roman"/>
                <w:color w:val="auto"/>
                <w:sz w:val="22"/>
                <w:highlight w:val="none"/>
              </w:rPr>
            </w:pPr>
          </w:p>
        </w:tc>
        <w:tc>
          <w:tcPr>
            <w:tcW w:w="1171"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2.76</w:t>
            </w:r>
          </w:p>
        </w:tc>
        <w:tc>
          <w:tcPr>
            <w:tcW w:w="1417" w:type="dxa"/>
            <w:shd w:val="clear" w:color="auto" w:fill="auto"/>
            <w:vAlign w:val="center"/>
          </w:tcPr>
          <w:p>
            <w:pPr>
              <w:spacing w:line="240" w:lineRule="auto"/>
              <w:jc w:val="both"/>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lang w:val="en-US" w:eastAsia="zh-CN"/>
              </w:rPr>
              <w:t>0.00</w:t>
            </w:r>
          </w:p>
        </w:tc>
        <w:tc>
          <w:tcPr>
            <w:tcW w:w="2006" w:type="dxa"/>
            <w:vMerge w:val="continue"/>
            <w:shd w:val="clear" w:color="auto" w:fill="auto"/>
            <w:vAlign w:val="center"/>
          </w:tcPr>
          <w:p>
            <w:pPr>
              <w:pStyle w:val="84"/>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trPr>
        <w:tc>
          <w:tcPr>
            <w:tcW w:w="628" w:type="dxa"/>
            <w:vMerge w:val="continue"/>
            <w:vAlign w:val="center"/>
          </w:tcPr>
          <w:p>
            <w:pPr>
              <w:pStyle w:val="84"/>
              <w:rPr>
                <w:rFonts w:hint="default" w:ascii="Times New Roman" w:hAnsi="Times New Roman" w:cs="Times New Roman"/>
                <w:color w:val="auto"/>
                <w:highlight w:val="none"/>
              </w:rPr>
            </w:pPr>
          </w:p>
        </w:tc>
        <w:tc>
          <w:tcPr>
            <w:tcW w:w="757" w:type="dxa"/>
            <w:vMerge w:val="restart"/>
            <w:shd w:val="clear" w:color="auto" w:fill="auto"/>
            <w:vAlign w:val="center"/>
          </w:tcPr>
          <w:p>
            <w:pPr>
              <w:pStyle w:val="84"/>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道路工程区</w:t>
            </w:r>
          </w:p>
        </w:tc>
        <w:tc>
          <w:tcPr>
            <w:tcW w:w="1419" w:type="dxa"/>
            <w:shd w:val="clear" w:color="auto" w:fill="auto"/>
            <w:vAlign w:val="center"/>
          </w:tcPr>
          <w:p>
            <w:pPr>
              <w:pStyle w:val="84"/>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进场道路</w:t>
            </w:r>
          </w:p>
        </w:tc>
        <w:tc>
          <w:tcPr>
            <w:tcW w:w="1662" w:type="dxa"/>
            <w:vMerge w:val="continue"/>
            <w:vAlign w:val="center"/>
          </w:tcPr>
          <w:p>
            <w:pPr>
              <w:pStyle w:val="84"/>
              <w:rPr>
                <w:rFonts w:hint="default" w:ascii="Times New Roman" w:hAnsi="Times New Roman" w:cs="Times New Roman"/>
                <w:color w:val="auto"/>
                <w:sz w:val="22"/>
                <w:highlight w:val="none"/>
              </w:rPr>
            </w:pPr>
          </w:p>
        </w:tc>
        <w:tc>
          <w:tcPr>
            <w:tcW w:w="1171"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0.03</w:t>
            </w:r>
          </w:p>
        </w:tc>
        <w:tc>
          <w:tcPr>
            <w:tcW w:w="1417" w:type="dxa"/>
            <w:shd w:val="clear" w:color="auto" w:fill="auto"/>
            <w:vAlign w:val="center"/>
          </w:tcPr>
          <w:p>
            <w:pPr>
              <w:spacing w:line="240" w:lineRule="auto"/>
              <w:ind w:firstLine="440" w:firstLineChars="200"/>
              <w:jc w:val="both"/>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lang w:val="en-US" w:eastAsia="zh-CN"/>
              </w:rPr>
              <w:t>0.00</w:t>
            </w:r>
          </w:p>
        </w:tc>
        <w:tc>
          <w:tcPr>
            <w:tcW w:w="2006" w:type="dxa"/>
            <w:vMerge w:val="restart"/>
            <w:shd w:val="clear" w:color="auto" w:fill="auto"/>
            <w:vAlign w:val="center"/>
          </w:tcPr>
          <w:p>
            <w:pPr>
              <w:pStyle w:val="84"/>
              <w:rPr>
                <w:rFonts w:hint="default" w:ascii="Times New Roman" w:hAnsi="Times New Roman" w:cs="Times New Roman"/>
                <w:color w:val="auto"/>
                <w:highlight w:val="none"/>
              </w:rPr>
            </w:pPr>
            <w:r>
              <w:rPr>
                <w:rFonts w:hint="eastAsia" w:cs="Times New Roman"/>
                <w:color w:val="auto"/>
                <w:highlight w:val="none"/>
                <w:lang w:eastAsia="zh-CN"/>
              </w:rPr>
              <w:t>进场道路为混凝土路面；场内</w:t>
            </w:r>
            <w:r>
              <w:rPr>
                <w:rFonts w:hint="default" w:ascii="Times New Roman" w:hAnsi="Times New Roman" w:cs="Times New Roman"/>
                <w:color w:val="auto"/>
                <w:highlight w:val="none"/>
              </w:rPr>
              <w:t>道路为砂砾石路面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trPr>
        <w:tc>
          <w:tcPr>
            <w:tcW w:w="628" w:type="dxa"/>
            <w:vMerge w:val="continue"/>
            <w:vAlign w:val="center"/>
          </w:tcPr>
          <w:p>
            <w:pPr>
              <w:pStyle w:val="84"/>
              <w:rPr>
                <w:rFonts w:hint="default" w:ascii="Times New Roman" w:hAnsi="Times New Roman" w:cs="Times New Roman"/>
                <w:color w:val="auto"/>
                <w:highlight w:val="none"/>
              </w:rPr>
            </w:pPr>
          </w:p>
        </w:tc>
        <w:tc>
          <w:tcPr>
            <w:tcW w:w="757" w:type="dxa"/>
            <w:vMerge w:val="continue"/>
            <w:vAlign w:val="center"/>
          </w:tcPr>
          <w:p>
            <w:pPr>
              <w:pStyle w:val="84"/>
              <w:rPr>
                <w:rFonts w:hint="default" w:ascii="Times New Roman" w:hAnsi="Times New Roman" w:cs="Times New Roman"/>
                <w:color w:val="auto"/>
                <w:sz w:val="22"/>
                <w:highlight w:val="none"/>
              </w:rPr>
            </w:pPr>
          </w:p>
        </w:tc>
        <w:tc>
          <w:tcPr>
            <w:tcW w:w="1419" w:type="dxa"/>
            <w:shd w:val="clear" w:color="auto" w:fill="auto"/>
            <w:vAlign w:val="center"/>
          </w:tcPr>
          <w:p>
            <w:pPr>
              <w:pStyle w:val="84"/>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场内道路</w:t>
            </w:r>
          </w:p>
        </w:tc>
        <w:tc>
          <w:tcPr>
            <w:tcW w:w="1662" w:type="dxa"/>
            <w:vMerge w:val="continue"/>
            <w:vAlign w:val="center"/>
          </w:tcPr>
          <w:p>
            <w:pPr>
              <w:pStyle w:val="84"/>
              <w:rPr>
                <w:rFonts w:hint="default" w:ascii="Times New Roman" w:hAnsi="Times New Roman" w:cs="Times New Roman"/>
                <w:color w:val="auto"/>
                <w:sz w:val="22"/>
                <w:highlight w:val="none"/>
              </w:rPr>
            </w:pPr>
          </w:p>
        </w:tc>
        <w:tc>
          <w:tcPr>
            <w:tcW w:w="1171"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1.92</w:t>
            </w:r>
          </w:p>
        </w:tc>
        <w:tc>
          <w:tcPr>
            <w:tcW w:w="1417" w:type="dxa"/>
            <w:shd w:val="clear" w:color="auto" w:fill="auto"/>
            <w:vAlign w:val="center"/>
          </w:tcPr>
          <w:p>
            <w:pPr>
              <w:spacing w:line="240" w:lineRule="auto"/>
              <w:ind w:firstLine="440" w:firstLineChars="200"/>
              <w:jc w:val="both"/>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lang w:val="en-US" w:eastAsia="zh-CN"/>
              </w:rPr>
              <w:t>0.00</w:t>
            </w:r>
          </w:p>
        </w:tc>
        <w:tc>
          <w:tcPr>
            <w:tcW w:w="2006" w:type="dxa"/>
            <w:vMerge w:val="continue"/>
            <w:shd w:val="clear" w:color="auto" w:fill="auto"/>
            <w:vAlign w:val="center"/>
          </w:tcPr>
          <w:p>
            <w:pPr>
              <w:pStyle w:val="84"/>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trPr>
        <w:tc>
          <w:tcPr>
            <w:tcW w:w="628" w:type="dxa"/>
            <w:vMerge w:val="continue"/>
            <w:vAlign w:val="center"/>
          </w:tcPr>
          <w:p>
            <w:pPr>
              <w:pStyle w:val="84"/>
              <w:rPr>
                <w:rFonts w:hint="default" w:ascii="Times New Roman" w:hAnsi="Times New Roman" w:cs="Times New Roman"/>
                <w:color w:val="auto"/>
                <w:highlight w:val="none"/>
              </w:rPr>
            </w:pPr>
          </w:p>
        </w:tc>
        <w:tc>
          <w:tcPr>
            <w:tcW w:w="2176" w:type="dxa"/>
            <w:gridSpan w:val="2"/>
            <w:shd w:val="clear" w:color="auto" w:fill="auto"/>
            <w:vAlign w:val="center"/>
          </w:tcPr>
          <w:p>
            <w:pPr>
              <w:pStyle w:val="84"/>
              <w:rPr>
                <w:rFonts w:hint="default" w:ascii="Times New Roman" w:hAnsi="Times New Roman" w:cs="Times New Roman"/>
                <w:color w:val="auto"/>
                <w:sz w:val="22"/>
                <w:highlight w:val="none"/>
              </w:rPr>
            </w:pPr>
            <w:r>
              <w:rPr>
                <w:rFonts w:hint="eastAsia" w:cs="Times New Roman"/>
                <w:color w:val="auto"/>
                <w:sz w:val="22"/>
                <w:highlight w:val="none"/>
                <w:lang w:eastAsia="zh-CN"/>
              </w:rPr>
              <w:t>运行管理</w:t>
            </w:r>
            <w:r>
              <w:rPr>
                <w:rFonts w:hint="default" w:ascii="Times New Roman" w:hAnsi="Times New Roman" w:cs="Times New Roman"/>
                <w:color w:val="auto"/>
                <w:sz w:val="22"/>
                <w:highlight w:val="none"/>
              </w:rPr>
              <w:t>区</w:t>
            </w:r>
          </w:p>
        </w:tc>
        <w:tc>
          <w:tcPr>
            <w:tcW w:w="1662" w:type="dxa"/>
            <w:vMerge w:val="continue"/>
            <w:vAlign w:val="center"/>
          </w:tcPr>
          <w:p>
            <w:pPr>
              <w:pStyle w:val="84"/>
              <w:rPr>
                <w:rFonts w:hint="default" w:ascii="Times New Roman" w:hAnsi="Times New Roman" w:cs="Times New Roman"/>
                <w:color w:val="auto"/>
                <w:sz w:val="22"/>
                <w:highlight w:val="none"/>
              </w:rPr>
            </w:pPr>
          </w:p>
        </w:tc>
        <w:tc>
          <w:tcPr>
            <w:tcW w:w="1171"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0.</w:t>
            </w:r>
            <w:r>
              <w:rPr>
                <w:rFonts w:hint="eastAsia" w:eastAsia="仿宋_GB2312" w:cs="Times New Roman"/>
                <w:color w:val="auto"/>
                <w:spacing w:val="-2"/>
                <w:kern w:val="0"/>
                <w:sz w:val="21"/>
                <w:szCs w:val="21"/>
                <w:highlight w:val="none"/>
                <w:lang w:val="en-US" w:eastAsia="zh-CN" w:bidi="ar-SA"/>
              </w:rPr>
              <w:t>83</w:t>
            </w:r>
          </w:p>
        </w:tc>
        <w:tc>
          <w:tcPr>
            <w:tcW w:w="1417" w:type="dxa"/>
            <w:shd w:val="clear" w:color="auto" w:fill="auto"/>
            <w:vAlign w:val="center"/>
          </w:tcPr>
          <w:p>
            <w:pPr>
              <w:spacing w:line="240" w:lineRule="auto"/>
              <w:ind w:firstLine="440" w:firstLineChars="200"/>
              <w:jc w:val="both"/>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lang w:val="en-US" w:eastAsia="zh-CN"/>
              </w:rPr>
              <w:t>0.00</w:t>
            </w:r>
          </w:p>
        </w:tc>
        <w:tc>
          <w:tcPr>
            <w:tcW w:w="2006" w:type="dxa"/>
            <w:shd w:val="clear" w:color="auto" w:fill="auto"/>
            <w:vAlign w:val="center"/>
          </w:tcPr>
          <w:p>
            <w:pPr>
              <w:ind w:firstLine="480" w:firstLineChars="20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trPr>
        <w:tc>
          <w:tcPr>
            <w:tcW w:w="628" w:type="dxa"/>
            <w:vMerge w:val="continue"/>
            <w:vAlign w:val="center"/>
          </w:tcPr>
          <w:p>
            <w:pPr>
              <w:pStyle w:val="84"/>
              <w:rPr>
                <w:rFonts w:hint="default" w:ascii="Times New Roman" w:hAnsi="Times New Roman" w:cs="Times New Roman"/>
                <w:color w:val="auto"/>
                <w:highlight w:val="none"/>
              </w:rPr>
            </w:pPr>
          </w:p>
        </w:tc>
        <w:tc>
          <w:tcPr>
            <w:tcW w:w="2176" w:type="dxa"/>
            <w:gridSpan w:val="2"/>
            <w:shd w:val="clear" w:color="auto" w:fill="auto"/>
            <w:vAlign w:val="center"/>
          </w:tcPr>
          <w:p>
            <w:pPr>
              <w:pStyle w:val="84"/>
              <w:rPr>
                <w:rFonts w:hint="default" w:ascii="Times New Roman" w:hAnsi="Times New Roman" w:eastAsia="仿宋_GB2312" w:cs="Times New Roman"/>
                <w:color w:val="auto"/>
                <w:sz w:val="22"/>
                <w:highlight w:val="none"/>
                <w:lang w:eastAsia="zh-CN"/>
              </w:rPr>
            </w:pPr>
            <w:r>
              <w:rPr>
                <w:rFonts w:hint="eastAsia" w:cs="Times New Roman"/>
                <w:color w:val="auto"/>
                <w:sz w:val="22"/>
                <w:highlight w:val="none"/>
                <w:lang w:eastAsia="zh-CN"/>
              </w:rPr>
              <w:t>施工生产生活区</w:t>
            </w:r>
          </w:p>
        </w:tc>
        <w:tc>
          <w:tcPr>
            <w:tcW w:w="1662" w:type="dxa"/>
            <w:vMerge w:val="continue"/>
            <w:vAlign w:val="center"/>
          </w:tcPr>
          <w:p>
            <w:pPr>
              <w:pStyle w:val="84"/>
              <w:rPr>
                <w:rFonts w:hint="default" w:ascii="Times New Roman" w:hAnsi="Times New Roman" w:cs="Times New Roman"/>
                <w:color w:val="auto"/>
                <w:sz w:val="22"/>
                <w:highlight w:val="none"/>
              </w:rPr>
            </w:pPr>
          </w:p>
        </w:tc>
        <w:tc>
          <w:tcPr>
            <w:tcW w:w="1171"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0.</w:t>
            </w:r>
            <w:r>
              <w:rPr>
                <w:rFonts w:hint="eastAsia" w:eastAsia="仿宋_GB2312" w:cs="Times New Roman"/>
                <w:color w:val="auto"/>
                <w:spacing w:val="-2"/>
                <w:kern w:val="0"/>
                <w:sz w:val="21"/>
                <w:szCs w:val="21"/>
                <w:highlight w:val="none"/>
                <w:lang w:val="en-US" w:eastAsia="zh-CN" w:bidi="ar-SA"/>
              </w:rPr>
              <w:t>46</w:t>
            </w:r>
          </w:p>
        </w:tc>
        <w:tc>
          <w:tcPr>
            <w:tcW w:w="1417" w:type="dxa"/>
            <w:shd w:val="clear" w:color="auto" w:fill="auto"/>
            <w:vAlign w:val="center"/>
          </w:tcPr>
          <w:p>
            <w:pPr>
              <w:spacing w:line="240" w:lineRule="auto"/>
              <w:ind w:firstLine="440" w:firstLineChars="200"/>
              <w:jc w:val="both"/>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lang w:val="en-US" w:eastAsia="zh-CN"/>
              </w:rPr>
              <w:t>0.00</w:t>
            </w:r>
          </w:p>
        </w:tc>
        <w:tc>
          <w:tcPr>
            <w:tcW w:w="2006" w:type="dxa"/>
            <w:shd w:val="clear" w:color="auto" w:fill="auto"/>
            <w:vAlign w:val="center"/>
          </w:tcPr>
          <w:p>
            <w:pPr>
              <w:ind w:firstLine="480" w:firstLineChars="20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trPr>
        <w:tc>
          <w:tcPr>
            <w:tcW w:w="2804" w:type="dxa"/>
            <w:gridSpan w:val="3"/>
            <w:shd w:val="clear" w:color="auto" w:fill="auto"/>
            <w:vAlign w:val="center"/>
          </w:tcPr>
          <w:p>
            <w:pPr>
              <w:pStyle w:val="84"/>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合计</w:t>
            </w:r>
          </w:p>
        </w:tc>
        <w:tc>
          <w:tcPr>
            <w:tcW w:w="1662" w:type="dxa"/>
            <w:vAlign w:val="center"/>
          </w:tcPr>
          <w:p>
            <w:pPr>
              <w:pStyle w:val="84"/>
              <w:rPr>
                <w:rFonts w:hint="default" w:ascii="Times New Roman" w:hAnsi="Times New Roman" w:cs="Times New Roman"/>
                <w:color w:val="auto"/>
                <w:sz w:val="22"/>
                <w:highlight w:val="none"/>
              </w:rPr>
            </w:pPr>
          </w:p>
        </w:tc>
        <w:tc>
          <w:tcPr>
            <w:tcW w:w="1171"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49.46</w:t>
            </w:r>
          </w:p>
        </w:tc>
        <w:tc>
          <w:tcPr>
            <w:tcW w:w="1417" w:type="dxa"/>
            <w:shd w:val="clear" w:color="auto" w:fill="auto"/>
            <w:vAlign w:val="center"/>
          </w:tcPr>
          <w:p>
            <w:pPr>
              <w:spacing w:line="240" w:lineRule="auto"/>
              <w:ind w:firstLine="440" w:firstLineChars="200"/>
              <w:jc w:val="both"/>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lang w:val="en-US" w:eastAsia="zh-CN"/>
              </w:rPr>
              <w:t>0.00</w:t>
            </w:r>
          </w:p>
        </w:tc>
        <w:tc>
          <w:tcPr>
            <w:tcW w:w="2006" w:type="dxa"/>
            <w:shd w:val="clear" w:color="auto" w:fill="auto"/>
            <w:vAlign w:val="center"/>
          </w:tcPr>
          <w:p>
            <w:pPr>
              <w:pStyle w:val="84"/>
              <w:rPr>
                <w:rFonts w:hint="default" w:ascii="Times New Roman" w:hAnsi="Times New Roman" w:cs="Times New Roman"/>
                <w:color w:val="auto"/>
                <w:highlight w:val="none"/>
              </w:rPr>
            </w:pPr>
          </w:p>
        </w:tc>
      </w:tr>
    </w:tbl>
    <w:p>
      <w:pPr>
        <w:pStyle w:val="66"/>
        <w:ind w:firstLine="148"/>
        <w:rPr>
          <w:rFonts w:hint="default" w:ascii="Times New Roman" w:hAnsi="Times New Roman" w:cs="Times New Roman"/>
          <w:color w:val="auto"/>
          <w:highlight w:val="none"/>
        </w:rPr>
      </w:pPr>
      <w:bookmarkStart w:id="137" w:name="_Toc18564"/>
      <w:r>
        <w:rPr>
          <w:rFonts w:hint="default" w:ascii="Times New Roman" w:hAnsi="Times New Roman" w:cs="Times New Roman"/>
          <w:color w:val="auto"/>
          <w:highlight w:val="none"/>
        </w:rPr>
        <w:t>5.4 分区措施布设</w:t>
      </w:r>
      <w:bookmarkEnd w:id="137"/>
    </w:p>
    <w:bookmarkEnd w:id="134"/>
    <w:bookmarkEnd w:id="135"/>
    <w:p>
      <w:pPr>
        <w:pStyle w:val="69"/>
        <w:rPr>
          <w:rFonts w:hint="default" w:ascii="Times New Roman" w:hAnsi="Times New Roman" w:cs="Times New Roman"/>
          <w:color w:val="auto"/>
          <w:highlight w:val="none"/>
        </w:rPr>
      </w:pPr>
      <w:bookmarkStart w:id="138" w:name="_Toc417412344"/>
      <w:bookmarkStart w:id="139" w:name="_Toc407014559"/>
      <w:r>
        <w:rPr>
          <w:rFonts w:hint="default" w:ascii="Times New Roman" w:hAnsi="Times New Roman" w:cs="Times New Roman"/>
          <w:color w:val="auto"/>
          <w:highlight w:val="none"/>
        </w:rPr>
        <w:t>5.4.1 光伏发电区</w:t>
      </w:r>
    </w:p>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5.4.1.1 光伏阵列区</w:t>
      </w:r>
    </w:p>
    <w:p>
      <w:pPr>
        <w:pStyle w:val="56"/>
        <w:ind w:firstLine="480"/>
        <w:rPr>
          <w:rFonts w:hint="eastAsia"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光伏阵列区</w:t>
      </w:r>
      <w:r>
        <w:rPr>
          <w:rFonts w:hint="eastAsia" w:cs="Times New Roman"/>
          <w:color w:val="auto"/>
          <w:highlight w:val="none"/>
          <w:lang w:eastAsia="zh-CN"/>
        </w:rPr>
        <w:t>施工期对扰动区洒水降尘，</w:t>
      </w:r>
      <w:r>
        <w:rPr>
          <w:rFonts w:hint="default" w:ascii="Times New Roman" w:hAnsi="Times New Roman" w:cs="Times New Roman"/>
          <w:color w:val="auto"/>
          <w:highlight w:val="none"/>
        </w:rPr>
        <w:t>施工后期对</w:t>
      </w:r>
      <w:r>
        <w:rPr>
          <w:rFonts w:hint="eastAsia" w:cs="Times New Roman"/>
          <w:color w:val="auto"/>
          <w:highlight w:val="none"/>
          <w:lang w:eastAsia="zh-CN"/>
        </w:rPr>
        <w:t>桩基础及光伏支架周边施工产生的</w:t>
      </w:r>
      <w:r>
        <w:rPr>
          <w:rFonts w:hint="default" w:ascii="Times New Roman" w:hAnsi="Times New Roman" w:cs="Times New Roman"/>
          <w:color w:val="auto"/>
          <w:highlight w:val="none"/>
        </w:rPr>
        <w:t>扰动区域采取土地平整</w:t>
      </w:r>
      <w:r>
        <w:rPr>
          <w:rFonts w:hint="eastAsia" w:cs="Times New Roman"/>
          <w:color w:val="auto"/>
          <w:highlight w:val="none"/>
          <w:lang w:eastAsia="zh-CN"/>
        </w:rPr>
        <w:t>，工程运行期在光伏阵列区外围界域设置钢丝网围栏，起到一定拦挡作用。</w:t>
      </w:r>
    </w:p>
    <w:p>
      <w:pPr>
        <w:pStyle w:val="56"/>
        <w:ind w:firstLine="480"/>
        <w:rPr>
          <w:rFonts w:hint="default" w:ascii="Times New Roman" w:hAnsi="Times New Roman" w:cs="Times New Roman"/>
          <w:color w:val="auto"/>
          <w:highlight w:val="none"/>
        </w:rPr>
      </w:pP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1）</w:t>
      </w:r>
      <w:r>
        <w:rPr>
          <w:rFonts w:hint="eastAsia" w:ascii="Times New Roman" w:hAnsi="Times New Roman" w:cs="Times New Roman"/>
          <w:color w:val="auto"/>
          <w:highlight w:val="none"/>
          <w:lang w:eastAsia="zh-CN"/>
        </w:rPr>
        <w:t>工程措施</w:t>
      </w:r>
    </w:p>
    <w:p>
      <w:pPr>
        <w:pStyle w:val="56"/>
        <w:numPr>
          <w:ilvl w:val="-1"/>
          <w:numId w:val="0"/>
        </w:numPr>
        <w:ind w:firstLine="480"/>
        <w:rPr>
          <w:rFonts w:hint="default" w:cs="Times New Roman"/>
          <w:color w:val="auto"/>
          <w:highlight w:val="none"/>
          <w:lang w:eastAsia="zh-CN"/>
        </w:rPr>
      </w:pPr>
      <w:r>
        <w:rPr>
          <w:rFonts w:hint="default" w:ascii="Times New Roman" w:hAnsi="Times New Roman" w:cs="Times New Roman"/>
          <w:color w:val="auto"/>
          <w:highlight w:val="none"/>
        </w:rPr>
        <w:t>土地平整（主体已列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r>
        <w:rPr>
          <w:rFonts w:hint="eastAsia" w:cs="Times New Roman"/>
          <w:color w:val="auto"/>
          <w:highlight w:val="none"/>
          <w:lang w:eastAsia="zh-CN"/>
        </w:rPr>
        <w:t>光伏阵列区施工后期对施工扰动区域实施土地平整，施工扰动区域约为光伏支架基础向外</w:t>
      </w:r>
      <w:r>
        <w:rPr>
          <w:rFonts w:hint="eastAsia" w:cs="Times New Roman"/>
          <w:color w:val="auto"/>
          <w:highlight w:val="none"/>
          <w:lang w:val="en-US" w:eastAsia="zh-CN"/>
        </w:rPr>
        <w:t>4m，</w:t>
      </w:r>
      <w:r>
        <w:rPr>
          <w:rFonts w:hint="default" w:ascii="Times New Roman" w:hAnsi="Times New Roman" w:cs="Times New Roman"/>
          <w:color w:val="auto"/>
          <w:highlight w:val="none"/>
        </w:rPr>
        <w:t>平</w:t>
      </w:r>
      <w:r>
        <w:rPr>
          <w:rFonts w:hint="eastAsia" w:ascii="Times New Roman" w:hAnsi="Times New Roman" w:cs="Times New Roman"/>
          <w:color w:val="auto"/>
          <w:highlight w:val="none"/>
        </w:rPr>
        <w:t>整面积共</w:t>
      </w:r>
      <w:r>
        <w:rPr>
          <w:rFonts w:hint="default" w:cs="Times New Roman"/>
          <w:color w:val="auto"/>
          <w:highlight w:val="none"/>
          <w:lang w:val="en-US" w:eastAsia="zh-CN"/>
        </w:rPr>
        <w:t>6.87</w:t>
      </w:r>
      <w:r>
        <w:rPr>
          <w:rFonts w:hint="eastAsia" w:ascii="Times New Roman" w:hAnsi="Times New Roman" w:cs="Times New Roman"/>
          <w:color w:val="auto"/>
          <w:highlight w:val="none"/>
        </w:rPr>
        <w:t>hm²</w:t>
      </w:r>
      <w:r>
        <w:rPr>
          <w:rFonts w:hint="default" w:cs="Times New Roman"/>
          <w:color w:val="auto"/>
          <w:highlight w:val="none"/>
          <w:lang w:eastAsia="zh-CN"/>
        </w:rPr>
        <w:t>。</w:t>
      </w:r>
    </w:p>
    <w:p>
      <w:pPr>
        <w:pStyle w:val="56"/>
        <w:numPr>
          <w:ilvl w:val="-1"/>
          <w:numId w:val="0"/>
        </w:numPr>
        <w:ind w:firstLine="480"/>
        <w:rPr>
          <w:rFonts w:hint="eastAsia" w:cs="Times New Roman"/>
          <w:color w:val="auto"/>
          <w:highlight w:val="none"/>
          <w:lang w:eastAsia="zh-CN"/>
        </w:rPr>
      </w:pPr>
      <w:r>
        <w:rPr>
          <w:rFonts w:hint="eastAsia" w:cs="Times New Roman"/>
          <w:color w:val="auto"/>
          <w:highlight w:val="none"/>
          <w:lang w:val="en-US" w:eastAsia="zh-CN"/>
        </w:rPr>
        <w:t>2）</w:t>
      </w:r>
      <w:r>
        <w:rPr>
          <w:rFonts w:hint="eastAsia" w:cs="Times New Roman"/>
          <w:color w:val="auto"/>
          <w:highlight w:val="none"/>
          <w:lang w:eastAsia="zh-CN"/>
        </w:rPr>
        <w:t>钢丝网围栏（方案新增，未实施）</w:t>
      </w:r>
    </w:p>
    <w:p>
      <w:pPr>
        <w:pStyle w:val="56"/>
        <w:numPr>
          <w:ilvl w:val="-1"/>
          <w:numId w:val="0"/>
        </w:numPr>
        <w:ind w:firstLine="480"/>
        <w:rPr>
          <w:rFonts w:hint="eastAsia" w:cs="Times New Roman"/>
          <w:color w:val="auto"/>
          <w:highlight w:val="none"/>
          <w:lang w:val="en-US" w:eastAsia="zh-CN"/>
        </w:rPr>
      </w:pPr>
      <w:r>
        <w:rPr>
          <w:rFonts w:hint="eastAsia" w:cs="Times New Roman"/>
          <w:color w:val="auto"/>
          <w:highlight w:val="none"/>
          <w:lang w:eastAsia="zh-CN"/>
        </w:rPr>
        <w:t>沿光伏阵列区东侧外围界域设置钢丝网围栏，起到一定拦挡作用，钢丝网围栏长度</w:t>
      </w:r>
      <w:r>
        <w:rPr>
          <w:rFonts w:hint="eastAsia" w:cs="Times New Roman"/>
          <w:color w:val="auto"/>
          <w:highlight w:val="none"/>
          <w:lang w:val="en-US" w:eastAsia="zh-CN"/>
        </w:rPr>
        <w:t>1274m。</w:t>
      </w:r>
    </w:p>
    <w:p>
      <w:pPr>
        <w:pStyle w:val="56"/>
        <w:numPr>
          <w:ilvl w:val="-1"/>
          <w:numId w:val="0"/>
        </w:numPr>
        <w:ind w:firstLine="480"/>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cs="Times New Roman"/>
          <w:color w:val="auto"/>
          <w:highlight w:val="none"/>
          <w:lang w:eastAsia="zh-CN"/>
        </w:rPr>
        <w:t>临时措施</w:t>
      </w:r>
    </w:p>
    <w:p>
      <w:pPr>
        <w:pStyle w:val="56"/>
        <w:numPr>
          <w:ilvl w:val="-1"/>
          <w:numId w:val="0"/>
        </w:numPr>
        <w:ind w:firstLine="480"/>
        <w:rPr>
          <w:rFonts w:hint="eastAsia"/>
          <w:lang w:eastAsia="zh-CN"/>
        </w:rPr>
      </w:pPr>
      <w:r>
        <w:rPr>
          <w:rFonts w:hint="eastAsia" w:cs="Times New Roman"/>
          <w:color w:val="auto"/>
          <w:highlight w:val="none"/>
          <w:lang w:eastAsia="zh-CN"/>
        </w:rPr>
        <w:t>洒水</w:t>
      </w:r>
      <w:r>
        <w:rPr>
          <w:rFonts w:hint="default" w:ascii="Times New Roman" w:hAnsi="Times New Roman" w:cs="Times New Roman"/>
          <w:color w:val="auto"/>
          <w:highlight w:val="none"/>
        </w:rPr>
        <w:t>（主体已列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r>
        <w:rPr>
          <w:rFonts w:hint="eastAsia" w:cs="Times New Roman"/>
          <w:color w:val="auto"/>
          <w:highlight w:val="none"/>
          <w:lang w:eastAsia="zh-CN"/>
        </w:rPr>
        <w:t>：</w:t>
      </w:r>
      <w:r>
        <w:t>在施工期间，</w:t>
      </w:r>
      <w:r>
        <w:rPr>
          <w:rFonts w:hint="eastAsia"/>
          <w:lang w:eastAsia="zh-CN"/>
        </w:rPr>
        <w:t>对光伏列阵施工扰动区</w:t>
      </w:r>
      <w:r>
        <w:t>洒水</w:t>
      </w:r>
      <w:r>
        <w:rPr>
          <w:rFonts w:hint="eastAsia"/>
          <w:lang w:eastAsia="zh-CN"/>
        </w:rPr>
        <w:t>降尘</w:t>
      </w:r>
      <w:r>
        <w:t>，</w:t>
      </w:r>
      <w:r>
        <w:rPr>
          <w:rFonts w:hint="eastAsia"/>
          <w:lang w:eastAsia="zh-CN"/>
        </w:rPr>
        <w:t>洒水时段为</w:t>
      </w:r>
      <w:r>
        <w:rPr>
          <w:rFonts w:hint="eastAsia"/>
          <w:lang w:val="en-US" w:eastAsia="zh-CN"/>
        </w:rPr>
        <w:t>3月至6月，每天洒水一次，洒水厚度</w:t>
      </w:r>
      <w:r>
        <w:t>2.0mm，</w:t>
      </w:r>
      <w:r>
        <w:rPr>
          <w:rFonts w:hint="eastAsia"/>
          <w:lang w:eastAsia="zh-CN"/>
        </w:rPr>
        <w:t>即洒水指标</w:t>
      </w:r>
      <w:r>
        <w:rPr>
          <w:rFonts w:hint="eastAsia"/>
          <w:lang w:val="en-US" w:eastAsia="zh-CN"/>
        </w:rPr>
        <w:t>2L/</w:t>
      </w:r>
      <w:r>
        <w:rPr>
          <w:rFonts w:hint="eastAsia"/>
          <w:highlight w:val="none"/>
          <w:lang w:val="en-US" w:eastAsia="zh-CN"/>
        </w:rPr>
        <w:t>m</w:t>
      </w:r>
      <w:r>
        <w:rPr>
          <w:rFonts w:hint="eastAsia"/>
          <w:highlight w:val="none"/>
          <w:vertAlign w:val="superscript"/>
          <w:lang w:val="en-US" w:eastAsia="zh-CN"/>
        </w:rPr>
        <w:t>2</w:t>
      </w:r>
      <w:r>
        <w:rPr>
          <w:rFonts w:hint="eastAsia"/>
          <w:lang w:val="en-US" w:eastAsia="zh-CN"/>
        </w:rPr>
        <w:t>，</w:t>
      </w:r>
      <w:r>
        <w:rPr>
          <w:rFonts w:hint="eastAsia"/>
          <w:lang w:eastAsia="zh-CN"/>
        </w:rPr>
        <w:t>共计洒</w:t>
      </w:r>
      <w:r>
        <w:rPr>
          <w:rFonts w:hint="eastAsia"/>
          <w:highlight w:val="none"/>
          <w:lang w:eastAsia="zh-CN"/>
        </w:rPr>
        <w:t>水</w:t>
      </w:r>
      <w:r>
        <w:rPr>
          <w:rFonts w:hint="eastAsia"/>
          <w:highlight w:val="none"/>
          <w:lang w:val="en-US" w:eastAsia="zh-CN"/>
        </w:rPr>
        <w:t>2120m</w:t>
      </w:r>
      <w:r>
        <w:rPr>
          <w:rFonts w:hint="eastAsia"/>
          <w:highlight w:val="none"/>
          <w:vertAlign w:val="superscript"/>
          <w:lang w:val="en-US" w:eastAsia="zh-CN"/>
        </w:rPr>
        <w:t>3</w:t>
      </w:r>
      <w:r>
        <w:rPr>
          <w:rFonts w:hint="eastAsia"/>
          <w:lang w:val="en-US" w:eastAsia="zh-CN"/>
        </w:rPr>
        <w:t>，</w:t>
      </w:r>
      <w:r>
        <w:t>洒水水源与主体一致，由</w:t>
      </w:r>
      <w:r>
        <w:rPr>
          <w:rFonts w:hint="eastAsia"/>
          <w:lang w:eastAsia="zh-CN"/>
        </w:rPr>
        <w:t>工业园区引水</w:t>
      </w:r>
      <w:r>
        <w:t>，采用8m³洒水车洒水。</w:t>
      </w:r>
    </w:p>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5.4.1.2 集电线路区</w:t>
      </w:r>
    </w:p>
    <w:p>
      <w:pPr>
        <w:pStyle w:val="56"/>
        <w:ind w:firstLine="480"/>
        <w:rPr>
          <w:rFonts w:hint="eastAsia" w:cs="Times New Roman"/>
          <w:color w:val="auto"/>
          <w:highlight w:val="none"/>
          <w:lang w:eastAsia="zh-CN"/>
        </w:rPr>
      </w:pPr>
      <w:r>
        <w:rPr>
          <w:rFonts w:hint="default" w:ascii="Times New Roman" w:hAnsi="Times New Roman" w:cs="Times New Roman"/>
          <w:color w:val="auto"/>
          <w:highlight w:val="none"/>
        </w:rPr>
        <w:t>集电线路区</w:t>
      </w:r>
      <w:r>
        <w:rPr>
          <w:rFonts w:hint="eastAsia" w:cs="Times New Roman"/>
          <w:color w:val="auto"/>
          <w:highlight w:val="none"/>
          <w:lang w:eastAsia="zh-CN"/>
        </w:rPr>
        <w:t>施工期</w:t>
      </w:r>
      <w:r>
        <w:rPr>
          <w:rFonts w:hint="default" w:ascii="Times New Roman" w:hAnsi="Times New Roman" w:cs="Times New Roman"/>
          <w:color w:val="auto"/>
          <w:highlight w:val="none"/>
        </w:rPr>
        <w:t>对管沟开挖堆土采取苫盖</w:t>
      </w:r>
      <w:r>
        <w:rPr>
          <w:rFonts w:hint="eastAsia" w:cs="Times New Roman"/>
          <w:color w:val="auto"/>
          <w:highlight w:val="none"/>
          <w:lang w:eastAsia="zh-CN"/>
        </w:rPr>
        <w:t>，施工结束后对扰动区域采取土地平整</w:t>
      </w:r>
      <w:r>
        <w:rPr>
          <w:rFonts w:hint="default" w:ascii="Times New Roman" w:hAnsi="Times New Roman" w:cs="Times New Roman"/>
          <w:color w:val="auto"/>
          <w:highlight w:val="none"/>
        </w:rPr>
        <w:t>。</w:t>
      </w:r>
    </w:p>
    <w:p>
      <w:pPr>
        <w:pStyle w:val="56"/>
        <w:numPr>
          <w:ilvl w:val="0"/>
          <w:numId w:val="0"/>
        </w:numPr>
        <w:ind w:firstLine="480" w:firstLineChars="200"/>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工程措施</w:t>
      </w:r>
    </w:p>
    <w:p>
      <w:pPr>
        <w:pStyle w:val="56"/>
        <w:numPr>
          <w:ilvl w:val="-1"/>
          <w:numId w:val="0"/>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土地平整（主体已列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）：施工后期对集电线路区施工扰动区域采取土地平整，清理建筑垃圾及堆置的建筑材料，平整面积共</w:t>
      </w:r>
      <w:r>
        <w:rPr>
          <w:rFonts w:hint="eastAsia" w:cs="Times New Roman"/>
          <w:color w:val="auto"/>
          <w:highlight w:val="none"/>
          <w:lang w:val="en-US" w:eastAsia="zh-CN"/>
        </w:rPr>
        <w:t>2.76</w:t>
      </w:r>
      <w:r>
        <w:rPr>
          <w:rFonts w:hint="default" w:ascii="Times New Roman" w:hAnsi="Times New Roman" w:cs="Times New Roman"/>
          <w:color w:val="auto"/>
          <w:highlight w:val="none"/>
        </w:rPr>
        <w:t>hm²</w:t>
      </w:r>
      <w:r>
        <w:rPr>
          <w:rFonts w:hint="eastAsia"/>
          <w:color w:val="auto"/>
          <w:highlight w:val="none"/>
        </w:rPr>
        <w:t>。</w:t>
      </w:r>
    </w:p>
    <w:p>
      <w:pPr>
        <w:pStyle w:val="56"/>
        <w:keepNext w:val="0"/>
        <w:keepLines w:val="0"/>
        <w:pageBreakBefore w:val="0"/>
        <w:widowControl/>
        <w:numPr>
          <w:ilvl w:val="0"/>
          <w:numId w:val="0"/>
        </w:numPr>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cs="Times New Roman"/>
          <w:color w:val="auto"/>
          <w:highlight w:val="none"/>
          <w:lang w:eastAsia="zh-CN"/>
        </w:rPr>
        <w:t>临时措施</w:t>
      </w:r>
    </w:p>
    <w:p>
      <w:pPr>
        <w:pStyle w:val="56"/>
        <w:ind w:firstLine="480"/>
        <w:rPr>
          <w:rFonts w:hint="default" w:ascii="Times New Roman" w:hAnsi="Times New Roman" w:cs="Times New Roman"/>
          <w:color w:val="auto"/>
          <w:highlight w:val="none"/>
        </w:rPr>
      </w:pPr>
      <w:r>
        <w:rPr>
          <w:rFonts w:hint="eastAsia" w:cs="Times New Roman"/>
          <w:color w:val="auto"/>
          <w:highlight w:val="none"/>
          <w:lang w:eastAsia="zh-CN"/>
        </w:rPr>
        <w:t>防尘网苫盖</w:t>
      </w:r>
      <w:r>
        <w:rPr>
          <w:rFonts w:hint="default" w:ascii="Times New Roman" w:hAnsi="Times New Roman" w:cs="Times New Roman"/>
          <w:color w:val="auto"/>
          <w:highlight w:val="none"/>
        </w:rPr>
        <w:t>（主体已列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r>
        <w:t>建设期间管沟开挖土方堆置在开挖管沟一侧，不采取集中堆置，后期回填利用，施工期间对管沟开挖临时堆土采取防尘网苫盖，防尘网苫盖共计</w:t>
      </w:r>
      <w:r>
        <w:rPr>
          <w:rFonts w:hint="eastAsia"/>
          <w:lang w:val="en-US" w:eastAsia="zh-CN"/>
        </w:rPr>
        <w:t>36</w:t>
      </w:r>
      <w:r>
        <w:t>00m²。</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5.4.2 道路工程区</w:t>
      </w:r>
    </w:p>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5.4.2.1 进场道路</w:t>
      </w:r>
    </w:p>
    <w:p>
      <w:pPr>
        <w:pStyle w:val="56"/>
        <w:ind w:firstLine="480"/>
        <w:rPr>
          <w:rFonts w:hint="default" w:ascii="Times New Roman" w:hAnsi="Times New Roman" w:cs="Times New Roman"/>
          <w:color w:val="auto"/>
          <w:highlight w:val="none"/>
        </w:rPr>
      </w:pPr>
      <w:r>
        <w:rPr>
          <w:rFonts w:hint="eastAsia" w:cs="Times New Roman"/>
          <w:color w:val="auto"/>
          <w:highlight w:val="none"/>
          <w:lang w:eastAsia="zh-CN"/>
        </w:rPr>
        <w:t>进场道路施工期对</w:t>
      </w:r>
      <w:r>
        <w:rPr>
          <w:rFonts w:hint="default" w:ascii="Times New Roman" w:hAnsi="Times New Roman" w:cs="Times New Roman"/>
          <w:color w:val="auto"/>
          <w:highlight w:val="none"/>
        </w:rPr>
        <w:t>扰动碾压区域洒水。</w:t>
      </w:r>
    </w:p>
    <w:p>
      <w:pPr>
        <w:pStyle w:val="56"/>
        <w:keepNext w:val="0"/>
        <w:keepLines w:val="0"/>
        <w:pageBreakBefore w:val="0"/>
        <w:widowControl/>
        <w:numPr>
          <w:ilvl w:val="0"/>
          <w:numId w:val="0"/>
        </w:numPr>
        <w:kinsoku/>
        <w:wordWrap/>
        <w:overflowPunct/>
        <w:topLinePunct w:val="0"/>
        <w:autoSpaceDE/>
        <w:autoSpaceDN/>
        <w:bidi w:val="0"/>
        <w:adjustRightInd w:val="0"/>
        <w:snapToGrid w:val="0"/>
        <w:ind w:firstLine="480" w:firstLineChars="200"/>
        <w:textAlignment w:val="auto"/>
        <w:outlineLvl w:val="9"/>
        <w:rPr>
          <w:rFonts w:hint="eastAsia" w:cs="Times New Roman"/>
          <w:color w:val="auto"/>
          <w:highlight w:val="none"/>
          <w:lang w:val="en-US" w:eastAsia="zh-CN"/>
        </w:rPr>
      </w:pPr>
      <w:r>
        <w:rPr>
          <w:rFonts w:hint="eastAsia" w:cs="Times New Roman"/>
          <w:color w:val="auto"/>
          <w:highlight w:val="none"/>
          <w:lang w:val="en-US" w:eastAsia="zh-CN"/>
        </w:rPr>
        <w:t>（1）临时措施</w:t>
      </w:r>
    </w:p>
    <w:p>
      <w:pPr>
        <w:pStyle w:val="56"/>
        <w:numPr>
          <w:ilvl w:val="-1"/>
          <w:numId w:val="0"/>
        </w:numPr>
        <w:ind w:firstLine="480"/>
        <w:rPr>
          <w:rFonts w:hint="eastAsia"/>
          <w:lang w:eastAsia="zh-CN"/>
        </w:rPr>
      </w:pPr>
      <w:r>
        <w:rPr>
          <w:rFonts w:hint="eastAsia" w:cs="Times New Roman"/>
          <w:color w:val="auto"/>
          <w:highlight w:val="none"/>
          <w:lang w:eastAsia="zh-CN"/>
        </w:rPr>
        <w:t>洒水</w:t>
      </w:r>
      <w:r>
        <w:rPr>
          <w:rFonts w:hint="default" w:ascii="Times New Roman" w:hAnsi="Times New Roman" w:cs="Times New Roman"/>
          <w:color w:val="auto"/>
          <w:highlight w:val="none"/>
        </w:rPr>
        <w:t>（主体已列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r>
        <w:rPr>
          <w:rFonts w:hint="eastAsia" w:cs="Times New Roman"/>
          <w:color w:val="auto"/>
          <w:highlight w:val="none"/>
          <w:lang w:eastAsia="zh-CN"/>
        </w:rPr>
        <w:t>：</w:t>
      </w:r>
      <w:r>
        <w:t>在</w:t>
      </w:r>
      <w:r>
        <w:rPr>
          <w:rFonts w:hint="eastAsia"/>
          <w:lang w:eastAsia="zh-CN"/>
        </w:rPr>
        <w:t>进场道路</w:t>
      </w:r>
      <w:r>
        <w:t>施工期</w:t>
      </w:r>
      <w:r>
        <w:rPr>
          <w:rFonts w:hint="eastAsia" w:cs="Times New Roman"/>
          <w:color w:val="auto"/>
          <w:highlight w:val="none"/>
          <w:lang w:eastAsia="zh-CN"/>
        </w:rPr>
        <w:t>对</w:t>
      </w:r>
      <w:r>
        <w:rPr>
          <w:rFonts w:hint="default" w:ascii="Times New Roman" w:hAnsi="Times New Roman" w:cs="Times New Roman"/>
          <w:color w:val="auto"/>
          <w:highlight w:val="none"/>
        </w:rPr>
        <w:t>扰动碾压区域洒水</w:t>
      </w:r>
      <w:r>
        <w:t>，</w:t>
      </w:r>
      <w:r>
        <w:rPr>
          <w:rFonts w:hint="eastAsia"/>
          <w:lang w:eastAsia="zh-CN"/>
        </w:rPr>
        <w:t>洒水时段为</w:t>
      </w:r>
      <w:r>
        <w:rPr>
          <w:rFonts w:hint="eastAsia"/>
          <w:lang w:val="en-US" w:eastAsia="zh-CN"/>
        </w:rPr>
        <w:t>3月，每天洒水一次，洒水厚度</w:t>
      </w:r>
      <w:r>
        <w:t>2.0mm，</w:t>
      </w:r>
      <w:r>
        <w:rPr>
          <w:rFonts w:hint="eastAsia"/>
          <w:lang w:eastAsia="zh-CN"/>
        </w:rPr>
        <w:t>即洒水指标</w:t>
      </w:r>
      <w:r>
        <w:rPr>
          <w:rFonts w:hint="eastAsia"/>
          <w:lang w:val="en-US" w:eastAsia="zh-CN"/>
        </w:rPr>
        <w:t>2L/</w:t>
      </w:r>
      <w:r>
        <w:rPr>
          <w:rFonts w:hint="eastAsia"/>
          <w:highlight w:val="none"/>
          <w:lang w:val="en-US" w:eastAsia="zh-CN"/>
        </w:rPr>
        <w:t>m</w:t>
      </w:r>
      <w:r>
        <w:rPr>
          <w:rFonts w:hint="eastAsia"/>
          <w:highlight w:val="none"/>
          <w:vertAlign w:val="superscript"/>
          <w:lang w:val="en-US" w:eastAsia="zh-CN"/>
        </w:rPr>
        <w:t>2</w:t>
      </w:r>
      <w:r>
        <w:rPr>
          <w:rFonts w:hint="eastAsia"/>
          <w:lang w:val="en-US" w:eastAsia="zh-CN"/>
        </w:rPr>
        <w:t>，</w:t>
      </w:r>
      <w:r>
        <w:rPr>
          <w:rFonts w:hint="eastAsia"/>
          <w:lang w:eastAsia="zh-CN"/>
        </w:rPr>
        <w:t>共计洒</w:t>
      </w:r>
      <w:r>
        <w:rPr>
          <w:rFonts w:hint="eastAsia"/>
          <w:highlight w:val="none"/>
          <w:lang w:eastAsia="zh-CN"/>
        </w:rPr>
        <w:t>水</w:t>
      </w:r>
      <w:r>
        <w:rPr>
          <w:rFonts w:hint="eastAsia"/>
          <w:highlight w:val="none"/>
          <w:lang w:val="en-US" w:eastAsia="zh-CN"/>
        </w:rPr>
        <w:t>18m</w:t>
      </w:r>
      <w:r>
        <w:rPr>
          <w:rFonts w:hint="eastAsia"/>
          <w:highlight w:val="none"/>
          <w:vertAlign w:val="superscript"/>
          <w:lang w:val="en-US" w:eastAsia="zh-CN"/>
        </w:rPr>
        <w:t>3</w:t>
      </w:r>
      <w:r>
        <w:rPr>
          <w:rFonts w:hint="eastAsia"/>
          <w:lang w:val="en-US" w:eastAsia="zh-CN"/>
        </w:rPr>
        <w:t>，</w:t>
      </w:r>
      <w:r>
        <w:t>洒水水源与主体一致，由</w:t>
      </w:r>
      <w:r>
        <w:rPr>
          <w:rFonts w:hint="eastAsia"/>
          <w:lang w:eastAsia="zh-CN"/>
        </w:rPr>
        <w:t>工业园区引水</w:t>
      </w:r>
      <w:r>
        <w:t>，采用8m³洒水车洒水。</w:t>
      </w:r>
    </w:p>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5.4.2.2 场内道路</w:t>
      </w:r>
    </w:p>
    <w:p>
      <w:pPr>
        <w:pStyle w:val="56"/>
        <w:ind w:firstLine="480"/>
        <w:rPr>
          <w:rFonts w:hint="default" w:ascii="Times New Roman" w:hAnsi="Times New Roman" w:cs="Times New Roman"/>
          <w:color w:val="auto"/>
          <w:highlight w:val="none"/>
        </w:rPr>
      </w:pPr>
      <w:r>
        <w:rPr>
          <w:rFonts w:hint="eastAsia" w:cs="Times New Roman"/>
          <w:color w:val="auto"/>
          <w:highlight w:val="none"/>
          <w:lang w:eastAsia="zh-CN"/>
        </w:rPr>
        <w:t>场内道路施工期对</w:t>
      </w:r>
      <w:r>
        <w:rPr>
          <w:rFonts w:hint="default" w:ascii="Times New Roman" w:hAnsi="Times New Roman" w:cs="Times New Roman"/>
          <w:color w:val="auto"/>
          <w:highlight w:val="none"/>
        </w:rPr>
        <w:t>扰动碾压区域洒水。</w:t>
      </w:r>
    </w:p>
    <w:p>
      <w:pPr>
        <w:pStyle w:val="56"/>
        <w:keepNext w:val="0"/>
        <w:keepLines w:val="0"/>
        <w:pageBreakBefore w:val="0"/>
        <w:widowControl/>
        <w:numPr>
          <w:ilvl w:val="0"/>
          <w:numId w:val="0"/>
        </w:numPr>
        <w:kinsoku/>
        <w:wordWrap/>
        <w:overflowPunct/>
        <w:topLinePunct w:val="0"/>
        <w:autoSpaceDE/>
        <w:autoSpaceDN/>
        <w:bidi w:val="0"/>
        <w:adjustRightInd w:val="0"/>
        <w:snapToGrid w:val="0"/>
        <w:ind w:firstLine="480" w:firstLineChars="200"/>
        <w:textAlignment w:val="auto"/>
        <w:outlineLvl w:val="9"/>
        <w:rPr>
          <w:rFonts w:hint="eastAsia" w:cs="Times New Roman"/>
          <w:color w:val="auto"/>
          <w:highlight w:val="none"/>
          <w:lang w:val="en-US" w:eastAsia="zh-CN"/>
        </w:rPr>
      </w:pPr>
      <w:r>
        <w:rPr>
          <w:rFonts w:hint="eastAsia" w:cs="Times New Roman"/>
          <w:color w:val="auto"/>
          <w:highlight w:val="none"/>
          <w:lang w:val="en-US" w:eastAsia="zh-CN"/>
        </w:rPr>
        <w:t>（1）临时措施</w:t>
      </w:r>
    </w:p>
    <w:p>
      <w:pPr>
        <w:pStyle w:val="56"/>
        <w:numPr>
          <w:ilvl w:val="0"/>
          <w:numId w:val="0"/>
        </w:numPr>
        <w:ind w:firstLine="480"/>
        <w:rPr>
          <w:rFonts w:hint="default" w:ascii="Times New Roman" w:hAnsi="Times New Roman" w:cs="Times New Roman"/>
          <w:color w:val="auto"/>
          <w:highlight w:val="none"/>
        </w:rPr>
      </w:pPr>
      <w:r>
        <w:rPr>
          <w:rFonts w:hint="eastAsia" w:cs="Times New Roman"/>
          <w:color w:val="auto"/>
          <w:highlight w:val="none"/>
          <w:lang w:eastAsia="zh-CN"/>
        </w:rPr>
        <w:t>洒水</w:t>
      </w:r>
      <w:r>
        <w:rPr>
          <w:rFonts w:hint="default" w:ascii="Times New Roman" w:hAnsi="Times New Roman" w:cs="Times New Roman"/>
          <w:color w:val="auto"/>
          <w:highlight w:val="none"/>
        </w:rPr>
        <w:t>（主体已列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r>
        <w:rPr>
          <w:rFonts w:hint="eastAsia" w:cs="Times New Roman"/>
          <w:color w:val="auto"/>
          <w:highlight w:val="none"/>
          <w:lang w:eastAsia="zh-CN"/>
        </w:rPr>
        <w:t>：</w:t>
      </w:r>
      <w:r>
        <w:t>在</w:t>
      </w:r>
      <w:r>
        <w:rPr>
          <w:rFonts w:hint="eastAsia" w:cs="Times New Roman"/>
          <w:color w:val="auto"/>
          <w:highlight w:val="none"/>
          <w:lang w:eastAsia="zh-CN"/>
        </w:rPr>
        <w:t>场内道路施工期对</w:t>
      </w:r>
      <w:r>
        <w:rPr>
          <w:rFonts w:hint="default" w:ascii="Times New Roman" w:hAnsi="Times New Roman" w:cs="Times New Roman"/>
          <w:color w:val="auto"/>
          <w:highlight w:val="none"/>
        </w:rPr>
        <w:t>扰动碾压区域洒水</w:t>
      </w:r>
      <w:r>
        <w:rPr>
          <w:highlight w:val="none"/>
        </w:rPr>
        <w:t>，</w:t>
      </w:r>
      <w:r>
        <w:rPr>
          <w:rFonts w:hint="eastAsia"/>
          <w:highlight w:val="none"/>
          <w:lang w:eastAsia="zh-CN"/>
        </w:rPr>
        <w:t>洒水时段为</w:t>
      </w:r>
      <w:r>
        <w:rPr>
          <w:rFonts w:hint="eastAsia"/>
          <w:highlight w:val="none"/>
          <w:lang w:val="en-US" w:eastAsia="zh-CN"/>
        </w:rPr>
        <w:t>3月至8月，每天洒水一次，洒水厚度</w:t>
      </w:r>
      <w:r>
        <w:rPr>
          <w:highlight w:val="none"/>
        </w:rPr>
        <w:t>2.0mm，</w:t>
      </w:r>
      <w:r>
        <w:rPr>
          <w:rFonts w:hint="eastAsia"/>
          <w:lang w:eastAsia="zh-CN"/>
        </w:rPr>
        <w:t>即洒水指标</w:t>
      </w:r>
      <w:r>
        <w:rPr>
          <w:rFonts w:hint="eastAsia"/>
          <w:lang w:val="en-US" w:eastAsia="zh-CN"/>
        </w:rPr>
        <w:t>2L/</w:t>
      </w:r>
      <w:r>
        <w:rPr>
          <w:rFonts w:hint="eastAsia"/>
          <w:highlight w:val="none"/>
          <w:lang w:val="en-US" w:eastAsia="zh-CN"/>
        </w:rPr>
        <w:t>m</w:t>
      </w:r>
      <w:r>
        <w:rPr>
          <w:rFonts w:hint="eastAsia"/>
          <w:highlight w:val="none"/>
          <w:vertAlign w:val="superscript"/>
          <w:lang w:val="en-US" w:eastAsia="zh-CN"/>
        </w:rPr>
        <w:t>2</w:t>
      </w:r>
      <w:r>
        <w:rPr>
          <w:rFonts w:hint="eastAsia"/>
          <w:lang w:val="en-US" w:eastAsia="zh-CN"/>
        </w:rPr>
        <w:t>，</w:t>
      </w:r>
      <w:r>
        <w:rPr>
          <w:rFonts w:hint="eastAsia"/>
          <w:highlight w:val="none"/>
          <w:lang w:eastAsia="zh-CN"/>
        </w:rPr>
        <w:t>共计洒水</w:t>
      </w:r>
      <w:r>
        <w:rPr>
          <w:rFonts w:hint="eastAsia"/>
          <w:highlight w:val="none"/>
          <w:lang w:val="en-US" w:eastAsia="zh-CN"/>
        </w:rPr>
        <w:t>6912m</w:t>
      </w:r>
      <w:r>
        <w:rPr>
          <w:rFonts w:hint="eastAsia"/>
          <w:highlight w:val="none"/>
          <w:vertAlign w:val="superscript"/>
          <w:lang w:val="en-US" w:eastAsia="zh-CN"/>
        </w:rPr>
        <w:t>3</w:t>
      </w:r>
      <w:r>
        <w:rPr>
          <w:rFonts w:hint="eastAsia"/>
          <w:lang w:val="en-US" w:eastAsia="zh-CN"/>
        </w:rPr>
        <w:t>，</w:t>
      </w:r>
      <w:r>
        <w:t>洒水水源与主体一致，由</w:t>
      </w:r>
      <w:r>
        <w:rPr>
          <w:rFonts w:hint="eastAsia"/>
          <w:lang w:eastAsia="zh-CN"/>
        </w:rPr>
        <w:t>工业园区引水</w:t>
      </w:r>
      <w:r>
        <w:t>，采用8m³洒水车洒水。</w:t>
      </w:r>
    </w:p>
    <w:p>
      <w:pPr>
        <w:pStyle w:val="56"/>
        <w:ind w:firstLine="480"/>
        <w:rPr>
          <w:rFonts w:hint="default" w:ascii="Times New Roman" w:hAnsi="Times New Roman" w:cs="Times New Roman"/>
          <w:color w:val="auto"/>
          <w:highlight w:val="none"/>
        </w:rPr>
      </w:pPr>
      <w:r>
        <w:rPr>
          <w:rFonts w:hint="eastAsia" w:cs="Times New Roman"/>
          <w:color w:val="auto"/>
          <w:highlight w:val="none"/>
          <w:lang w:eastAsia="zh-CN"/>
        </w:rPr>
        <w:t>运行管理</w:t>
      </w:r>
      <w:r>
        <w:rPr>
          <w:rFonts w:hint="default" w:ascii="Times New Roman" w:hAnsi="Times New Roman" w:cs="Times New Roman"/>
          <w:color w:val="auto"/>
          <w:highlight w:val="none"/>
        </w:rPr>
        <w:t>区</w:t>
      </w:r>
      <w:r>
        <w:rPr>
          <w:rFonts w:hint="eastAsia" w:cs="Times New Roman"/>
          <w:color w:val="auto"/>
          <w:highlight w:val="none"/>
          <w:lang w:eastAsia="zh-CN"/>
        </w:rPr>
        <w:t>施工期间</w:t>
      </w:r>
      <w:r>
        <w:t>对建构筑物基坑开挖临时堆土采取防尘网苫盖</w:t>
      </w:r>
      <w:r>
        <w:rPr>
          <w:rFonts w:hint="eastAsia" w:cs="Times New Roman"/>
          <w:color w:val="auto"/>
          <w:highlight w:val="none"/>
          <w:lang w:eastAsia="zh-CN"/>
        </w:rPr>
        <w:t>，施工</w:t>
      </w:r>
      <w:r>
        <w:rPr>
          <w:rFonts w:hint="default" w:ascii="Times New Roman" w:hAnsi="Times New Roman" w:cs="Times New Roman"/>
          <w:color w:val="auto"/>
          <w:highlight w:val="none"/>
        </w:rPr>
        <w:t>后期对扰动区域采取土地平整。</w:t>
      </w:r>
    </w:p>
    <w:p>
      <w:pPr>
        <w:pStyle w:val="56"/>
        <w:ind w:firstLine="480"/>
        <w:rPr>
          <w:rFonts w:hint="eastAsia"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（1）</w:t>
      </w:r>
      <w:r>
        <w:rPr>
          <w:rFonts w:hint="eastAsia" w:cs="Times New Roman"/>
          <w:color w:val="auto"/>
          <w:highlight w:val="none"/>
          <w:lang w:eastAsia="zh-CN"/>
        </w:rPr>
        <w:t>工程措施</w:t>
      </w:r>
    </w:p>
    <w:p>
      <w:pPr>
        <w:pStyle w:val="56"/>
        <w:ind w:firstLine="480"/>
      </w:pPr>
      <w:r>
        <w:rPr>
          <w:rFonts w:hint="default" w:ascii="Times New Roman" w:hAnsi="Times New Roman" w:cs="Times New Roman"/>
          <w:color w:val="auto"/>
          <w:highlight w:val="none"/>
        </w:rPr>
        <w:t>土地平整（主体已列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r>
        <w:t>运行管理区各建构筑物基础回填完成后，对施工迹地进行了平整措施，平整面</w:t>
      </w:r>
      <w:r>
        <w:rPr>
          <w:highlight w:val="none"/>
        </w:rPr>
        <w:t>积约</w:t>
      </w:r>
      <w:r>
        <w:rPr>
          <w:rFonts w:hint="eastAsia"/>
          <w:highlight w:val="none"/>
          <w:lang w:val="en-US" w:eastAsia="zh-CN"/>
        </w:rPr>
        <w:t>0.41</w:t>
      </w:r>
      <w:r>
        <w:rPr>
          <w:highlight w:val="none"/>
        </w:rPr>
        <w:t>hm²</w:t>
      </w:r>
      <w:r>
        <w:t>。</w:t>
      </w:r>
    </w:p>
    <w:p>
      <w:pPr>
        <w:pStyle w:val="56"/>
        <w:numPr>
          <w:ilvl w:val="0"/>
          <w:numId w:val="13"/>
        </w:numPr>
        <w:ind w:firstLine="480"/>
        <w:rPr>
          <w:rFonts w:hint="eastAsia"/>
          <w:lang w:val="en-US" w:eastAsia="zh-CN"/>
        </w:rPr>
      </w:pPr>
      <w:r>
        <w:rPr>
          <w:rFonts w:hint="eastAsia"/>
          <w:lang w:val="en-US" w:eastAsia="zh-CN"/>
        </w:rPr>
        <w:t>临时措施</w:t>
      </w:r>
    </w:p>
    <w:p>
      <w:pPr>
        <w:pStyle w:val="56"/>
        <w:ind w:firstLine="480"/>
      </w:pPr>
      <w:r>
        <w:rPr>
          <w:rFonts w:hint="eastAsia" w:cs="Times New Roman"/>
          <w:color w:val="auto"/>
          <w:highlight w:val="none"/>
          <w:lang w:eastAsia="zh-CN"/>
        </w:rPr>
        <w:t>防尘网苫盖</w:t>
      </w:r>
      <w:r>
        <w:rPr>
          <w:rFonts w:hint="default" w:ascii="Times New Roman" w:hAnsi="Times New Roman" w:cs="Times New Roman"/>
          <w:color w:val="auto"/>
          <w:highlight w:val="none"/>
        </w:rPr>
        <w:t>（主体已列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r>
        <w:rPr>
          <w:rFonts w:hint="eastAsia" w:cs="Times New Roman"/>
          <w:color w:val="auto"/>
          <w:highlight w:val="none"/>
          <w:lang w:eastAsia="zh-CN"/>
        </w:rPr>
        <w:t>：</w:t>
      </w:r>
      <w:r>
        <w:t>施工期间对建构筑物基坑开挖临时堆土采取防尘网苫盖，防尘网苫盖共计1000m²。</w:t>
      </w:r>
    </w:p>
    <w:p>
      <w:pPr>
        <w:pStyle w:val="69"/>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 xml:space="preserve">5.4.4 </w:t>
      </w:r>
      <w:r>
        <w:rPr>
          <w:rFonts w:hint="eastAsia" w:cs="Times New Roman"/>
          <w:color w:val="auto"/>
          <w:highlight w:val="none"/>
          <w:lang w:eastAsia="zh-CN"/>
        </w:rPr>
        <w:t>施工生产生活区</w:t>
      </w:r>
    </w:p>
    <w:p>
      <w:pPr>
        <w:pStyle w:val="56"/>
        <w:ind w:firstLine="480"/>
        <w:rPr>
          <w:rFonts w:hint="default" w:ascii="Times New Roman" w:hAnsi="Times New Roman" w:cs="Times New Roman"/>
          <w:color w:val="auto"/>
          <w:highlight w:val="none"/>
        </w:rPr>
      </w:pPr>
      <w:r>
        <w:rPr>
          <w:rFonts w:hint="eastAsia" w:cs="Times New Roman"/>
          <w:color w:val="auto"/>
          <w:highlight w:val="none"/>
          <w:lang w:eastAsia="zh-CN"/>
        </w:rPr>
        <w:t>施工生产生活区</w:t>
      </w:r>
      <w:r>
        <w:rPr>
          <w:rFonts w:hint="default" w:ascii="Times New Roman" w:hAnsi="Times New Roman" w:cs="Times New Roman"/>
          <w:color w:val="auto"/>
          <w:highlight w:val="none"/>
        </w:rPr>
        <w:t>在施工期间对周边采取彩钢板围栏，施工后期对施工迹地采取土地平整。</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（1）工程措施</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土地平整（主体已列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）：工程建设完成后，对施工迹地区域采取土地平整，清理建筑垃圾及堆置的建筑材料，平整面积共0.</w:t>
      </w:r>
      <w:r>
        <w:rPr>
          <w:rFonts w:hint="eastAsia" w:cs="Times New Roman"/>
          <w:color w:val="auto"/>
          <w:highlight w:val="none"/>
          <w:lang w:val="en-US" w:eastAsia="zh-CN"/>
        </w:rPr>
        <w:t>46</w:t>
      </w:r>
      <w:r>
        <w:rPr>
          <w:rFonts w:hint="default" w:ascii="Times New Roman" w:hAnsi="Times New Roman" w:cs="Times New Roman"/>
          <w:color w:val="auto"/>
          <w:highlight w:val="none"/>
        </w:rPr>
        <w:t>hm²。</w:t>
      </w:r>
    </w:p>
    <w:p>
      <w:pPr>
        <w:pStyle w:val="56"/>
        <w:ind w:firstLine="480"/>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cs="Times New Roman"/>
          <w:color w:val="auto"/>
          <w:highlight w:val="none"/>
          <w:lang w:eastAsia="zh-CN"/>
        </w:rPr>
        <w:t>临时措施</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彩钢板围栏（主体已列</w:t>
      </w:r>
      <w:r>
        <w:rPr>
          <w:rFonts w:hint="eastAsia" w:cs="Times New Roman"/>
          <w:color w:val="auto"/>
          <w:highlight w:val="none"/>
          <w:lang w:eastAsia="zh-CN"/>
        </w:rPr>
        <w:t>，已实施</w:t>
      </w:r>
      <w:r>
        <w:rPr>
          <w:rFonts w:hint="default" w:ascii="Times New Roman" w:hAnsi="Times New Roman" w:cs="Times New Roman"/>
          <w:color w:val="auto"/>
          <w:highlight w:val="none"/>
        </w:rPr>
        <w:t>）：</w:t>
      </w:r>
      <w:r>
        <w:rPr>
          <w:rFonts w:hint="eastAsia" w:cs="Times New Roman"/>
          <w:color w:val="auto"/>
          <w:highlight w:val="none"/>
          <w:lang w:eastAsia="zh-CN"/>
        </w:rPr>
        <w:t>施工期间在施工生产生活区</w:t>
      </w:r>
      <w:r>
        <w:rPr>
          <w:rFonts w:hint="default" w:ascii="Times New Roman" w:hAnsi="Times New Roman" w:cs="Times New Roman"/>
          <w:color w:val="auto"/>
          <w:highlight w:val="none"/>
        </w:rPr>
        <w:t>周边</w:t>
      </w:r>
      <w:r>
        <w:rPr>
          <w:rFonts w:hint="eastAsia" w:cs="Times New Roman"/>
          <w:color w:val="auto"/>
          <w:highlight w:val="none"/>
          <w:lang w:eastAsia="zh-CN"/>
        </w:rPr>
        <w:t>设置</w:t>
      </w:r>
      <w:r>
        <w:rPr>
          <w:rFonts w:hint="default" w:ascii="Times New Roman" w:hAnsi="Times New Roman" w:cs="Times New Roman"/>
          <w:color w:val="auto"/>
          <w:highlight w:val="none"/>
        </w:rPr>
        <w:t>彩钢板围栏</w:t>
      </w:r>
      <w:r>
        <w:rPr>
          <w:rFonts w:hint="eastAsia" w:cs="Times New Roman"/>
          <w:color w:val="auto"/>
          <w:highlight w:val="none"/>
          <w:lang w:eastAsia="zh-CN"/>
        </w:rPr>
        <w:t>，</w:t>
      </w:r>
      <w:r>
        <w:rPr>
          <w:rFonts w:hint="default" w:ascii="Times New Roman" w:hAnsi="Times New Roman" w:cs="Times New Roman"/>
          <w:color w:val="auto"/>
          <w:highlight w:val="none"/>
        </w:rPr>
        <w:t>限制施工边界，彩钢板围栏共计200m。</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5.4.5 工程量汇总</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本项目水土保持措施工程量汇总见表5.4-1。</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表5.4-1     各防治区水土保持措施工程量汇总表</w:t>
      </w:r>
    </w:p>
    <w:tbl>
      <w:tblPr>
        <w:tblStyle w:val="27"/>
        <w:tblW w:w="902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34"/>
        <w:gridCol w:w="1507"/>
        <w:gridCol w:w="1203"/>
        <w:gridCol w:w="1203"/>
        <w:gridCol w:w="636"/>
        <w:gridCol w:w="985"/>
        <w:gridCol w:w="175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241" w:type="dxa"/>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防治分区</w:t>
            </w: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措施类型</w:t>
            </w: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措施名称</w:t>
            </w:r>
          </w:p>
        </w:tc>
        <w:tc>
          <w:tcPr>
            <w:tcW w:w="636"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单位</w:t>
            </w:r>
          </w:p>
        </w:tc>
        <w:tc>
          <w:tcPr>
            <w:tcW w:w="98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工程量</w:t>
            </w:r>
          </w:p>
        </w:tc>
        <w:tc>
          <w:tcPr>
            <w:tcW w:w="175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34" w:type="dxa"/>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光伏发电区</w:t>
            </w:r>
          </w:p>
        </w:tc>
        <w:tc>
          <w:tcPr>
            <w:tcW w:w="1507" w:type="dxa"/>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光伏阵列区</w:t>
            </w: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工程措施</w:t>
            </w: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土地平整</w:t>
            </w:r>
          </w:p>
        </w:tc>
        <w:tc>
          <w:tcPr>
            <w:tcW w:w="636"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hm²</w:t>
            </w:r>
          </w:p>
        </w:tc>
        <w:tc>
          <w:tcPr>
            <w:tcW w:w="98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6.87</w:t>
            </w:r>
          </w:p>
        </w:tc>
        <w:tc>
          <w:tcPr>
            <w:tcW w:w="175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34" w:type="dxa"/>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507" w:type="dxa"/>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default" w:ascii="Times New Roman" w:hAnsi="Times New Roman" w:eastAsia="仿宋_GB2312" w:cs="Times New Roman"/>
                <w:snapToGrid w:val="0"/>
                <w:color w:val="auto"/>
                <w:kern w:val="24"/>
                <w:sz w:val="21"/>
                <w:szCs w:val="21"/>
                <w:highlight w:val="none"/>
              </w:rPr>
              <w:t>工程措施</w:t>
            </w: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钢丝网围栏</w:t>
            </w:r>
          </w:p>
        </w:tc>
        <w:tc>
          <w:tcPr>
            <w:tcW w:w="636"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m</w:t>
            </w:r>
          </w:p>
        </w:tc>
        <w:tc>
          <w:tcPr>
            <w:tcW w:w="98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1274.00</w:t>
            </w:r>
          </w:p>
        </w:tc>
        <w:tc>
          <w:tcPr>
            <w:tcW w:w="175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方案新增，未实施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34" w:type="dxa"/>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507" w:type="dxa"/>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临时措施</w:t>
            </w: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洒水</w:t>
            </w:r>
          </w:p>
        </w:tc>
        <w:tc>
          <w:tcPr>
            <w:tcW w:w="636"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m</w:t>
            </w:r>
            <w:r>
              <w:rPr>
                <w:rFonts w:hint="eastAsia" w:eastAsia="仿宋_GB2312" w:cs="Times New Roman"/>
                <w:snapToGrid w:val="0"/>
                <w:color w:val="auto"/>
                <w:kern w:val="24"/>
                <w:sz w:val="21"/>
                <w:szCs w:val="21"/>
                <w:highlight w:val="none"/>
                <w:vertAlign w:val="superscript"/>
                <w:lang w:val="en-US" w:eastAsia="zh-CN"/>
              </w:rPr>
              <w:t>3</w:t>
            </w:r>
          </w:p>
        </w:tc>
        <w:tc>
          <w:tcPr>
            <w:tcW w:w="98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2120.00</w:t>
            </w:r>
          </w:p>
        </w:tc>
        <w:tc>
          <w:tcPr>
            <w:tcW w:w="175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34" w:type="dxa"/>
            <w:vMerge w:val="continue"/>
            <w:tcBorders>
              <w:tl2br w:val="nil"/>
              <w:tr2bl w:val="nil"/>
            </w:tcBorders>
            <w:shd w:val="clear" w:color="auto" w:fill="auto"/>
            <w:tcMar>
              <w:top w:w="15" w:type="dxa"/>
              <w:left w:w="15" w:type="dxa"/>
              <w:right w:w="15" w:type="dxa"/>
            </w:tcMar>
            <w:vAlign w:val="center"/>
          </w:tcPr>
          <w:p>
            <w:pPr>
              <w:spacing w:line="240" w:lineRule="auto"/>
              <w:ind w:firstLine="420"/>
              <w:jc w:val="center"/>
              <w:rPr>
                <w:rFonts w:hint="default" w:ascii="Times New Roman" w:hAnsi="Times New Roman" w:eastAsia="仿宋_GB2312" w:cs="Times New Roman"/>
                <w:snapToGrid w:val="0"/>
                <w:color w:val="auto"/>
                <w:kern w:val="24"/>
                <w:sz w:val="21"/>
                <w:szCs w:val="21"/>
                <w:highlight w:val="none"/>
              </w:rPr>
            </w:pPr>
          </w:p>
        </w:tc>
        <w:tc>
          <w:tcPr>
            <w:tcW w:w="1507" w:type="dxa"/>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集电线路区</w:t>
            </w: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工程措施</w:t>
            </w: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土地平整</w:t>
            </w:r>
          </w:p>
        </w:tc>
        <w:tc>
          <w:tcPr>
            <w:tcW w:w="636"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hm²</w:t>
            </w:r>
          </w:p>
        </w:tc>
        <w:tc>
          <w:tcPr>
            <w:tcW w:w="98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2.76</w:t>
            </w:r>
          </w:p>
        </w:tc>
        <w:tc>
          <w:tcPr>
            <w:tcW w:w="175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34" w:type="dxa"/>
            <w:vMerge w:val="continue"/>
            <w:tcBorders>
              <w:tl2br w:val="nil"/>
              <w:tr2bl w:val="nil"/>
            </w:tcBorders>
            <w:shd w:val="clear" w:color="auto" w:fill="auto"/>
            <w:tcMar>
              <w:top w:w="15" w:type="dxa"/>
              <w:left w:w="15" w:type="dxa"/>
              <w:right w:w="15" w:type="dxa"/>
            </w:tcMar>
            <w:vAlign w:val="center"/>
          </w:tcPr>
          <w:p>
            <w:pPr>
              <w:spacing w:line="240" w:lineRule="auto"/>
              <w:ind w:firstLine="420"/>
              <w:jc w:val="center"/>
              <w:rPr>
                <w:rFonts w:hint="default" w:ascii="Times New Roman" w:hAnsi="Times New Roman" w:eastAsia="仿宋_GB2312" w:cs="Times New Roman"/>
                <w:snapToGrid w:val="0"/>
                <w:color w:val="auto"/>
                <w:kern w:val="24"/>
                <w:sz w:val="21"/>
                <w:szCs w:val="21"/>
                <w:highlight w:val="none"/>
              </w:rPr>
            </w:pPr>
          </w:p>
        </w:tc>
        <w:tc>
          <w:tcPr>
            <w:tcW w:w="1507" w:type="dxa"/>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临时措施</w:t>
            </w: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防尘网苫盖</w:t>
            </w:r>
          </w:p>
        </w:tc>
        <w:tc>
          <w:tcPr>
            <w:tcW w:w="636"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m</w:t>
            </w:r>
            <w:r>
              <w:rPr>
                <w:rFonts w:hint="eastAsia" w:eastAsia="仿宋_GB2312" w:cs="Times New Roman"/>
                <w:snapToGrid w:val="0"/>
                <w:color w:val="auto"/>
                <w:kern w:val="24"/>
                <w:sz w:val="21"/>
                <w:szCs w:val="21"/>
                <w:highlight w:val="none"/>
                <w:vertAlign w:val="superscript"/>
                <w:lang w:val="en-US" w:eastAsia="zh-CN"/>
              </w:rPr>
              <w:t>2</w:t>
            </w:r>
          </w:p>
        </w:tc>
        <w:tc>
          <w:tcPr>
            <w:tcW w:w="98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3600.00</w:t>
            </w:r>
          </w:p>
        </w:tc>
        <w:tc>
          <w:tcPr>
            <w:tcW w:w="175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34" w:type="dxa"/>
            <w:vMerge w:val="restart"/>
            <w:tcBorders>
              <w:tl2br w:val="nil"/>
              <w:tr2bl w:val="nil"/>
            </w:tcBorders>
            <w:shd w:val="clear" w:color="auto" w:fill="auto"/>
            <w:tcMar>
              <w:top w:w="15" w:type="dxa"/>
              <w:left w:w="15" w:type="dxa"/>
              <w:right w:w="15" w:type="dxa"/>
            </w:tcMar>
            <w:vAlign w:val="center"/>
          </w:tcPr>
          <w:p>
            <w:pPr>
              <w:spacing w:line="240" w:lineRule="auto"/>
              <w:ind w:left="0" w:leftChars="0" w:firstLine="0" w:firstLineChars="0"/>
              <w:jc w:val="center"/>
              <w:rPr>
                <w:rFonts w:hint="eastAsia" w:ascii="Times New Roman" w:hAnsi="Times New Roman" w:eastAsia="仿宋_GB2312" w:cs="Times New Roman"/>
                <w:snapToGrid w:val="0"/>
                <w:color w:val="auto"/>
                <w:kern w:val="24"/>
                <w:sz w:val="21"/>
                <w:szCs w:val="21"/>
                <w:highlight w:val="none"/>
                <w:lang w:eastAsia="zh-CN"/>
              </w:rPr>
            </w:pPr>
            <w:r>
              <w:rPr>
                <w:rFonts w:hint="eastAsia" w:ascii="Times New Roman" w:hAnsi="Times New Roman" w:eastAsia="仿宋_GB2312" w:cs="Times New Roman"/>
                <w:snapToGrid w:val="0"/>
                <w:color w:val="auto"/>
                <w:kern w:val="24"/>
                <w:sz w:val="21"/>
                <w:szCs w:val="21"/>
                <w:highlight w:val="none"/>
                <w:lang w:eastAsia="zh-CN"/>
              </w:rPr>
              <w:t>道路工程区</w:t>
            </w:r>
          </w:p>
        </w:tc>
        <w:tc>
          <w:tcPr>
            <w:tcW w:w="150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进场道路</w:t>
            </w: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eastAsia="zh-CN"/>
              </w:rPr>
              <w:t>临时措施</w:t>
            </w: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洒水</w:t>
            </w:r>
          </w:p>
        </w:tc>
        <w:tc>
          <w:tcPr>
            <w:tcW w:w="636"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m</w:t>
            </w:r>
            <w:r>
              <w:rPr>
                <w:rFonts w:hint="eastAsia" w:eastAsia="仿宋_GB2312" w:cs="Times New Roman"/>
                <w:snapToGrid w:val="0"/>
                <w:color w:val="auto"/>
                <w:kern w:val="24"/>
                <w:sz w:val="21"/>
                <w:szCs w:val="21"/>
                <w:highlight w:val="none"/>
                <w:vertAlign w:val="superscript"/>
                <w:lang w:val="en-US" w:eastAsia="zh-CN"/>
              </w:rPr>
              <w:t>3</w:t>
            </w:r>
          </w:p>
        </w:tc>
        <w:tc>
          <w:tcPr>
            <w:tcW w:w="98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18.00</w:t>
            </w:r>
          </w:p>
        </w:tc>
        <w:tc>
          <w:tcPr>
            <w:tcW w:w="175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34" w:type="dxa"/>
            <w:vMerge w:val="continue"/>
            <w:tcBorders>
              <w:tl2br w:val="nil"/>
              <w:tr2bl w:val="nil"/>
            </w:tcBorders>
            <w:shd w:val="clear" w:color="auto" w:fill="auto"/>
            <w:tcMar>
              <w:top w:w="15" w:type="dxa"/>
              <w:left w:w="15" w:type="dxa"/>
              <w:right w:w="15" w:type="dxa"/>
            </w:tcMar>
            <w:vAlign w:val="center"/>
          </w:tcPr>
          <w:p>
            <w:pPr>
              <w:spacing w:line="240" w:lineRule="auto"/>
              <w:ind w:firstLine="420"/>
              <w:jc w:val="center"/>
              <w:rPr>
                <w:rFonts w:hint="default" w:ascii="Times New Roman" w:hAnsi="Times New Roman" w:eastAsia="仿宋_GB2312" w:cs="Times New Roman"/>
                <w:snapToGrid w:val="0"/>
                <w:color w:val="auto"/>
                <w:kern w:val="24"/>
                <w:sz w:val="21"/>
                <w:szCs w:val="21"/>
                <w:highlight w:val="none"/>
              </w:rPr>
            </w:pPr>
          </w:p>
        </w:tc>
        <w:tc>
          <w:tcPr>
            <w:tcW w:w="150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场内道路</w:t>
            </w: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eastAsia="zh-CN"/>
              </w:rPr>
              <w:t>临时措施</w:t>
            </w: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洒水</w:t>
            </w:r>
          </w:p>
        </w:tc>
        <w:tc>
          <w:tcPr>
            <w:tcW w:w="636"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m</w:t>
            </w:r>
            <w:r>
              <w:rPr>
                <w:rFonts w:hint="eastAsia" w:eastAsia="仿宋_GB2312" w:cs="Times New Roman"/>
                <w:snapToGrid w:val="0"/>
                <w:color w:val="auto"/>
                <w:kern w:val="24"/>
                <w:sz w:val="21"/>
                <w:szCs w:val="21"/>
                <w:highlight w:val="none"/>
                <w:vertAlign w:val="superscript"/>
                <w:lang w:val="en-US" w:eastAsia="zh-CN"/>
              </w:rPr>
              <w:t>3</w:t>
            </w:r>
          </w:p>
        </w:tc>
        <w:tc>
          <w:tcPr>
            <w:tcW w:w="98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6912.00</w:t>
            </w:r>
          </w:p>
        </w:tc>
        <w:tc>
          <w:tcPr>
            <w:tcW w:w="175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241" w:type="dxa"/>
            <w:gridSpan w:val="2"/>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eastAsia="zh-CN"/>
              </w:rPr>
              <w:t>运行管理</w:t>
            </w:r>
            <w:r>
              <w:rPr>
                <w:rFonts w:hint="default" w:ascii="Times New Roman" w:hAnsi="Times New Roman" w:eastAsia="仿宋_GB2312" w:cs="Times New Roman"/>
                <w:snapToGrid w:val="0"/>
                <w:color w:val="auto"/>
                <w:kern w:val="24"/>
                <w:sz w:val="21"/>
                <w:szCs w:val="21"/>
                <w:highlight w:val="none"/>
              </w:rPr>
              <w:t>区</w:t>
            </w: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工程措施</w:t>
            </w: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土地平整</w:t>
            </w:r>
          </w:p>
        </w:tc>
        <w:tc>
          <w:tcPr>
            <w:tcW w:w="636"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hm²</w:t>
            </w:r>
          </w:p>
        </w:tc>
        <w:tc>
          <w:tcPr>
            <w:tcW w:w="98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0.41</w:t>
            </w:r>
          </w:p>
        </w:tc>
        <w:tc>
          <w:tcPr>
            <w:tcW w:w="175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241" w:type="dxa"/>
            <w:gridSpan w:val="2"/>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临时措施</w:t>
            </w: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防尘网苫盖</w:t>
            </w:r>
          </w:p>
        </w:tc>
        <w:tc>
          <w:tcPr>
            <w:tcW w:w="636"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m</w:t>
            </w:r>
            <w:r>
              <w:rPr>
                <w:rFonts w:hint="eastAsia" w:eastAsia="仿宋_GB2312" w:cs="Times New Roman"/>
                <w:snapToGrid w:val="0"/>
                <w:color w:val="auto"/>
                <w:kern w:val="24"/>
                <w:sz w:val="21"/>
                <w:szCs w:val="21"/>
                <w:highlight w:val="none"/>
                <w:vertAlign w:val="superscript"/>
                <w:lang w:val="en-US" w:eastAsia="zh-CN"/>
              </w:rPr>
              <w:t>2</w:t>
            </w:r>
          </w:p>
        </w:tc>
        <w:tc>
          <w:tcPr>
            <w:tcW w:w="98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1000.00</w:t>
            </w:r>
          </w:p>
        </w:tc>
        <w:tc>
          <w:tcPr>
            <w:tcW w:w="175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241" w:type="dxa"/>
            <w:gridSpan w:val="2"/>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施工生产生活区</w:t>
            </w: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工程措施</w:t>
            </w: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土地平整</w:t>
            </w:r>
          </w:p>
        </w:tc>
        <w:tc>
          <w:tcPr>
            <w:tcW w:w="636"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hm²</w:t>
            </w:r>
          </w:p>
        </w:tc>
        <w:tc>
          <w:tcPr>
            <w:tcW w:w="98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0.46</w:t>
            </w:r>
          </w:p>
        </w:tc>
        <w:tc>
          <w:tcPr>
            <w:tcW w:w="175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241" w:type="dxa"/>
            <w:gridSpan w:val="2"/>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临时措施</w:t>
            </w:r>
          </w:p>
        </w:tc>
        <w:tc>
          <w:tcPr>
            <w:tcW w:w="1203"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彩钢板围栏</w:t>
            </w:r>
          </w:p>
        </w:tc>
        <w:tc>
          <w:tcPr>
            <w:tcW w:w="636"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m</w:t>
            </w:r>
          </w:p>
        </w:tc>
        <w:tc>
          <w:tcPr>
            <w:tcW w:w="98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200.00</w:t>
            </w:r>
          </w:p>
        </w:tc>
        <w:tc>
          <w:tcPr>
            <w:tcW w:w="175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r>
    </w:tbl>
    <w:p>
      <w:pPr>
        <w:pStyle w:val="75"/>
        <w:jc w:val="both"/>
        <w:rPr>
          <w:rFonts w:hint="default" w:ascii="Times New Roman" w:hAnsi="Times New Roman" w:cs="Times New Roman"/>
          <w:color w:val="auto"/>
          <w:highlight w:val="none"/>
        </w:rPr>
      </w:pPr>
    </w:p>
    <w:p>
      <w:pPr>
        <w:pStyle w:val="69"/>
        <w:outlineLvl w:val="1"/>
        <w:rPr>
          <w:rFonts w:hint="default" w:ascii="Times New Roman" w:hAnsi="Times New Roman" w:cs="Times New Roman"/>
          <w:color w:val="auto"/>
          <w:highlight w:val="none"/>
        </w:rPr>
      </w:pPr>
      <w:bookmarkStart w:id="140" w:name="_Toc5469"/>
      <w:r>
        <w:rPr>
          <w:rFonts w:hint="default" w:ascii="Times New Roman" w:hAnsi="Times New Roman" w:cs="Times New Roman"/>
          <w:color w:val="auto"/>
          <w:highlight w:val="none"/>
        </w:rPr>
        <w:t>5.</w:t>
      </w:r>
      <w:bookmarkEnd w:id="138"/>
      <w:bookmarkEnd w:id="139"/>
      <w:r>
        <w:rPr>
          <w:rFonts w:hint="default" w:ascii="Times New Roman" w:hAnsi="Times New Roman" w:cs="Times New Roman"/>
          <w:color w:val="auto"/>
          <w:highlight w:val="none"/>
        </w:rPr>
        <w:t>5 施工要求</w:t>
      </w:r>
      <w:bookmarkEnd w:id="140"/>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5.5.1 施工方法</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（1）工程措施</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1）土地平整：采用机械施工和人工施工相结合的方法，机械以74kw推土机为主，人工则配合机械进行零星场地或边角地区的平整。</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（2）临时措施</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1）洒水：为减少项目区内施工场地扬尘、在工程施工过程中，对道路工程区进行临时洒水防护措施，采用8m³洒水车洒水。洒水水源与主体一致，由</w:t>
      </w:r>
      <w:r>
        <w:rPr>
          <w:rFonts w:hint="eastAsia" w:cs="Times New Roman"/>
          <w:color w:val="auto"/>
          <w:highlight w:val="none"/>
          <w:lang w:eastAsia="zh-CN"/>
        </w:rPr>
        <w:t>园区</w:t>
      </w:r>
      <w:r>
        <w:rPr>
          <w:rFonts w:hint="default" w:ascii="Times New Roman" w:hAnsi="Times New Roman" w:cs="Times New Roman"/>
          <w:color w:val="auto"/>
          <w:highlight w:val="none"/>
        </w:rPr>
        <w:t>供水给水管网接至项目区供给施工用水。</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防尘网苫盖：临时堆放的细颗粒砂料，为了避免裸露，采用防尘网苫盖进行防护。人工将1.5×4.0米的防尘网边缘用18号细铁丝缝合连接在一起，然后运输到施工现场。将缝合好的防护网进行摊铺苫盖，之后用马蹄钉固定，马蹄钉按50～60cm的间距固定。马蹄钉采用14号钢筋制作，总长60cm。防尘网拆除时，先用钢钎将马蹄钉拆除，分片折网，叠好后回收待用。</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5.5.2 施工进度</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工程要求与主体工程同时设计、同时施工、同时验收。为达到防治水土流失的目的，应把握好施工工序和时机。实施过程中可结合主体工程及其施工特点和本地区的气候特点，利用主体工程的施工条件布设水土保持措施，合理使用资金、劳力、材料和机械设备，保证水土保持工程的施工进度和工程质量。</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（1）施工进度安排原则</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1）根据水土保持与主体工程同步实施的原则，参照工程施工进度，各项水土保持措施的实施进度与相应的工程进度衔接，同时保证重点，又点面结合。</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2）在生态效益优先的基础上，考虑经济效益。年度投资平衡和工程量平衡综合考虑，合理安排各项水土保持措施的实施进度。</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3）合理安排水土保持工程实施进度，力争主体工程完成后完成所有水土保持措施。</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（2）水土保持工程实施进度</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按照主体工程施工组织设计建设工期，以水土保持分区布设措施，施工季节、施工顺序，分期实施，合理安排。主体工程于20</w:t>
      </w:r>
      <w:r>
        <w:rPr>
          <w:rFonts w:hint="eastAsia" w:cs="Times New Roman"/>
          <w:color w:val="auto"/>
          <w:highlight w:val="none"/>
          <w:lang w:val="en-US" w:eastAsia="zh-CN"/>
        </w:rPr>
        <w:t>12</w:t>
      </w:r>
      <w:r>
        <w:rPr>
          <w:rFonts w:hint="default" w:ascii="Times New Roman" w:hAnsi="Times New Roman" w:cs="Times New Roman"/>
          <w:color w:val="auto"/>
          <w:highlight w:val="none"/>
        </w:rPr>
        <w:t>年</w:t>
      </w:r>
      <w:r>
        <w:rPr>
          <w:rFonts w:hint="eastAsia" w:cs="Times New Roman"/>
          <w:color w:val="auto"/>
          <w:highlight w:val="none"/>
          <w:lang w:val="en-US" w:eastAsia="zh-CN"/>
        </w:rPr>
        <w:t>12</w:t>
      </w:r>
      <w:r>
        <w:rPr>
          <w:rFonts w:hint="default" w:ascii="Times New Roman" w:hAnsi="Times New Roman" w:cs="Times New Roman"/>
          <w:color w:val="auto"/>
          <w:highlight w:val="none"/>
        </w:rPr>
        <w:t>月</w:t>
      </w:r>
      <w:r>
        <w:rPr>
          <w:rFonts w:hint="eastAsia" w:cs="Times New Roman"/>
          <w:color w:val="auto"/>
          <w:highlight w:val="none"/>
          <w:lang w:val="en-US" w:eastAsia="zh-CN"/>
        </w:rPr>
        <w:t>1日</w:t>
      </w:r>
      <w:r>
        <w:rPr>
          <w:rFonts w:hint="default" w:ascii="Times New Roman" w:hAnsi="Times New Roman" w:cs="Times New Roman"/>
          <w:color w:val="auto"/>
          <w:highlight w:val="none"/>
        </w:rPr>
        <w:t>开工建设，于20</w:t>
      </w:r>
      <w:r>
        <w:rPr>
          <w:rFonts w:hint="eastAsia" w:cs="Times New Roman"/>
          <w:color w:val="auto"/>
          <w:highlight w:val="none"/>
          <w:lang w:val="en-US" w:eastAsia="zh-CN"/>
        </w:rPr>
        <w:t>13</w:t>
      </w:r>
      <w:r>
        <w:rPr>
          <w:rFonts w:hint="default" w:ascii="Times New Roman" w:hAnsi="Times New Roman" w:cs="Times New Roman"/>
          <w:color w:val="auto"/>
          <w:highlight w:val="none"/>
        </w:rPr>
        <w:t>年12月</w:t>
      </w:r>
      <w:r>
        <w:rPr>
          <w:rFonts w:hint="eastAsia" w:cs="Times New Roman"/>
          <w:color w:val="auto"/>
          <w:highlight w:val="none"/>
          <w:lang w:val="en-US" w:eastAsia="zh-CN"/>
        </w:rPr>
        <w:t>10日</w:t>
      </w:r>
      <w:r>
        <w:rPr>
          <w:rFonts w:hint="default" w:ascii="Times New Roman" w:hAnsi="Times New Roman" w:cs="Times New Roman"/>
          <w:color w:val="auto"/>
          <w:highlight w:val="none"/>
        </w:rPr>
        <w:t>建设完成。本项目水土保持工程于20</w:t>
      </w:r>
      <w:r>
        <w:rPr>
          <w:rFonts w:hint="eastAsia" w:cs="Times New Roman"/>
          <w:color w:val="auto"/>
          <w:highlight w:val="none"/>
          <w:lang w:val="en-US" w:eastAsia="zh-CN"/>
        </w:rPr>
        <w:t>12</w:t>
      </w:r>
      <w:r>
        <w:rPr>
          <w:rFonts w:hint="default" w:ascii="Times New Roman" w:hAnsi="Times New Roman" w:cs="Times New Roman"/>
          <w:color w:val="auto"/>
          <w:highlight w:val="none"/>
        </w:rPr>
        <w:t>年</w:t>
      </w:r>
      <w:r>
        <w:rPr>
          <w:rFonts w:hint="eastAsia" w:cs="Times New Roman"/>
          <w:color w:val="auto"/>
          <w:highlight w:val="none"/>
          <w:lang w:val="en-US" w:eastAsia="zh-CN"/>
        </w:rPr>
        <w:t>12</w:t>
      </w:r>
      <w:r>
        <w:rPr>
          <w:rFonts w:hint="default" w:ascii="Times New Roman" w:hAnsi="Times New Roman" w:cs="Times New Roman"/>
          <w:color w:val="auto"/>
          <w:highlight w:val="none"/>
        </w:rPr>
        <w:t>月1日开始实施，与主体工程同时完工。</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本项目水土保持措施施工进度表，见表5.5-1。</w:t>
      </w:r>
    </w:p>
    <w:p>
      <w:pPr>
        <w:pStyle w:val="75"/>
        <w:rPr>
          <w:rFonts w:hint="default" w:ascii="Times New Roman" w:hAnsi="Times New Roman" w:cs="Times New Roman"/>
          <w:color w:val="auto"/>
          <w:highlight w:val="none"/>
        </w:rPr>
      </w:pPr>
      <w:bookmarkStart w:id="141" w:name="_Toc417412345"/>
      <w:bookmarkStart w:id="142" w:name="_Toc407014560"/>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表5.5-1     水土保持措施实施进度表</w:t>
      </w:r>
    </w:p>
    <w:p>
      <w:pPr>
        <w:pStyle w:val="75"/>
        <w:rPr>
          <w:rFonts w:hint="default" w:ascii="Times New Roman" w:hAnsi="Times New Roman" w:cs="Times New Roman"/>
          <w:color w:val="auto"/>
          <w:highlight w:val="none"/>
        </w:rPr>
      </w:pPr>
    </w:p>
    <w:p>
      <w:pPr>
        <w:pStyle w:val="75"/>
        <w:jc w:val="center"/>
        <w:rPr>
          <w:rFonts w:hint="default" w:ascii="Times New Roman" w:hAnsi="Times New Roman" w:cs="Times New Roman"/>
          <w:color w:val="auto"/>
          <w:highlight w:val="none"/>
        </w:rPr>
      </w:pPr>
      <w:r>
        <w:drawing>
          <wp:inline distT="0" distB="0" distL="114300" distR="114300">
            <wp:extent cx="5702935" cy="5892800"/>
            <wp:effectExtent l="0" t="0" r="12065" b="12700"/>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45"/>
                    <a:stretch>
                      <a:fillRect/>
                    </a:stretch>
                  </pic:blipFill>
                  <pic:spPr>
                    <a:xfrm>
                      <a:off x="0" y="0"/>
                      <a:ext cx="5702935" cy="5892800"/>
                    </a:xfrm>
                    <a:prstGeom prst="rect">
                      <a:avLst/>
                    </a:prstGeom>
                    <a:noFill/>
                    <a:ln>
                      <a:noFill/>
                    </a:ln>
                  </pic:spPr>
                </pic:pic>
              </a:graphicData>
            </a:graphic>
          </wp:inline>
        </w:drawing>
      </w:r>
    </w:p>
    <w:p>
      <w:pPr>
        <w:pStyle w:val="75"/>
        <w:rPr>
          <w:rFonts w:hint="default" w:ascii="Times New Roman" w:hAnsi="Times New Roman" w:cs="Times New Roman"/>
          <w:color w:val="auto"/>
          <w:highlight w:val="none"/>
        </w:rPr>
      </w:pPr>
    </w:p>
    <w:p>
      <w:pPr>
        <w:ind w:firstLine="480"/>
        <w:rPr>
          <w:rFonts w:hint="default" w:ascii="Times New Roman" w:hAnsi="Times New Roman" w:cs="Times New Roman"/>
          <w:color w:val="auto"/>
          <w:highlight w:val="none"/>
        </w:rPr>
        <w:sectPr>
          <w:headerReference r:id="rId22"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26" w:charSpace="0"/>
        </w:sectPr>
      </w:pPr>
    </w:p>
    <w:p>
      <w:pPr>
        <w:pStyle w:val="65"/>
        <w:rPr>
          <w:rFonts w:hint="default" w:ascii="Times New Roman" w:hAnsi="Times New Roman" w:cs="Times New Roman"/>
          <w:color w:val="auto"/>
          <w:highlight w:val="none"/>
        </w:rPr>
      </w:pPr>
      <w:bookmarkStart w:id="143" w:name="_Toc23464"/>
      <w:r>
        <w:rPr>
          <w:rFonts w:hint="default" w:ascii="Times New Roman" w:hAnsi="Times New Roman" w:cs="Times New Roman"/>
          <w:color w:val="auto"/>
          <w:highlight w:val="none"/>
        </w:rPr>
        <w:t>6 水土保持监测</w:t>
      </w:r>
      <w:bookmarkEnd w:id="141"/>
      <w:bookmarkEnd w:id="142"/>
      <w:bookmarkEnd w:id="143"/>
    </w:p>
    <w:p>
      <w:pPr>
        <w:pStyle w:val="66"/>
        <w:ind w:firstLine="148"/>
        <w:rPr>
          <w:rFonts w:hint="default" w:ascii="Times New Roman" w:hAnsi="Times New Roman" w:cs="Times New Roman"/>
          <w:color w:val="auto"/>
          <w:highlight w:val="none"/>
        </w:rPr>
      </w:pPr>
      <w:bookmarkStart w:id="144" w:name="_Toc1716"/>
      <w:bookmarkStart w:id="145" w:name="_Toc7502830"/>
      <w:bookmarkStart w:id="146" w:name="_Toc38429365"/>
      <w:bookmarkStart w:id="147" w:name="_Toc407014562"/>
      <w:bookmarkStart w:id="148" w:name="_Toc417412347"/>
      <w:r>
        <w:rPr>
          <w:rFonts w:hint="default" w:ascii="Times New Roman" w:hAnsi="Times New Roman" w:cs="Times New Roman"/>
          <w:color w:val="auto"/>
          <w:highlight w:val="none"/>
        </w:rPr>
        <w:t>6.1 范围与时段</w:t>
      </w:r>
      <w:bookmarkEnd w:id="144"/>
      <w:bookmarkEnd w:id="145"/>
      <w:bookmarkEnd w:id="146"/>
    </w:p>
    <w:p>
      <w:pPr>
        <w:pStyle w:val="69"/>
        <w:rPr>
          <w:rFonts w:hint="default" w:ascii="Times New Roman" w:hAnsi="Times New Roman" w:cs="Times New Roman"/>
          <w:color w:val="auto"/>
          <w:highlight w:val="none"/>
        </w:rPr>
      </w:pPr>
      <w:bookmarkStart w:id="149" w:name="_Toc407014563"/>
      <w:bookmarkStart w:id="150" w:name="_Toc417412348"/>
      <w:r>
        <w:rPr>
          <w:rFonts w:hint="default" w:ascii="Times New Roman" w:hAnsi="Times New Roman" w:cs="Times New Roman"/>
          <w:color w:val="auto"/>
          <w:highlight w:val="none"/>
        </w:rPr>
        <w:t>6.1.1 监测范围</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根据开发建设项目监测有关技术规范，结合开发建设项目水土流失防治责任范围，分析确定项目水土保持监测范围及其分区。本项目水土保持监测范围主要为项目建设水土流失防治责任范围。</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根据项目防治责任范围、工程建设特点和现场勘察情况，以及水土流失防治分区结果，工程在水土保持地貌分区的基础上，水土保持监测分区划分为：光伏发电区、道路工程区、</w:t>
      </w:r>
      <w:r>
        <w:rPr>
          <w:rFonts w:hint="eastAsia" w:cs="Times New Roman"/>
          <w:color w:val="auto"/>
          <w:highlight w:val="none"/>
          <w:lang w:eastAsia="zh-CN"/>
        </w:rPr>
        <w:t>运行管理</w:t>
      </w:r>
      <w:r>
        <w:rPr>
          <w:rFonts w:hint="default" w:ascii="Times New Roman" w:hAnsi="Times New Roman" w:cs="Times New Roman"/>
          <w:color w:val="auto"/>
          <w:highlight w:val="none"/>
        </w:rPr>
        <w:t>区和</w:t>
      </w:r>
      <w:r>
        <w:rPr>
          <w:rFonts w:hint="eastAsia" w:cs="Times New Roman"/>
          <w:color w:val="auto"/>
          <w:highlight w:val="none"/>
          <w:lang w:eastAsia="zh-CN"/>
        </w:rPr>
        <w:t>施工生产生活区</w:t>
      </w:r>
      <w:r>
        <w:rPr>
          <w:rFonts w:hint="default" w:ascii="Times New Roman" w:hAnsi="Times New Roman" w:cs="Times New Roman"/>
          <w:color w:val="auto"/>
          <w:highlight w:val="none"/>
        </w:rPr>
        <w:t>共四个部分。</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6.1.2 监测时段</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本项目为建设类项目，根据《生产建设项目水土保持技术标准》、《生产建设项目水土保持监测与评价标准》（GB∕T 51240-2018）的要求，建设项目水土保持监测时段为施工准备期至方案设计水平年。本工程于20</w:t>
      </w:r>
      <w:r>
        <w:rPr>
          <w:rFonts w:hint="eastAsia" w:cs="Times New Roman"/>
          <w:color w:val="auto"/>
          <w:highlight w:val="none"/>
          <w:lang w:val="en-US" w:eastAsia="zh-CN"/>
        </w:rPr>
        <w:t>12</w:t>
      </w:r>
      <w:r>
        <w:rPr>
          <w:rFonts w:hint="default" w:ascii="Times New Roman" w:hAnsi="Times New Roman" w:cs="Times New Roman"/>
          <w:color w:val="auto"/>
          <w:highlight w:val="none"/>
        </w:rPr>
        <w:t>年</w:t>
      </w:r>
      <w:r>
        <w:rPr>
          <w:rFonts w:hint="eastAsia" w:cs="Times New Roman"/>
          <w:color w:val="auto"/>
          <w:highlight w:val="none"/>
          <w:lang w:val="en-US" w:eastAsia="zh-CN"/>
        </w:rPr>
        <w:t>12</w:t>
      </w:r>
      <w:r>
        <w:rPr>
          <w:rFonts w:hint="default" w:ascii="Times New Roman" w:hAnsi="Times New Roman" w:cs="Times New Roman"/>
          <w:color w:val="auto"/>
          <w:highlight w:val="none"/>
        </w:rPr>
        <w:t>月</w:t>
      </w:r>
      <w:r>
        <w:rPr>
          <w:rFonts w:hint="eastAsia" w:cs="Times New Roman"/>
          <w:color w:val="auto"/>
          <w:highlight w:val="none"/>
          <w:lang w:val="en-US" w:eastAsia="zh-CN"/>
        </w:rPr>
        <w:t>1日</w:t>
      </w:r>
      <w:r>
        <w:rPr>
          <w:rFonts w:hint="default" w:ascii="Times New Roman" w:hAnsi="Times New Roman" w:cs="Times New Roman"/>
          <w:color w:val="auto"/>
          <w:highlight w:val="none"/>
        </w:rPr>
        <w:t>开工，于20</w:t>
      </w:r>
      <w:r>
        <w:rPr>
          <w:rFonts w:hint="eastAsia" w:cs="Times New Roman"/>
          <w:color w:val="auto"/>
          <w:highlight w:val="none"/>
          <w:lang w:val="en-US" w:eastAsia="zh-CN"/>
        </w:rPr>
        <w:t>13</w:t>
      </w:r>
      <w:r>
        <w:rPr>
          <w:rFonts w:hint="default" w:ascii="Times New Roman" w:hAnsi="Times New Roman" w:cs="Times New Roman"/>
          <w:color w:val="auto"/>
          <w:highlight w:val="none"/>
        </w:rPr>
        <w:t>年1</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月</w:t>
      </w:r>
      <w:r>
        <w:rPr>
          <w:rFonts w:hint="eastAsia" w:cs="Times New Roman"/>
          <w:color w:val="auto"/>
          <w:highlight w:val="none"/>
          <w:lang w:val="en-US" w:eastAsia="zh-CN"/>
        </w:rPr>
        <w:t>10日</w:t>
      </w:r>
      <w:r>
        <w:rPr>
          <w:rFonts w:hint="default" w:ascii="Times New Roman" w:hAnsi="Times New Roman" w:cs="Times New Roman"/>
          <w:color w:val="auto"/>
          <w:highlight w:val="none"/>
        </w:rPr>
        <w:t>完工，项目水土保持监测时段为20</w:t>
      </w:r>
      <w:r>
        <w:rPr>
          <w:rFonts w:hint="eastAsia" w:cs="Times New Roman"/>
          <w:color w:val="auto"/>
          <w:highlight w:val="none"/>
          <w:lang w:val="en-US" w:eastAsia="zh-CN"/>
        </w:rPr>
        <w:t>12</w:t>
      </w:r>
      <w:r>
        <w:rPr>
          <w:rFonts w:hint="default" w:ascii="Times New Roman" w:hAnsi="Times New Roman" w:cs="Times New Roman"/>
          <w:color w:val="auto"/>
          <w:highlight w:val="none"/>
        </w:rPr>
        <w:t>年</w:t>
      </w:r>
      <w:r>
        <w:rPr>
          <w:rFonts w:hint="eastAsia" w:cs="Times New Roman"/>
          <w:color w:val="auto"/>
          <w:highlight w:val="none"/>
          <w:lang w:val="en-US" w:eastAsia="zh-CN"/>
        </w:rPr>
        <w:t>12</w:t>
      </w:r>
      <w:r>
        <w:rPr>
          <w:rFonts w:hint="default" w:ascii="Times New Roman" w:hAnsi="Times New Roman" w:cs="Times New Roman"/>
          <w:color w:val="auto"/>
          <w:highlight w:val="none"/>
        </w:rPr>
        <w:t>月至20</w:t>
      </w:r>
      <w:r>
        <w:rPr>
          <w:rFonts w:hint="eastAsia" w:cs="Times New Roman"/>
          <w:color w:val="auto"/>
          <w:highlight w:val="none"/>
          <w:lang w:val="en-US" w:eastAsia="zh-CN"/>
        </w:rPr>
        <w:t>13</w:t>
      </w:r>
      <w:r>
        <w:rPr>
          <w:rFonts w:hint="default" w:ascii="Times New Roman" w:hAnsi="Times New Roman" w:cs="Times New Roman"/>
          <w:color w:val="auto"/>
          <w:highlight w:val="none"/>
        </w:rPr>
        <w:t>年</w:t>
      </w:r>
      <w:r>
        <w:rPr>
          <w:rFonts w:hint="eastAsia" w:cs="Times New Roman"/>
          <w:color w:val="auto"/>
          <w:highlight w:val="none"/>
          <w:lang w:val="en-US" w:eastAsia="zh-CN"/>
        </w:rPr>
        <w:t>12月底</w:t>
      </w:r>
      <w:r>
        <w:rPr>
          <w:rFonts w:hint="default" w:ascii="Times New Roman" w:hAnsi="Times New Roman" w:cs="Times New Roman"/>
          <w:color w:val="auto"/>
          <w:highlight w:val="none"/>
        </w:rPr>
        <w:t>（设计水平年末），后期运行期间的监测由监测单位自行开展。在监测过程中采用调查监测及遥感监测相结合的方法进行监测。</w:t>
      </w:r>
    </w:p>
    <w:p>
      <w:pPr>
        <w:pStyle w:val="66"/>
        <w:ind w:firstLine="148"/>
        <w:rPr>
          <w:rFonts w:hint="default" w:ascii="Times New Roman" w:hAnsi="Times New Roman" w:cs="Times New Roman"/>
          <w:color w:val="auto"/>
          <w:highlight w:val="none"/>
        </w:rPr>
      </w:pPr>
      <w:bookmarkStart w:id="151" w:name="_Toc15992"/>
      <w:bookmarkStart w:id="152" w:name="_Toc7502831"/>
      <w:bookmarkStart w:id="153" w:name="_Toc38429366"/>
      <w:r>
        <w:rPr>
          <w:rFonts w:hint="default" w:ascii="Times New Roman" w:hAnsi="Times New Roman" w:cs="Times New Roman"/>
          <w:color w:val="auto"/>
          <w:highlight w:val="none"/>
        </w:rPr>
        <w:t xml:space="preserve">6.2 </w:t>
      </w:r>
      <w:bookmarkEnd w:id="149"/>
      <w:bookmarkEnd w:id="150"/>
      <w:r>
        <w:rPr>
          <w:rFonts w:hint="default" w:ascii="Times New Roman" w:hAnsi="Times New Roman" w:cs="Times New Roman"/>
          <w:color w:val="auto"/>
          <w:highlight w:val="none"/>
        </w:rPr>
        <w:t>内容与方法</w:t>
      </w:r>
      <w:bookmarkEnd w:id="151"/>
      <w:bookmarkEnd w:id="152"/>
      <w:bookmarkEnd w:id="153"/>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6.2.1 监测内容</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监测的主要内容包括：工程建设扰动土地面积、水土流失量及造成的危害、水土保持工程建设情况、水土流失防治效果以及水土保持管理等方面的情况。监测的重点包括：水土保持方案落实情况，扰动土地及植被破坏情况，水土保持措施（含临时防护措施）的实施状况，水土保持责任制度落实情况等。</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（1）工程建设扰动土地面积</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包括地形、地貌的变化情况，建设项目占地和扰动地表面积，挖填</w:t>
      </w:r>
      <w:r>
        <w:rPr>
          <w:rFonts w:hint="eastAsia" w:cs="Times New Roman"/>
          <w:color w:val="auto"/>
          <w:highlight w:val="none"/>
          <w:lang w:eastAsia="zh-CN"/>
        </w:rPr>
        <w:t>方</w:t>
      </w:r>
      <w:r>
        <w:rPr>
          <w:rFonts w:hint="default" w:ascii="Times New Roman" w:hAnsi="Times New Roman" w:cs="Times New Roman"/>
          <w:color w:val="auto"/>
          <w:highlight w:val="none"/>
        </w:rPr>
        <w:t>数量及面积，临时堆土量及堆放面积等。</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（2）水土流失量及造成的危害</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包括水土流失面积、水土流失程度及其对周边地区造成的危害与趋势。</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（3）水土保持工程建设情况</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包括各类措施的数量和质量，工程措施的稳定性、完好程度和运行情况。</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（4）水土流失防治效果</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包括各类防治措施的数量和质量，林草成活率、保存率，生长情况及覆盖率，工程措施的稳定性、完好程度和试运行情况，以及各类防护措施的拦渣保土效果。</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水土保持监测的指导意见</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根据预测结果，工程建设期监测的重点地段为</w:t>
      </w:r>
      <w:r>
        <w:rPr>
          <w:rFonts w:hint="default" w:ascii="Times New Roman" w:hAnsi="Times New Roman" w:cs="Times New Roman"/>
          <w:color w:val="auto"/>
          <w:highlight w:val="none"/>
          <w:lang w:eastAsia="zh-CN"/>
        </w:rPr>
        <w:t>光伏发电区</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道路工程</w:t>
      </w:r>
      <w:r>
        <w:rPr>
          <w:rFonts w:hint="default" w:ascii="Times New Roman" w:hAnsi="Times New Roman" w:cs="Times New Roman"/>
          <w:color w:val="auto"/>
          <w:highlight w:val="none"/>
        </w:rPr>
        <w:t>区、</w:t>
      </w:r>
      <w:r>
        <w:rPr>
          <w:rFonts w:hint="eastAsia" w:cs="Times New Roman"/>
          <w:color w:val="auto"/>
          <w:highlight w:val="none"/>
          <w:lang w:eastAsia="zh-CN"/>
        </w:rPr>
        <w:t>运行管理区</w:t>
      </w:r>
      <w:r>
        <w:rPr>
          <w:rFonts w:hint="default" w:ascii="Times New Roman" w:hAnsi="Times New Roman" w:cs="Times New Roman"/>
          <w:color w:val="auto"/>
          <w:highlight w:val="none"/>
          <w:lang w:eastAsia="zh-CN"/>
        </w:rPr>
        <w:t>及</w:t>
      </w:r>
      <w:r>
        <w:rPr>
          <w:rFonts w:hint="eastAsia" w:cs="Times New Roman"/>
          <w:color w:val="auto"/>
          <w:highlight w:val="none"/>
          <w:lang w:eastAsia="zh-CN"/>
        </w:rPr>
        <w:t>施工生产生活区</w:t>
      </w:r>
      <w:r>
        <w:rPr>
          <w:rFonts w:hint="default" w:ascii="Times New Roman" w:hAnsi="Times New Roman" w:cs="Times New Roman"/>
          <w:color w:val="auto"/>
          <w:highlight w:val="none"/>
        </w:rPr>
        <w:t>。主要监测内容包括临时堆土土体的变化、开挖边坡情况以及各施工区域的水土流失量和植被等因子的变化情况。</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6.2.2 监测方法</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根据《水土保持生态环境监测网络管理办法》、《生产建设项目水土保持监测与评价标准》（GB∕T 51240-2018）及水利部办公厅关于进一步加强生产建设项目水土保持监测工作的通知（办水保〔2020〕161号）的规定，结合本工程的实际情况确定监测方法，采用调查监测以及遥感监测相结合的方法。</w:t>
      </w:r>
      <w:r>
        <w:rPr>
          <w:rFonts w:hint="eastAsia" w:ascii="仿宋" w:hAnsi="仿宋" w:eastAsia="仿宋" w:cs="仿宋"/>
          <w:b w:val="0"/>
          <w:bCs/>
          <w:color w:val="auto"/>
          <w:sz w:val="24"/>
          <w:szCs w:val="24"/>
          <w:highlight w:val="none"/>
          <w:lang w:val="en-US" w:eastAsia="zh-CN"/>
        </w:rPr>
        <w:t>施工准备期和施工早期采用早期的遥感监测，后期监测时段采取</w:t>
      </w:r>
      <w:r>
        <w:rPr>
          <w:rFonts w:hint="default" w:ascii="Times New Roman" w:hAnsi="Times New Roman" w:cs="Times New Roman"/>
          <w:color w:val="auto"/>
          <w:highlight w:val="none"/>
        </w:rPr>
        <w:t>调查监测以及遥感监测相结合的方法。</w:t>
      </w:r>
    </w:p>
    <w:p>
      <w:pPr>
        <w:pStyle w:val="56"/>
        <w:ind w:firstLine="480"/>
        <w:rPr>
          <w:rFonts w:hint="eastAsia"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实施监测程序分为前期准备、监测实施及监测成果分析评价3个阶段。</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1</w:t>
      </w:r>
      <w:r>
        <w:rPr>
          <w:rFonts w:hint="default" w:ascii="Times New Roman" w:hAnsi="Times New Roman" w:cs="Times New Roman"/>
          <w:color w:val="auto"/>
          <w:highlight w:val="none"/>
        </w:rPr>
        <w:t>）调查监测</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1）地形、地貌植被的扰动面积及扰动强度的变化，采用实地量测、线路调查、地形测量等方法，应用对地形和植被的变化进行监测。</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2）场地占用土地面积和扰动地表面积采用查阅设计文件资料，沿扰动边际进行测量，结合实地情况调查，地形测量分析，进行对比核实，计算场地占用土地面积和扰动地表面积。</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3）项目挖方、填方数量，弃渣数量及堆放面积</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采用查阅设计文件资料，结合实地情况调查，地形测量分析，进行对比核实，计算项目区挖方、填方数量，各个施工阶段所产生的弃土、弃石、弃渣数量及堆放面积。</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4）水土保持措施的实施面积、数量和质量</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采用抽样调查的方式，通过实地调查核实。对于工程措施，主要调查其稳定性、完好程度、质量和运行状况，按照《生产建设项目水土保持监测与评价标准》（GB∕T 51240-2018）中规定的方法进行调查；植物措施主要调查林草的成活率、保存率、生长发育情况及其植物覆盖度的变化。</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5）水土流失防治效果，监测主要通过实地调查和核算的方法进行。</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6）水土保持措施的保土效益，拦渣效益通过量测实际拦渣量进行计算。</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2</w:t>
      </w:r>
      <w:r>
        <w:rPr>
          <w:rFonts w:hint="default" w:ascii="Times New Roman" w:hAnsi="Times New Roman" w:cs="Times New Roman"/>
          <w:color w:val="auto"/>
          <w:highlight w:val="none"/>
        </w:rPr>
        <w:t>）遥感监测</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属于点型工程，但征占地面积较大，施工作业面比较分散，获取水土流失数据的难度大，时间长。因此，监测区域的土壤侵蚀背景数据及施工前后扰动、治理效果等，主要通过遥感监测方法与典型调查方法相结合的途径获得。以遥感影像为数据源，按照《生产建设项目水土保持监测与评价标准》（GB∕T 51240-2018）要求，对监测区域进行外业调查，建立遥感解译标志，通过解译，获得监测区域在施工前后各种土地利用类型、土壤侵蚀类型和侵蚀强度的分布、面积和空间特征数据。采用人机交互式解译法进行监测。首先，结合全线野外调查，在重点监测地段建立解译标志；其次，在GIS软件支持下，由参加野外考察、经验丰富的土壤侵蚀和遥感专业人员应用目视解译原理，在GIS平台，提取信息，评判水土保持设施状况及其防治效果。同时，采用对比监测法，分析重点地段施工前后土地利用、土壤侵蚀、水土保持措施及其防治效果等指标。</w:t>
      </w:r>
    </w:p>
    <w:p>
      <w:pPr>
        <w:widowControl/>
        <w:adjustRightInd/>
        <w:snapToGrid/>
        <w:spacing w:line="240" w:lineRule="auto"/>
        <w:ind w:firstLine="0" w:firstLineChars="0"/>
        <w:rPr>
          <w:rStyle w:val="78"/>
          <w:rFonts w:hint="default" w:ascii="Times New Roman" w:hAnsi="Times New Roman" w:cs="Times New Roman"/>
          <w:color w:val="auto"/>
          <w:highlight w:val="none"/>
        </w:rPr>
      </w:pPr>
      <w:r>
        <w:rPr>
          <w:rFonts w:hint="default" w:ascii="Times New Roman" w:hAnsi="Times New Roman" w:cs="Times New Roman"/>
          <w:color w:val="auto"/>
          <w:kern w:val="0"/>
          <w:szCs w:val="24"/>
          <w:highlight w:val="none"/>
        </w:rPr>
        <w:drawing>
          <wp:inline distT="0" distB="0" distL="0" distR="0">
            <wp:extent cx="5657850" cy="4107180"/>
            <wp:effectExtent l="19050" t="0" r="0" b="0"/>
            <wp:docPr id="6" name="图片 44" descr="D:\QQ\新建文件夹 (2)\3053710533\Image\C2C\IZ1V)_T3EBL$%GT7PK$A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4" descr="D:\QQ\新建文件夹 (2)\3053710533\Image\C2C\IZ1V)_T3EBL$%GT7PK$A174.jpg"/>
                    <pic:cNvPicPr>
                      <a:picLocks noChangeAspect="1" noChangeArrowheads="1"/>
                    </pic:cNvPicPr>
                  </pic:nvPicPr>
                  <pic:blipFill>
                    <a:blip r:embed="rId46" cstate="print"/>
                    <a:srcRect/>
                    <a:stretch>
                      <a:fillRect/>
                    </a:stretch>
                  </pic:blipFill>
                  <pic:spPr>
                    <a:xfrm>
                      <a:off x="0" y="0"/>
                      <a:ext cx="5657850" cy="4107180"/>
                    </a:xfrm>
                    <a:prstGeom prst="rect">
                      <a:avLst/>
                    </a:prstGeom>
                    <a:noFill/>
                    <a:ln w="9525">
                      <a:noFill/>
                      <a:miter lim="800000"/>
                      <a:headEnd/>
                      <a:tailEnd/>
                    </a:ln>
                  </pic:spPr>
                </pic:pic>
              </a:graphicData>
            </a:graphic>
          </wp:inline>
        </w:drawing>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图6.2-</w:t>
      </w:r>
      <w:r>
        <w:rPr>
          <w:rFonts w:hint="eastAsia" w:cs="Times New Roman"/>
          <w:color w:val="auto"/>
          <w:highlight w:val="none"/>
          <w:lang w:val="en-US" w:eastAsia="zh-CN"/>
        </w:rPr>
        <w:t>4</w:t>
      </w:r>
      <w:r>
        <w:rPr>
          <w:rFonts w:hint="default" w:ascii="Times New Roman" w:hAnsi="Times New Roman" w:cs="Times New Roman"/>
          <w:color w:val="auto"/>
          <w:highlight w:val="none"/>
        </w:rPr>
        <w:t xml:space="preserve">     遥感监测工作流程图</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针对本项目为点型项目的特点，方案采取遥感手段实时监测扰动地表面积和水土保持措施实施情况，影像选用ALOS多光谱数据，优点为价格便宜、空间分辨率较高，多光谱数据的空间分辨率为10m，价格为2790元/景，1景大小为35km×35km，重复周期46天，重访周期为2天，同时</w:t>
      </w:r>
      <w:r>
        <w:rPr>
          <w:rFonts w:hint="default" w:ascii="Times New Roman" w:hAnsi="Times New Roman" w:cs="Times New Roman"/>
          <w:color w:val="auto"/>
          <w:highlight w:val="none"/>
          <w:lang w:eastAsia="zh-CN"/>
        </w:rPr>
        <w:t>本项目</w:t>
      </w:r>
      <w:r>
        <w:rPr>
          <w:rFonts w:hint="eastAsia" w:cs="Times New Roman"/>
          <w:color w:val="auto"/>
          <w:highlight w:val="none"/>
          <w:lang w:eastAsia="zh-CN"/>
        </w:rPr>
        <w:t>于</w:t>
      </w:r>
      <w:r>
        <w:rPr>
          <w:rFonts w:hint="eastAsia" w:cs="Times New Roman"/>
          <w:color w:val="auto"/>
          <w:highlight w:val="none"/>
          <w:lang w:val="en-US" w:eastAsia="zh-CN"/>
        </w:rPr>
        <w:t>2013年3月1日进场施工，遥感监测从进场施工前开始，</w:t>
      </w:r>
      <w:r>
        <w:rPr>
          <w:rFonts w:hint="default" w:ascii="Times New Roman" w:hAnsi="Times New Roman" w:cs="Times New Roman"/>
          <w:color w:val="auto"/>
          <w:highlight w:val="none"/>
        </w:rPr>
        <w:t>截止完工共需要</w:t>
      </w:r>
      <w:r>
        <w:rPr>
          <w:rFonts w:hint="eastAsia" w:cs="Times New Roman"/>
          <w:color w:val="auto"/>
          <w:highlight w:val="none"/>
          <w:lang w:val="en-US" w:eastAsia="zh-CN"/>
        </w:rPr>
        <w:t>6</w:t>
      </w:r>
      <w:r>
        <w:rPr>
          <w:rFonts w:hint="default" w:ascii="Times New Roman" w:hAnsi="Times New Roman" w:cs="Times New Roman"/>
          <w:color w:val="auto"/>
          <w:highlight w:val="none"/>
        </w:rPr>
        <w:t>期，</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期购买1景即可满足，共需要</w:t>
      </w:r>
      <w:r>
        <w:rPr>
          <w:rFonts w:hint="eastAsia" w:cs="Times New Roman"/>
          <w:color w:val="auto"/>
          <w:highlight w:val="none"/>
          <w:lang w:val="en-US" w:eastAsia="zh-CN"/>
        </w:rPr>
        <w:t>6</w:t>
      </w:r>
      <w:r>
        <w:rPr>
          <w:rFonts w:hint="default" w:ascii="Times New Roman" w:hAnsi="Times New Roman" w:cs="Times New Roman"/>
          <w:color w:val="auto"/>
          <w:highlight w:val="none"/>
        </w:rPr>
        <w:t>景。</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6.2.3 监测频次</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根据《生产建设项目水土保持技术标准》（GB50433-2018）、《生产建设项目水土保持监测与评价标准》（GB∕T 51240-2018）和水利部办公厅关于进一步加强生产建设项目水土保持监测工作的通知（办水保〔2020〕161号）的要求，应对项目建设区各监测点控制区进行一次全面调查，摸清项目建设区域内影响水土流失因子的基本情况和水土流失背景状况，以建立本项目水土保持监测的底数据库。</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降雨和风力等气象资料通过监测范围内或附近类似的气象站、水文站收集，或同级每月降水量、平均风速和风向；日降水量超过25mm或1小时降水量超过8mm的降水应统计降水量和历时，风力大于5m/s应统计风速、风向以及出现的次数或频率。地形地貌整个监测期应监测1次。地表组成物质在施工准备期及试运行期各监测1次。扰动地表情况每月监测1次。施工期间正在使用的临时堆渣场的堆渣量，正在实施的水土保持措施建设情况至少每10天监测1次。</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水土流失类型及形式应在采取综合分析向相关资料的基础上，实地调查确定，每年不少于1次；水土流失面积采用普查法，每季度不少于1次。土壤侵蚀强度在施工准备期前和监测期末各1次，同时施工期每年不应少于1次。风力侵蚀强度监测应每月统计1次。水土流失危害事件发生后1周内应完成监测工作。</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措施的数量、分布和运行状况应在查阅工程设计、监理、施工等资料的基础上，结合湿地踏勘监测与全面巡查确定。重点区域应每月监测1次，措施实施情况应每季度统计1次。水土保持措施对主体工程安全建设和运行发挥的作用应以巡查为主，每年汛期前后及大风、暴雨后进行调查。</w:t>
      </w:r>
    </w:p>
    <w:p>
      <w:pPr>
        <w:pStyle w:val="66"/>
        <w:ind w:firstLine="148"/>
        <w:rPr>
          <w:rFonts w:hint="default" w:ascii="Times New Roman" w:hAnsi="Times New Roman" w:cs="Times New Roman"/>
          <w:color w:val="auto"/>
          <w:highlight w:val="none"/>
        </w:rPr>
      </w:pPr>
      <w:bookmarkStart w:id="154" w:name="_Toc38429367"/>
      <w:bookmarkStart w:id="155" w:name="_Toc7502832"/>
      <w:bookmarkStart w:id="156" w:name="_Toc5216"/>
      <w:r>
        <w:rPr>
          <w:rFonts w:hint="default" w:ascii="Times New Roman" w:hAnsi="Times New Roman" w:cs="Times New Roman"/>
          <w:color w:val="auto"/>
          <w:highlight w:val="none"/>
        </w:rPr>
        <w:t>6.3 点位布设</w:t>
      </w:r>
      <w:bookmarkEnd w:id="154"/>
      <w:bookmarkEnd w:id="155"/>
      <w:bookmarkEnd w:id="156"/>
    </w:p>
    <w:p>
      <w:pPr>
        <w:pStyle w:val="56"/>
        <w:ind w:firstLine="480"/>
        <w:rPr>
          <w:rFonts w:hint="default" w:ascii="Times New Roman" w:hAnsi="Times New Roman" w:cs="Times New Roman"/>
          <w:color w:val="auto"/>
          <w:highlight w:val="none"/>
        </w:rPr>
      </w:pPr>
      <w:bookmarkStart w:id="157" w:name="_Toc417412351"/>
      <w:bookmarkStart w:id="158" w:name="_Toc401879024"/>
      <w:r>
        <w:rPr>
          <w:rFonts w:hint="default" w:ascii="Times New Roman" w:hAnsi="Times New Roman" w:cs="Times New Roman"/>
          <w:color w:val="auto"/>
          <w:highlight w:val="none"/>
        </w:rPr>
        <w:t>根据《生产建设项目水土保持技术标准》（GB50433-2018）、《生产建设项目水土保持监测与评价标准》（GB∕T 51240-2018）中监测点布设原则和选址要求，在实地踏勘的基础上，针对项目区工程特点、施工布置、水土流失的特点和水土保持措施的布局特征，并考虑观测与管理的方便性。将本项目水土保持监测分为光伏发电区、道路工程区、</w:t>
      </w:r>
      <w:r>
        <w:rPr>
          <w:rFonts w:hint="eastAsia" w:cs="Times New Roman"/>
          <w:color w:val="auto"/>
          <w:highlight w:val="none"/>
          <w:lang w:eastAsia="zh-CN"/>
        </w:rPr>
        <w:t>运行管理</w:t>
      </w:r>
      <w:r>
        <w:rPr>
          <w:rFonts w:hint="default" w:ascii="Times New Roman" w:hAnsi="Times New Roman" w:cs="Times New Roman"/>
          <w:color w:val="auto"/>
          <w:highlight w:val="none"/>
        </w:rPr>
        <w:t>区和</w:t>
      </w:r>
      <w:r>
        <w:rPr>
          <w:rFonts w:hint="eastAsia" w:cs="Times New Roman"/>
          <w:color w:val="auto"/>
          <w:highlight w:val="none"/>
          <w:lang w:eastAsia="zh-CN"/>
        </w:rPr>
        <w:t>施工生产生活区</w:t>
      </w:r>
      <w:r>
        <w:rPr>
          <w:rFonts w:hint="default" w:ascii="Times New Roman" w:hAnsi="Times New Roman" w:cs="Times New Roman"/>
          <w:color w:val="auto"/>
          <w:highlight w:val="none"/>
        </w:rPr>
        <w:t>共四个部分。监测点按照一个一级分区以及水土流失预测中重点流失区域分区域分段布设原则，共布设4个调查监测点位。监测点详见表6.3-1及水土保持监测点位图。</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表6.3-1       </w:t>
      </w:r>
      <w:bookmarkStart w:id="159" w:name="OLE_LINK3"/>
      <w:r>
        <w:rPr>
          <w:rFonts w:hint="default" w:ascii="Times New Roman" w:hAnsi="Times New Roman" w:cs="Times New Roman"/>
          <w:color w:val="auto"/>
          <w:highlight w:val="none"/>
        </w:rPr>
        <w:t>水土保持监测点特性表</w:t>
      </w:r>
    </w:p>
    <w:tbl>
      <w:tblPr>
        <w:tblStyle w:val="27"/>
        <w:tblW w:w="90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38"/>
        <w:gridCol w:w="1538"/>
        <w:gridCol w:w="3649"/>
        <w:gridCol w:w="23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rPr>
        <w:tc>
          <w:tcPr>
            <w:tcW w:w="3076" w:type="dxa"/>
            <w:gridSpan w:val="2"/>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监测分区</w:t>
            </w:r>
          </w:p>
        </w:tc>
        <w:tc>
          <w:tcPr>
            <w:tcW w:w="3649"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监测点位置</w:t>
            </w:r>
          </w:p>
        </w:tc>
        <w:tc>
          <w:tcPr>
            <w:tcW w:w="2335"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监测方法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rPr>
        <w:tc>
          <w:tcPr>
            <w:tcW w:w="3076" w:type="dxa"/>
            <w:gridSpan w:val="2"/>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光伏发电区</w:t>
            </w:r>
          </w:p>
          <w:p>
            <w:pPr>
              <w:pStyle w:val="84"/>
              <w:rPr>
                <w:rFonts w:hint="default" w:ascii="Times New Roman" w:hAnsi="Times New Roman" w:cs="Times New Roman"/>
                <w:color w:val="auto"/>
                <w:highlight w:val="none"/>
              </w:rPr>
            </w:pPr>
          </w:p>
        </w:tc>
        <w:tc>
          <w:tcPr>
            <w:tcW w:w="3649" w:type="dxa"/>
            <w:shd w:val="clear" w:color="auto" w:fill="auto"/>
            <w:vAlign w:val="center"/>
          </w:tcPr>
          <w:p>
            <w:pPr>
              <w:widowControl/>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default" w:ascii="Times New Roman" w:hAnsi="Times New Roman" w:eastAsia="仿宋_GB2312" w:cs="Times New Roman"/>
                <w:color w:val="auto"/>
                <w:spacing w:val="-2"/>
                <w:kern w:val="0"/>
                <w:sz w:val="21"/>
                <w:szCs w:val="21"/>
                <w:highlight w:val="none"/>
              </w:rPr>
              <w:t>项目区西南区光伏阵列建设区</w:t>
            </w:r>
          </w:p>
        </w:tc>
        <w:tc>
          <w:tcPr>
            <w:tcW w:w="2335" w:type="dxa"/>
            <w:shd w:val="clear" w:color="auto" w:fill="auto"/>
            <w:vAlign w:val="center"/>
          </w:tcPr>
          <w:p>
            <w:pPr>
              <w:widowControl/>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default" w:ascii="Times New Roman" w:hAnsi="Times New Roman" w:eastAsia="仿宋_GB2312" w:cs="Times New Roman"/>
                <w:color w:val="auto"/>
                <w:spacing w:val="-2"/>
                <w:kern w:val="0"/>
                <w:sz w:val="21"/>
                <w:szCs w:val="21"/>
                <w:highlight w:val="none"/>
              </w:rPr>
              <w:t>调查巡查法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rPr>
        <w:tc>
          <w:tcPr>
            <w:tcW w:w="1538" w:type="dxa"/>
            <w:vAlign w:val="center"/>
          </w:tcPr>
          <w:p>
            <w:pPr>
              <w:pStyle w:val="84"/>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道路工程区</w:t>
            </w:r>
          </w:p>
        </w:tc>
        <w:tc>
          <w:tcPr>
            <w:tcW w:w="1538" w:type="dxa"/>
            <w:vAlign w:val="center"/>
          </w:tcPr>
          <w:p>
            <w:pPr>
              <w:pStyle w:val="84"/>
              <w:ind w:firstLine="0" w:firstLineChars="0"/>
              <w:jc w:val="center"/>
              <w:rPr>
                <w:rFonts w:hint="default" w:ascii="Times New Roman" w:hAnsi="Times New Roman" w:cs="Times New Roman"/>
                <w:color w:val="auto"/>
                <w:highlight w:val="none"/>
              </w:rPr>
            </w:pPr>
            <w:r>
              <w:rPr>
                <w:rFonts w:hint="eastAsia" w:cs="Times New Roman"/>
                <w:color w:val="auto"/>
                <w:highlight w:val="none"/>
                <w:lang w:eastAsia="zh-CN"/>
              </w:rPr>
              <w:t>场内</w:t>
            </w:r>
            <w:r>
              <w:rPr>
                <w:rFonts w:hint="default" w:ascii="Times New Roman" w:hAnsi="Times New Roman" w:cs="Times New Roman"/>
                <w:color w:val="auto"/>
                <w:highlight w:val="none"/>
              </w:rPr>
              <w:t>道路</w:t>
            </w:r>
          </w:p>
        </w:tc>
        <w:tc>
          <w:tcPr>
            <w:tcW w:w="3649" w:type="dxa"/>
            <w:shd w:val="clear" w:color="auto" w:fill="auto"/>
            <w:vAlign w:val="center"/>
          </w:tcPr>
          <w:p>
            <w:pPr>
              <w:widowControl/>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default" w:ascii="Times New Roman" w:hAnsi="Times New Roman" w:eastAsia="仿宋_GB2312" w:cs="Times New Roman"/>
                <w:color w:val="auto"/>
                <w:spacing w:val="-2"/>
                <w:kern w:val="0"/>
                <w:sz w:val="21"/>
                <w:szCs w:val="21"/>
                <w:highlight w:val="none"/>
              </w:rPr>
              <w:t>项目区北侧场内道路建设区域</w:t>
            </w:r>
          </w:p>
        </w:tc>
        <w:tc>
          <w:tcPr>
            <w:tcW w:w="2335" w:type="dxa"/>
            <w:shd w:val="clear" w:color="auto" w:fill="auto"/>
            <w:vAlign w:val="center"/>
          </w:tcPr>
          <w:p>
            <w:pPr>
              <w:widowControl/>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default" w:ascii="Times New Roman" w:hAnsi="Times New Roman" w:eastAsia="仿宋_GB2312" w:cs="Times New Roman"/>
                <w:color w:val="auto"/>
                <w:spacing w:val="-2"/>
                <w:kern w:val="0"/>
                <w:sz w:val="21"/>
                <w:szCs w:val="21"/>
                <w:highlight w:val="none"/>
              </w:rPr>
              <w:t>调查巡查法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rPr>
        <w:tc>
          <w:tcPr>
            <w:tcW w:w="3076" w:type="dxa"/>
            <w:gridSpan w:val="2"/>
            <w:shd w:val="clear" w:color="auto" w:fill="auto"/>
            <w:vAlign w:val="center"/>
          </w:tcPr>
          <w:p>
            <w:pPr>
              <w:pStyle w:val="84"/>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运行管理区</w:t>
            </w:r>
          </w:p>
        </w:tc>
        <w:tc>
          <w:tcPr>
            <w:tcW w:w="3649" w:type="dxa"/>
            <w:shd w:val="clear" w:color="auto" w:fill="auto"/>
            <w:vAlign w:val="center"/>
          </w:tcPr>
          <w:p>
            <w:pPr>
              <w:widowControl/>
              <w:ind w:firstLine="0" w:firstLineChars="0"/>
              <w:jc w:val="center"/>
              <w:textAlignment w:val="center"/>
              <w:rPr>
                <w:rFonts w:hint="eastAsia" w:ascii="Times New Roman" w:hAnsi="Times New Roman" w:eastAsia="仿宋_GB2312" w:cs="Times New Roman"/>
                <w:color w:val="auto"/>
                <w:spacing w:val="-2"/>
                <w:kern w:val="0"/>
                <w:sz w:val="21"/>
                <w:szCs w:val="21"/>
                <w:highlight w:val="none"/>
                <w:lang w:eastAsia="zh-CN"/>
              </w:rPr>
            </w:pPr>
            <w:r>
              <w:rPr>
                <w:rFonts w:hint="eastAsia" w:eastAsia="仿宋_GB2312" w:cs="Times New Roman"/>
                <w:color w:val="auto"/>
                <w:spacing w:val="-2"/>
                <w:kern w:val="0"/>
                <w:sz w:val="21"/>
                <w:szCs w:val="21"/>
                <w:highlight w:val="none"/>
                <w:lang w:eastAsia="zh-CN"/>
              </w:rPr>
              <w:t>生产楼后未硬化区域</w:t>
            </w:r>
          </w:p>
        </w:tc>
        <w:tc>
          <w:tcPr>
            <w:tcW w:w="2335" w:type="dxa"/>
            <w:shd w:val="clear" w:color="auto" w:fill="auto"/>
            <w:vAlign w:val="center"/>
          </w:tcPr>
          <w:p>
            <w:pPr>
              <w:widowControl/>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default" w:ascii="Times New Roman" w:hAnsi="Times New Roman" w:eastAsia="仿宋_GB2312" w:cs="Times New Roman"/>
                <w:color w:val="auto"/>
                <w:spacing w:val="-2"/>
                <w:kern w:val="0"/>
                <w:sz w:val="21"/>
                <w:szCs w:val="21"/>
                <w:highlight w:val="none"/>
              </w:rPr>
              <w:t>调查巡查法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rPr>
        <w:tc>
          <w:tcPr>
            <w:tcW w:w="3076" w:type="dxa"/>
            <w:gridSpan w:val="2"/>
            <w:shd w:val="clear" w:color="auto" w:fill="auto"/>
            <w:vAlign w:val="center"/>
          </w:tcPr>
          <w:p>
            <w:pPr>
              <w:pStyle w:val="84"/>
              <w:rPr>
                <w:rFonts w:hint="default" w:ascii="Times New Roman" w:hAnsi="Times New Roman" w:eastAsia="仿宋_GB2312" w:cs="Times New Roman"/>
                <w:color w:val="auto"/>
                <w:highlight w:val="none"/>
                <w:lang w:eastAsia="zh-CN"/>
              </w:rPr>
            </w:pPr>
            <w:r>
              <w:rPr>
                <w:rFonts w:hint="eastAsia" w:cs="Times New Roman"/>
                <w:color w:val="auto"/>
                <w:highlight w:val="none"/>
                <w:lang w:eastAsia="zh-CN"/>
              </w:rPr>
              <w:t>施工生产生活区</w:t>
            </w:r>
          </w:p>
        </w:tc>
        <w:tc>
          <w:tcPr>
            <w:tcW w:w="3649" w:type="dxa"/>
            <w:shd w:val="clear" w:color="auto" w:fill="auto"/>
            <w:vAlign w:val="center"/>
          </w:tcPr>
          <w:p>
            <w:pPr>
              <w:widowControl/>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default" w:ascii="Times New Roman" w:hAnsi="Times New Roman" w:eastAsia="仿宋_GB2312" w:cs="Times New Roman"/>
                <w:color w:val="auto"/>
                <w:spacing w:val="-2"/>
                <w:kern w:val="0"/>
                <w:sz w:val="21"/>
                <w:szCs w:val="21"/>
                <w:highlight w:val="none"/>
              </w:rPr>
              <w:t>项目区</w:t>
            </w:r>
            <w:r>
              <w:rPr>
                <w:rFonts w:hint="eastAsia" w:eastAsia="仿宋_GB2312" w:cs="Times New Roman"/>
                <w:color w:val="auto"/>
                <w:spacing w:val="-2"/>
                <w:kern w:val="0"/>
                <w:sz w:val="21"/>
                <w:szCs w:val="21"/>
                <w:highlight w:val="none"/>
                <w:lang w:eastAsia="zh-CN"/>
              </w:rPr>
              <w:t>东侧施工生产生活区</w:t>
            </w:r>
            <w:r>
              <w:rPr>
                <w:rFonts w:hint="default" w:ascii="Times New Roman" w:hAnsi="Times New Roman" w:eastAsia="仿宋_GB2312" w:cs="Times New Roman"/>
                <w:color w:val="auto"/>
                <w:spacing w:val="-2"/>
                <w:kern w:val="0"/>
                <w:sz w:val="21"/>
                <w:szCs w:val="21"/>
                <w:highlight w:val="none"/>
              </w:rPr>
              <w:t>区域</w:t>
            </w:r>
          </w:p>
        </w:tc>
        <w:tc>
          <w:tcPr>
            <w:tcW w:w="2335" w:type="dxa"/>
            <w:shd w:val="clear" w:color="auto" w:fill="auto"/>
            <w:vAlign w:val="center"/>
          </w:tcPr>
          <w:p>
            <w:pPr>
              <w:widowControl/>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default" w:ascii="Times New Roman" w:hAnsi="Times New Roman" w:eastAsia="仿宋_GB2312" w:cs="Times New Roman"/>
                <w:color w:val="auto"/>
                <w:spacing w:val="-2"/>
                <w:kern w:val="0"/>
                <w:sz w:val="21"/>
                <w:szCs w:val="21"/>
                <w:highlight w:val="none"/>
              </w:rPr>
              <w:t>调查巡查法</w:t>
            </w:r>
          </w:p>
        </w:tc>
      </w:tr>
      <w:bookmarkEnd w:id="159"/>
    </w:tbl>
    <w:p>
      <w:pPr>
        <w:pStyle w:val="66"/>
        <w:ind w:firstLine="148"/>
        <w:rPr>
          <w:rFonts w:hint="default" w:ascii="Times New Roman" w:hAnsi="Times New Roman" w:cs="Times New Roman"/>
          <w:color w:val="auto"/>
          <w:highlight w:val="none"/>
        </w:rPr>
      </w:pPr>
      <w:bookmarkStart w:id="160" w:name="_Toc38429368"/>
      <w:bookmarkStart w:id="161" w:name="_Toc7502833"/>
      <w:bookmarkStart w:id="162" w:name="_Toc25405"/>
      <w:r>
        <w:rPr>
          <w:rFonts w:hint="default" w:ascii="Times New Roman" w:hAnsi="Times New Roman" w:cs="Times New Roman"/>
          <w:color w:val="auto"/>
          <w:highlight w:val="none"/>
        </w:rPr>
        <w:t xml:space="preserve">6.4 </w:t>
      </w:r>
      <w:bookmarkEnd w:id="157"/>
      <w:bookmarkEnd w:id="158"/>
      <w:r>
        <w:rPr>
          <w:rFonts w:hint="default" w:ascii="Times New Roman" w:hAnsi="Times New Roman" w:cs="Times New Roman"/>
          <w:color w:val="auto"/>
          <w:highlight w:val="none"/>
        </w:rPr>
        <w:t>实施条件与结果</w:t>
      </w:r>
      <w:bookmarkEnd w:id="160"/>
      <w:bookmarkEnd w:id="161"/>
      <w:bookmarkEnd w:id="162"/>
    </w:p>
    <w:p>
      <w:pPr>
        <w:pStyle w:val="69"/>
        <w:rPr>
          <w:rFonts w:hint="default" w:cs="Times New Roman"/>
          <w:color w:val="auto"/>
          <w:highlight w:val="none"/>
          <w:lang w:eastAsia="zh-CN"/>
        </w:rPr>
      </w:pPr>
      <w:r>
        <w:rPr>
          <w:rFonts w:hint="default" w:ascii="Times New Roman" w:hAnsi="Times New Roman" w:cs="Times New Roman"/>
          <w:color w:val="auto"/>
          <w:highlight w:val="none"/>
        </w:rPr>
        <w:t>6.4.1 监测</w:t>
      </w:r>
      <w:r>
        <w:rPr>
          <w:rFonts w:hint="default" w:cs="Times New Roman"/>
          <w:color w:val="auto"/>
          <w:highlight w:val="none"/>
          <w:lang w:eastAsia="zh-CN"/>
        </w:rPr>
        <w:t>机构</w:t>
      </w:r>
    </w:p>
    <w:p>
      <w:pPr>
        <w:spacing w:line="580" w:lineRule="exact"/>
        <w:ind w:firstLine="480"/>
        <w:rPr>
          <w:rFonts w:hint="eastAsia" w:ascii="Times New Roman" w:hAnsi="Times New Roman" w:eastAsia="仿宋_GB2312" w:cs="Times New Roman"/>
          <w:snapToGrid w:val="0"/>
          <w:color w:val="auto"/>
          <w:kern w:val="24"/>
          <w:sz w:val="24"/>
          <w:szCs w:val="24"/>
          <w:highlight w:val="none"/>
          <w:lang w:val="en-US" w:eastAsia="zh-CN" w:bidi="ar-SA"/>
        </w:rPr>
      </w:pPr>
      <w:r>
        <w:rPr>
          <w:rFonts w:hint="eastAsia" w:ascii="Times New Roman" w:hAnsi="Times New Roman" w:eastAsia="仿宋_GB2312" w:cs="Times New Roman"/>
          <w:snapToGrid w:val="0"/>
          <w:color w:val="auto"/>
          <w:kern w:val="24"/>
          <w:sz w:val="24"/>
          <w:szCs w:val="24"/>
          <w:highlight w:val="none"/>
          <w:lang w:val="en-US" w:eastAsia="zh-CN" w:bidi="ar-SA"/>
        </w:rPr>
        <w:t>建设单位已委托新疆万汇工程项目管理有限公司进行水土保持监测，按照有关规定、规范对防治责任范围内的水土流失情况进行监测。</w:t>
      </w:r>
    </w:p>
    <w:p>
      <w:pPr>
        <w:pStyle w:val="69"/>
        <w:rPr>
          <w:rFonts w:hint="eastAsia"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6.4.</w:t>
      </w:r>
      <w:r>
        <w:rPr>
          <w:rFonts w:hint="eastAsia" w:cs="Times New Roman"/>
          <w:color w:val="auto"/>
          <w:highlight w:val="none"/>
          <w:lang w:val="en-US" w:eastAsia="zh-CN"/>
        </w:rPr>
        <w:t>2</w:t>
      </w:r>
      <w:r>
        <w:rPr>
          <w:rFonts w:hint="default" w:ascii="Times New Roman" w:hAnsi="Times New Roman" w:cs="Times New Roman"/>
          <w:color w:val="auto"/>
          <w:highlight w:val="none"/>
        </w:rPr>
        <w:t xml:space="preserve"> </w:t>
      </w:r>
      <w:r>
        <w:rPr>
          <w:rFonts w:hint="eastAsia" w:cs="Times New Roman"/>
          <w:color w:val="auto"/>
          <w:highlight w:val="none"/>
          <w:lang w:eastAsia="zh-CN"/>
        </w:rPr>
        <w:t>监测人员</w:t>
      </w:r>
    </w:p>
    <w:p>
      <w:pPr>
        <w:spacing w:line="580" w:lineRule="exact"/>
        <w:ind w:firstLine="480"/>
        <w:rPr>
          <w:rFonts w:hint="eastAsia" w:ascii="Times New Roman" w:hAnsi="Times New Roman" w:eastAsia="仿宋_GB2312" w:cs="Times New Roman"/>
          <w:snapToGrid w:val="0"/>
          <w:color w:val="auto"/>
          <w:kern w:val="24"/>
          <w:sz w:val="24"/>
          <w:szCs w:val="24"/>
          <w:highlight w:val="none"/>
          <w:lang w:val="en-US" w:eastAsia="zh-CN" w:bidi="ar-SA"/>
        </w:rPr>
      </w:pPr>
      <w:r>
        <w:rPr>
          <w:rFonts w:hint="eastAsia" w:ascii="Times New Roman" w:hAnsi="Times New Roman" w:eastAsia="仿宋_GB2312" w:cs="Times New Roman"/>
          <w:snapToGrid w:val="0"/>
          <w:color w:val="auto"/>
          <w:kern w:val="24"/>
          <w:sz w:val="24"/>
          <w:szCs w:val="24"/>
          <w:highlight w:val="none"/>
          <w:lang w:val="en-US" w:eastAsia="zh-CN" w:bidi="ar-SA"/>
        </w:rPr>
        <w:t>根据《水土保持生态环境监测网络管理办法》（水利部第12号令）、《生产建设项目水土保持监测与评价标准》（GBT 51240-2018）、《关于规范生产建设项目水土保持监测工作的意见》（水保2009[187]号）有关规定，水土保持监测工作可由建设单位自行开展或委托监测单位进行。监测单位应严格按照《生产建设项目水土保持监测与评价标准》（GBT 51240-2018）等规程规范进行监测，监测实施前应编制监测计划和细则，组织专业人员实施水土保持监测工作。</w:t>
      </w:r>
    </w:p>
    <w:p>
      <w:pPr>
        <w:spacing w:line="580" w:lineRule="exact"/>
        <w:ind w:firstLine="420" w:firstLineChars="0"/>
        <w:rPr>
          <w:rFonts w:hint="eastAsia" w:ascii="Times New Roman" w:hAnsi="Times New Roman" w:eastAsia="仿宋_GB2312" w:cs="Times New Roman"/>
          <w:snapToGrid w:val="0"/>
          <w:color w:val="auto"/>
          <w:kern w:val="24"/>
          <w:sz w:val="24"/>
          <w:szCs w:val="24"/>
          <w:highlight w:val="none"/>
          <w:lang w:val="en-US" w:eastAsia="zh-CN" w:bidi="ar-SA"/>
        </w:rPr>
      </w:pPr>
      <w:r>
        <w:rPr>
          <w:rFonts w:hint="eastAsia" w:ascii="Times New Roman" w:hAnsi="Times New Roman" w:eastAsia="仿宋_GB2312" w:cs="Times New Roman"/>
          <w:snapToGrid w:val="0"/>
          <w:color w:val="auto"/>
          <w:kern w:val="24"/>
          <w:sz w:val="24"/>
          <w:szCs w:val="24"/>
          <w:highlight w:val="none"/>
          <w:lang w:val="en-US" w:eastAsia="zh-CN" w:bidi="ar-SA"/>
        </w:rPr>
        <w:t>本工程水土保持监测由2人组成，工程师1人，监测员1人。监测工作包括现场监测、调查、数据统计以及编写监测报告等。</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6.4.</w:t>
      </w:r>
      <w:r>
        <w:rPr>
          <w:rFonts w:hint="eastAsia" w:cs="Times New Roman"/>
          <w:color w:val="auto"/>
          <w:highlight w:val="none"/>
          <w:lang w:val="en-US" w:eastAsia="zh-CN"/>
        </w:rPr>
        <w:t>3</w:t>
      </w:r>
      <w:r>
        <w:rPr>
          <w:rFonts w:hint="default" w:ascii="Times New Roman" w:hAnsi="Times New Roman" w:cs="Times New Roman"/>
          <w:color w:val="auto"/>
          <w:highlight w:val="none"/>
        </w:rPr>
        <w:t xml:space="preserve"> 监测设施设备</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本项目水土保持监测建立的观测设施及购置的设备，见表6.4-1。</w:t>
      </w:r>
    </w:p>
    <w:p>
      <w:pPr>
        <w:pStyle w:val="7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6.4-1       水土保持监测设施与设备一览表</w:t>
      </w:r>
    </w:p>
    <w:tbl>
      <w:tblPr>
        <w:tblStyle w:val="27"/>
        <w:tblW w:w="887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585"/>
        <w:gridCol w:w="3634"/>
        <w:gridCol w:w="2070"/>
        <w:gridCol w:w="158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atLeast"/>
          <w:jc w:val="center"/>
        </w:trPr>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序号</w:t>
            </w:r>
          </w:p>
        </w:tc>
        <w:tc>
          <w:tcPr>
            <w:tcW w:w="363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名称</w:t>
            </w:r>
          </w:p>
        </w:tc>
        <w:tc>
          <w:tcPr>
            <w:tcW w:w="20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单位</w:t>
            </w:r>
          </w:p>
        </w:tc>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数量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一</w:t>
            </w:r>
          </w:p>
        </w:tc>
        <w:tc>
          <w:tcPr>
            <w:tcW w:w="363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监测设备</w:t>
            </w:r>
          </w:p>
        </w:tc>
        <w:tc>
          <w:tcPr>
            <w:tcW w:w="20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363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全站仪</w:t>
            </w:r>
          </w:p>
        </w:tc>
        <w:tc>
          <w:tcPr>
            <w:tcW w:w="20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套</w:t>
            </w:r>
          </w:p>
        </w:tc>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2</w:t>
            </w:r>
          </w:p>
        </w:tc>
        <w:tc>
          <w:tcPr>
            <w:tcW w:w="363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GPS定位仪</w:t>
            </w:r>
          </w:p>
        </w:tc>
        <w:tc>
          <w:tcPr>
            <w:tcW w:w="20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台</w:t>
            </w:r>
          </w:p>
        </w:tc>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3</w:t>
            </w:r>
          </w:p>
        </w:tc>
        <w:tc>
          <w:tcPr>
            <w:tcW w:w="363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数码照相机</w:t>
            </w:r>
          </w:p>
        </w:tc>
        <w:tc>
          <w:tcPr>
            <w:tcW w:w="20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台</w:t>
            </w:r>
          </w:p>
        </w:tc>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4</w:t>
            </w:r>
          </w:p>
        </w:tc>
        <w:tc>
          <w:tcPr>
            <w:tcW w:w="363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数码摄像机</w:t>
            </w:r>
          </w:p>
        </w:tc>
        <w:tc>
          <w:tcPr>
            <w:tcW w:w="20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台</w:t>
            </w:r>
          </w:p>
        </w:tc>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5</w:t>
            </w:r>
          </w:p>
        </w:tc>
        <w:tc>
          <w:tcPr>
            <w:tcW w:w="363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无人机</w:t>
            </w:r>
          </w:p>
        </w:tc>
        <w:tc>
          <w:tcPr>
            <w:tcW w:w="20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架</w:t>
            </w:r>
          </w:p>
        </w:tc>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6</w:t>
            </w:r>
          </w:p>
        </w:tc>
        <w:tc>
          <w:tcPr>
            <w:tcW w:w="363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遥感影像</w:t>
            </w:r>
          </w:p>
        </w:tc>
        <w:tc>
          <w:tcPr>
            <w:tcW w:w="20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景</w:t>
            </w:r>
          </w:p>
        </w:tc>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7</w:t>
            </w:r>
          </w:p>
        </w:tc>
        <w:tc>
          <w:tcPr>
            <w:tcW w:w="363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遥感影像解译</w:t>
            </w:r>
          </w:p>
        </w:tc>
        <w:tc>
          <w:tcPr>
            <w:tcW w:w="20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景</w:t>
            </w:r>
          </w:p>
        </w:tc>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二</w:t>
            </w:r>
          </w:p>
        </w:tc>
        <w:tc>
          <w:tcPr>
            <w:tcW w:w="363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监测耗材</w:t>
            </w:r>
          </w:p>
        </w:tc>
        <w:tc>
          <w:tcPr>
            <w:tcW w:w="20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w:t>
            </w:r>
          </w:p>
        </w:tc>
        <w:tc>
          <w:tcPr>
            <w:tcW w:w="363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监测车辆</w:t>
            </w:r>
          </w:p>
        </w:tc>
        <w:tc>
          <w:tcPr>
            <w:tcW w:w="20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部</w:t>
            </w:r>
          </w:p>
        </w:tc>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三</w:t>
            </w:r>
          </w:p>
        </w:tc>
        <w:tc>
          <w:tcPr>
            <w:tcW w:w="363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监测人员</w:t>
            </w:r>
          </w:p>
        </w:tc>
        <w:tc>
          <w:tcPr>
            <w:tcW w:w="20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2人▪1年</w:t>
            </w:r>
          </w:p>
        </w:tc>
        <w:tc>
          <w:tcPr>
            <w:tcW w:w="15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2</w:t>
            </w:r>
          </w:p>
        </w:tc>
      </w:tr>
    </w:tbl>
    <w:p>
      <w:pPr>
        <w:pStyle w:val="75"/>
        <w:ind w:firstLine="480"/>
        <w:rPr>
          <w:rFonts w:hint="default" w:ascii="Times New Roman" w:hAnsi="Times New Roman" w:cs="Times New Roman"/>
          <w:color w:val="auto"/>
          <w:highlight w:val="none"/>
        </w:rPr>
      </w:pPr>
    </w:p>
    <w:p>
      <w:pPr>
        <w:pStyle w:val="5"/>
        <w:spacing w:line="580" w:lineRule="exact"/>
        <w:rPr>
          <w:rFonts w:hint="default" w:ascii="Times New Roman" w:hAnsi="Times New Roman" w:eastAsia="仿宋_GB2312" w:cs="Times New Roman"/>
          <w:color w:val="000000"/>
          <w:sz w:val="28"/>
          <w:szCs w:val="32"/>
          <w:highlight w:val="none"/>
        </w:rPr>
      </w:pPr>
      <w:bookmarkStart w:id="163" w:name="_Toc255304631"/>
      <w:r>
        <w:rPr>
          <w:rFonts w:hint="default" w:ascii="Times New Roman" w:hAnsi="Times New Roman" w:cs="Times New Roman"/>
          <w:color w:val="auto"/>
          <w:highlight w:val="none"/>
        </w:rPr>
        <w:t>6.4.</w:t>
      </w:r>
      <w:r>
        <w:rPr>
          <w:rFonts w:hint="eastAsia" w:cs="Times New Roman"/>
          <w:color w:val="auto"/>
          <w:highlight w:val="none"/>
          <w:lang w:val="en-US" w:eastAsia="zh-CN"/>
        </w:rPr>
        <w:t>4</w:t>
      </w:r>
      <w:r>
        <w:rPr>
          <w:rFonts w:hint="default" w:ascii="Times New Roman" w:hAnsi="Times New Roman" w:cs="Times New Roman"/>
          <w:color w:val="auto"/>
          <w:highlight w:val="none"/>
        </w:rPr>
        <w:t xml:space="preserve"> </w:t>
      </w:r>
      <w:r>
        <w:rPr>
          <w:rFonts w:hint="default" w:ascii="Times New Roman" w:hAnsi="Times New Roman" w:eastAsia="仿宋_GB2312" w:cs="Times New Roman"/>
          <w:color w:val="000000"/>
          <w:sz w:val="28"/>
          <w:szCs w:val="32"/>
          <w:highlight w:val="none"/>
        </w:rPr>
        <w:t>监测制度</w:t>
      </w:r>
      <w:bookmarkEnd w:id="163"/>
    </w:p>
    <w:p>
      <w:pPr>
        <w:spacing w:line="580" w:lineRule="exact"/>
        <w:ind w:firstLine="480"/>
        <w:rPr>
          <w:rFonts w:hint="eastAsia" w:ascii="仿宋_GB2312" w:hAnsi="仿宋_GB2312" w:eastAsia="仿宋_GB2312" w:cs="仿宋_GB2312"/>
          <w:color w:val="000000"/>
        </w:rPr>
      </w:pPr>
      <w:r>
        <w:rPr>
          <w:rFonts w:hint="eastAsia" w:ascii="仿宋_GB2312" w:hAnsi="仿宋_GB2312" w:eastAsia="仿宋_GB2312" w:cs="仿宋_GB2312"/>
          <w:color w:val="000000"/>
        </w:rPr>
        <w:t>(1)监测单位每次监测前，需对监测仪器、设备进行检验，合格后方可投入使用；</w:t>
      </w:r>
    </w:p>
    <w:p>
      <w:pPr>
        <w:spacing w:line="580" w:lineRule="exact"/>
        <w:ind w:firstLine="480"/>
        <w:rPr>
          <w:rFonts w:hint="eastAsia" w:ascii="仿宋_GB2312" w:hAnsi="仿宋_GB2312" w:eastAsia="仿宋_GB2312" w:cs="仿宋_GB2312"/>
          <w:color w:val="000000"/>
        </w:rPr>
      </w:pPr>
      <w:r>
        <w:rPr>
          <w:rFonts w:hint="eastAsia" w:ascii="仿宋_GB2312" w:hAnsi="仿宋_GB2312" w:eastAsia="仿宋_GB2312" w:cs="仿宋_GB2312"/>
          <w:color w:val="000000"/>
        </w:rPr>
        <w:t>(2)对每次监测结果进行统计对比分析，作出简要分析与评价；</w:t>
      </w:r>
    </w:p>
    <w:p>
      <w:pPr>
        <w:spacing w:line="580" w:lineRule="exact"/>
        <w:ind w:firstLine="480"/>
        <w:rPr>
          <w:rFonts w:hint="eastAsia" w:ascii="仿宋_GB2312" w:hAnsi="仿宋_GB2312" w:eastAsia="仿宋_GB2312" w:cs="仿宋_GB2312"/>
          <w:color w:val="000000"/>
        </w:rPr>
      </w:pPr>
      <w:r>
        <w:rPr>
          <w:rFonts w:hint="eastAsia" w:ascii="仿宋_GB2312" w:hAnsi="仿宋_GB2312" w:eastAsia="仿宋_GB2312" w:cs="仿宋_GB2312"/>
          <w:color w:val="000000"/>
        </w:rPr>
        <w:t>(3)对于出现的紧急情况应及时通知哈密弗光太阳能有限公司和哈密市水利局，以便及时采取补救措施，防治水土流失；</w:t>
      </w:r>
    </w:p>
    <w:p>
      <w:pPr>
        <w:spacing w:line="580" w:lineRule="exact"/>
        <w:ind w:firstLine="480"/>
        <w:rPr>
          <w:rFonts w:hint="default" w:ascii="Times New Roman" w:hAnsi="Times New Roman" w:cs="Times New Roman"/>
          <w:color w:val="auto"/>
          <w:highlight w:val="none"/>
        </w:rPr>
      </w:pPr>
      <w:r>
        <w:rPr>
          <w:rFonts w:hint="eastAsia" w:ascii="仿宋_GB2312" w:hAnsi="仿宋_GB2312" w:eastAsia="仿宋_GB2312" w:cs="仿宋_GB2312"/>
          <w:color w:val="000000"/>
        </w:rPr>
        <w:t>(4)监测资料应及时进行分项整理分析，建立监测档案，每年年底进行年度总结，编制监测报表和报告，向新疆宣东能源有限公司、哈密市水利局汇报监测成果。</w:t>
      </w:r>
    </w:p>
    <w:p>
      <w:pPr>
        <w:pStyle w:val="75"/>
        <w:jc w:val="both"/>
        <w:rPr>
          <w:rFonts w:hint="default" w:ascii="Times New Roman" w:hAnsi="Times New Roman" w:cs="Times New Roman"/>
          <w:color w:val="auto"/>
          <w:highlight w:val="none"/>
        </w:rPr>
      </w:pP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6.4.</w:t>
      </w:r>
      <w:r>
        <w:rPr>
          <w:rFonts w:hint="eastAsia" w:cs="Times New Roman"/>
          <w:color w:val="auto"/>
          <w:highlight w:val="none"/>
          <w:lang w:val="en-US" w:eastAsia="zh-CN"/>
        </w:rPr>
        <w:t>5</w:t>
      </w:r>
      <w:r>
        <w:rPr>
          <w:rFonts w:hint="default" w:ascii="Times New Roman" w:hAnsi="Times New Roman" w:cs="Times New Roman"/>
          <w:color w:val="auto"/>
          <w:highlight w:val="none"/>
        </w:rPr>
        <w:t xml:space="preserve"> 监测成果</w:t>
      </w:r>
    </w:p>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6.4.3.1 监测资料的成果要求</w:t>
      </w:r>
    </w:p>
    <w:p>
      <w:pPr>
        <w:pStyle w:val="56"/>
        <w:ind w:firstLine="480"/>
        <w:rPr>
          <w:rFonts w:hint="eastAsia"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本项目委托具有水土保持监测资质的新疆万汇工程项目管理有限公司在项目开工后开展水土保持监测工作，在开展监测工作之前制定《生产项目水土保持监测实施方案》，根据工程建设进度合理安排监测频次，确定监测的重点内容和重点部位，实行水土保持监测“绿黄红”三色评价，水土保持监测单位根据监测情况，在监测季报和总结报告等监测成果中提成“绿黄红”三色评价结论，监测成果应当公开，生产建设单位应当在工程建设期间将水土保持监测季报在其官方网站公开，同时在业主项目部和施工项目部公开。在监测工作开展前，首先编制水土保持监测实施方案，作为监测工作的行动指南。地方水行政部门有义务对监测工作进行协调和监督，工程监测成果须定期向地方水土保持管理部门汇报。根据水利部办公厅关于进一步加强生产建设项目水土保持监测工作的通知（办水保〔2020〕161号）和《生产建设项目水土保持监测与评价标准》（GB∕T 51240-2018）的要求，按照监测方案的计划提交相关成果，具体如下</w:t>
      </w:r>
      <w:r>
        <w:rPr>
          <w:rFonts w:hint="eastAsia" w:cs="Times New Roman"/>
          <w:color w:val="auto"/>
          <w:highlight w:val="none"/>
          <w:lang w:eastAsia="zh-CN"/>
        </w:rPr>
        <w:t>：</w:t>
      </w:r>
    </w:p>
    <w:p>
      <w:pPr>
        <w:pStyle w:val="56"/>
        <w:numPr>
          <w:ilvl w:val="0"/>
          <w:numId w:val="14"/>
        </w:numPr>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《水土保持监测实施方案》，应在主体工程开工1个月内向上级水行政主管部门报送。</w:t>
      </w:r>
    </w:p>
    <w:p>
      <w:pPr>
        <w:pStyle w:val="56"/>
        <w:numPr>
          <w:ilvl w:val="0"/>
          <w:numId w:val="14"/>
        </w:numPr>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《水土保持监测季度报告表》，于每季度的第1个月内向上级水行政主管部门报送。</w:t>
      </w:r>
    </w:p>
    <w:p>
      <w:pPr>
        <w:pStyle w:val="56"/>
        <w:numPr>
          <w:ilvl w:val="0"/>
          <w:numId w:val="14"/>
        </w:numPr>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《水土保持监测年报》。</w:t>
      </w:r>
    </w:p>
    <w:p>
      <w:pPr>
        <w:pStyle w:val="56"/>
        <w:numPr>
          <w:ilvl w:val="0"/>
          <w:numId w:val="14"/>
        </w:numPr>
        <w:rPr>
          <w:rFonts w:hint="default" w:ascii="Times New Roman" w:hAnsi="Times New Roman" w:cs="Times New Roman"/>
          <w:color w:val="auto"/>
          <w:highlight w:val="none"/>
        </w:rPr>
      </w:pPr>
      <w:r>
        <w:rPr>
          <w:rFonts w:hint="default" w:ascii="Times New Roman" w:hAnsi="Times New Roman" w:cs="Times New Roman"/>
          <w:color w:val="auto"/>
          <w:highlight w:val="none"/>
        </w:rPr>
        <w:t>《生产建设项目水土保持监测总结报告》，其中包括</w:t>
      </w:r>
      <w:r>
        <w:rPr>
          <w:rFonts w:hint="default" w:ascii="Times New Roman" w:hAnsi="Times New Roman" w:eastAsia="宋体" w:cs="Times New Roman"/>
          <w:color w:val="auto"/>
          <w:highlight w:val="none"/>
        </w:rPr>
        <w:t>①</w:t>
      </w:r>
      <w:r>
        <w:rPr>
          <w:rFonts w:hint="default" w:ascii="Times New Roman" w:hAnsi="Times New Roman" w:cs="Times New Roman"/>
          <w:color w:val="auto"/>
          <w:highlight w:val="none"/>
        </w:rPr>
        <w:t>监测表格：作为监测成果的附表；</w:t>
      </w:r>
      <w:r>
        <w:rPr>
          <w:rFonts w:hint="default" w:ascii="Times New Roman" w:hAnsi="Times New Roman" w:eastAsia="宋体" w:cs="Times New Roman"/>
          <w:color w:val="auto"/>
          <w:highlight w:val="none"/>
        </w:rPr>
        <w:t>②</w:t>
      </w:r>
      <w:r>
        <w:rPr>
          <w:rFonts w:hint="default" w:ascii="Times New Roman" w:hAnsi="Times New Roman" w:cs="Times New Roman"/>
          <w:color w:val="auto"/>
          <w:highlight w:val="none"/>
        </w:rPr>
        <w:t>监测图件：主要包括工程地理位置图、水土流失防治责任范围图、工程建设前水土流失现状图、水土保持措施布局图、工程竣工后水土保持现状图等，作为监测成果的附图。水土保持监测工作完成后，应于3个月内报送。</w:t>
      </w:r>
    </w:p>
    <w:p>
      <w:pPr>
        <w:pStyle w:val="56"/>
        <w:numPr>
          <w:ilvl w:val="0"/>
          <w:numId w:val="14"/>
        </w:numPr>
        <w:rPr>
          <w:rFonts w:hint="default" w:ascii="Times New Roman" w:hAnsi="Times New Roman" w:cs="Times New Roman"/>
          <w:color w:val="auto"/>
          <w:highlight w:val="none"/>
        </w:rPr>
      </w:pPr>
      <w:r>
        <w:rPr>
          <w:rFonts w:hint="default" w:ascii="Times New Roman" w:hAnsi="Times New Roman" w:cs="Times New Roman"/>
          <w:color w:val="auto"/>
          <w:highlight w:val="none"/>
        </w:rPr>
        <w:t>现场照片、监测工作数据表等。</w:t>
      </w:r>
    </w:p>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6.4.3.2 监测管理</w:t>
      </w:r>
    </w:p>
    <w:p>
      <w:pPr>
        <w:pStyle w:val="22"/>
        <w:spacing w:line="560" w:lineRule="exact"/>
        <w:ind w:firstLine="480"/>
        <w:rPr>
          <w:rFonts w:ascii="仿宋_GB2312" w:hAnsi="仿宋_GB2312" w:eastAsia="仿宋_GB2312" w:cs="仿宋_GB2312"/>
          <w:color w:val="000000"/>
        </w:rPr>
      </w:pPr>
      <w:r>
        <w:rPr>
          <w:rFonts w:hint="eastAsia" w:ascii="仿宋_GB2312" w:hAnsi="仿宋_GB2312" w:eastAsia="仿宋_GB2312" w:cs="仿宋_GB2312"/>
          <w:color w:val="000000"/>
        </w:rPr>
        <w:t>（1）</w:t>
      </w:r>
      <w:r>
        <w:rPr>
          <w:rFonts w:ascii="仿宋_GB2312" w:hAnsi="仿宋_GB2312" w:eastAsia="仿宋_GB2312" w:cs="仿宋_GB2312"/>
          <w:color w:val="000000"/>
        </w:rPr>
        <w:t>监测单位每次监测前，需对监测仪器、设备进行检验，合格后方可投入使用；对每次监测结果进行统计对比分析，作出简要分析与评价；</w:t>
      </w:r>
    </w:p>
    <w:p>
      <w:pPr>
        <w:pStyle w:val="22"/>
        <w:spacing w:line="560" w:lineRule="exact"/>
        <w:ind w:firstLine="480"/>
        <w:rPr>
          <w:rFonts w:ascii="仿宋_GB2312" w:hAnsi="仿宋_GB2312" w:eastAsia="仿宋_GB2312" w:cs="仿宋_GB2312"/>
          <w:color w:val="000000"/>
        </w:rPr>
      </w:pPr>
      <w:r>
        <w:rPr>
          <w:rFonts w:hint="eastAsia" w:ascii="仿宋_GB2312" w:hAnsi="仿宋_GB2312" w:eastAsia="仿宋_GB2312" w:cs="仿宋_GB2312"/>
          <w:color w:val="000000"/>
        </w:rPr>
        <w:t>（2）</w:t>
      </w:r>
      <w:r>
        <w:rPr>
          <w:rFonts w:ascii="仿宋_GB2312" w:hAnsi="仿宋_GB2312" w:eastAsia="仿宋_GB2312" w:cs="仿宋_GB2312"/>
          <w:color w:val="000000"/>
        </w:rPr>
        <w:t>对于出现的紧急情况应及时通知建设单位和水行政主管部门，以便及时采取补救措施，防治水土流失；</w:t>
      </w:r>
    </w:p>
    <w:p>
      <w:pPr>
        <w:pStyle w:val="22"/>
        <w:spacing w:line="560" w:lineRule="exact"/>
        <w:ind w:firstLine="480"/>
        <w:rPr>
          <w:rFonts w:ascii="仿宋_GB2312" w:hAnsi="仿宋_GB2312" w:eastAsia="仿宋_GB2312" w:cs="仿宋_GB2312"/>
          <w:color w:val="000000"/>
        </w:rPr>
      </w:pPr>
      <w:r>
        <w:rPr>
          <w:rFonts w:hint="eastAsia" w:ascii="仿宋_GB2312" w:hAnsi="仿宋_GB2312" w:eastAsia="仿宋_GB2312" w:cs="仿宋_GB2312"/>
          <w:color w:val="000000"/>
        </w:rPr>
        <w:t>（3）</w:t>
      </w:r>
      <w:r>
        <w:rPr>
          <w:rFonts w:ascii="仿宋_GB2312" w:hAnsi="仿宋_GB2312" w:eastAsia="仿宋_GB2312" w:cs="仿宋_GB2312"/>
          <w:color w:val="000000"/>
        </w:rPr>
        <w:t>监测资料应及时进行分项整理分析，建立监测档案，每年年底进行年度总结，编制监测报表和报告，向建设单位、水行政主管部门汇报监测成果。</w:t>
      </w:r>
    </w:p>
    <w:p>
      <w:pPr>
        <w:pStyle w:val="22"/>
        <w:spacing w:line="560" w:lineRule="exact"/>
        <w:ind w:firstLine="480"/>
        <w:rPr>
          <w:rFonts w:hint="eastAsia" w:ascii="仿宋_GB2312" w:hAnsi="仿宋_GB2312" w:eastAsia="仿宋_GB2312" w:cs="仿宋_GB2312"/>
          <w:color w:val="000000"/>
        </w:rPr>
        <w:sectPr>
          <w:headerReference r:id="rId23"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r>
        <w:rPr>
          <w:rFonts w:hint="eastAsia" w:ascii="仿宋_GB2312" w:hAnsi="仿宋_GB2312" w:eastAsia="仿宋_GB2312" w:cs="仿宋_GB2312"/>
          <w:color w:val="000000"/>
        </w:rPr>
        <w:t>（4）根据水保[2019]160号文相关规定，编制水土保持方案报告书的项目，应当依法开展水土保持监测工作。实行水土保持监测“绿黄红”三色评价，水土保持监测单位根据监测情况，在监测季报和总结报告等监测成果中提出“绿黄红”三色评价结论。监测成果应当公开，生产建设单位应当在工程建设期间将水土保持监测季报在其官方网站公开，同时在业主项目部和施工项目部公开。水行政主管部门要将监测评价结论为“红”色的项目，纳入重点监管对象。</w:t>
      </w:r>
    </w:p>
    <w:bookmarkEnd w:id="147"/>
    <w:bookmarkEnd w:id="148"/>
    <w:p>
      <w:pPr>
        <w:pStyle w:val="65"/>
        <w:rPr>
          <w:rFonts w:hint="default" w:ascii="Times New Roman" w:hAnsi="Times New Roman" w:cs="Times New Roman"/>
          <w:color w:val="auto"/>
          <w:highlight w:val="none"/>
        </w:rPr>
      </w:pPr>
      <w:bookmarkStart w:id="164" w:name="_Toc27741"/>
      <w:r>
        <w:rPr>
          <w:rFonts w:hint="default" w:ascii="Times New Roman" w:hAnsi="Times New Roman" w:cs="Times New Roman"/>
          <w:color w:val="auto"/>
          <w:highlight w:val="none"/>
        </w:rPr>
        <w:t>7 水土保持投资</w:t>
      </w:r>
      <w:r>
        <w:rPr>
          <w:rFonts w:hint="eastAsia" w:cs="Times New Roman"/>
          <w:color w:val="auto"/>
          <w:highlight w:val="none"/>
          <w:lang w:eastAsia="zh-CN"/>
        </w:rPr>
        <w:t>概</w:t>
      </w:r>
      <w:r>
        <w:rPr>
          <w:rFonts w:hint="default" w:ascii="Times New Roman" w:hAnsi="Times New Roman" w:cs="Times New Roman"/>
          <w:color w:val="auto"/>
          <w:highlight w:val="none"/>
        </w:rPr>
        <w:t>算及效益分析</w:t>
      </w:r>
      <w:bookmarkEnd w:id="164"/>
    </w:p>
    <w:p>
      <w:pPr>
        <w:pStyle w:val="66"/>
        <w:ind w:firstLine="148"/>
        <w:rPr>
          <w:rFonts w:hint="eastAsia" w:ascii="Times New Roman" w:hAnsi="Times New Roman" w:eastAsia="仿宋_GB2312" w:cs="Times New Roman"/>
          <w:color w:val="auto"/>
          <w:highlight w:val="none"/>
          <w:lang w:eastAsia="zh-CN"/>
        </w:rPr>
      </w:pPr>
      <w:bookmarkStart w:id="165" w:name="_Toc31112"/>
      <w:r>
        <w:rPr>
          <w:rFonts w:hint="default" w:ascii="Times New Roman" w:hAnsi="Times New Roman" w:cs="Times New Roman"/>
          <w:color w:val="auto"/>
          <w:highlight w:val="none"/>
        </w:rPr>
        <w:t>7.1 投资</w:t>
      </w:r>
      <w:r>
        <w:rPr>
          <w:rFonts w:hint="eastAsia" w:cs="Times New Roman"/>
          <w:color w:val="auto"/>
          <w:highlight w:val="none"/>
          <w:lang w:eastAsia="zh-CN"/>
        </w:rPr>
        <w:t>概算</w:t>
      </w:r>
      <w:bookmarkEnd w:id="165"/>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7.1.1 编制原则及依据</w:t>
      </w:r>
    </w:p>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7.1.1.1 编制原则</w:t>
      </w:r>
    </w:p>
    <w:p>
      <w:pPr>
        <w:pStyle w:val="56"/>
        <w:numPr>
          <w:ilvl w:val="0"/>
          <w:numId w:val="15"/>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本方案水土保持投资</w:t>
      </w:r>
      <w:r>
        <w:rPr>
          <w:rFonts w:hint="eastAsia" w:cs="Times New Roman"/>
          <w:color w:val="auto"/>
          <w:highlight w:val="none"/>
          <w:lang w:eastAsia="zh-CN"/>
        </w:rPr>
        <w:t>概算</w:t>
      </w:r>
      <w:r>
        <w:rPr>
          <w:rFonts w:hint="default" w:ascii="Times New Roman" w:hAnsi="Times New Roman" w:cs="Times New Roman"/>
          <w:color w:val="auto"/>
          <w:highlight w:val="none"/>
        </w:rPr>
        <w:t>的编制依据、编制定额、价格水平年与基础单价、主要工程单价中的相关费率等与主体工程相一致；主体工程中没有明确规定的，采用水利部《开发建设项目水土保持工程投资概(估)算编制规定》(水总[2003]67号)及相关行业、地方标准和当地现行价。水土保持投资费用构成按《开发建设项目水土保持工程概(估)算编制规定》执行。</w:t>
      </w:r>
    </w:p>
    <w:p>
      <w:pPr>
        <w:pStyle w:val="56"/>
        <w:numPr>
          <w:ilvl w:val="0"/>
          <w:numId w:val="15"/>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水土保持投资</w:t>
      </w:r>
      <w:r>
        <w:rPr>
          <w:rFonts w:hint="eastAsia" w:cs="Times New Roman"/>
          <w:color w:val="auto"/>
          <w:highlight w:val="none"/>
          <w:lang w:eastAsia="zh-CN"/>
        </w:rPr>
        <w:t>概算</w:t>
      </w:r>
      <w:r>
        <w:rPr>
          <w:rFonts w:hint="default" w:ascii="Times New Roman" w:hAnsi="Times New Roman" w:cs="Times New Roman"/>
          <w:color w:val="auto"/>
          <w:highlight w:val="none"/>
        </w:rPr>
        <w:t>总表按工程措施、植物措施、临时工程和独立费用、预备费等5部分计列。分部工程</w:t>
      </w:r>
      <w:r>
        <w:rPr>
          <w:rFonts w:hint="eastAsia" w:cs="Times New Roman"/>
          <w:color w:val="auto"/>
          <w:highlight w:val="none"/>
          <w:lang w:eastAsia="zh-CN"/>
        </w:rPr>
        <w:t>概算</w:t>
      </w:r>
      <w:r>
        <w:rPr>
          <w:rFonts w:hint="default" w:ascii="Times New Roman" w:hAnsi="Times New Roman" w:cs="Times New Roman"/>
          <w:color w:val="auto"/>
          <w:highlight w:val="none"/>
        </w:rPr>
        <w:t>表按照防治分区计列上述各项投资。</w:t>
      </w:r>
    </w:p>
    <w:p>
      <w:pPr>
        <w:pStyle w:val="56"/>
        <w:numPr>
          <w:ilvl w:val="0"/>
          <w:numId w:val="15"/>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水土保持工程总投资由工程措施投资、植物措施投资、临时措施投资、独立费用及基本预备费五部分组成。</w:t>
      </w:r>
    </w:p>
    <w:p>
      <w:pPr>
        <w:pStyle w:val="56"/>
        <w:numPr>
          <w:ilvl w:val="0"/>
          <w:numId w:val="15"/>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本项目投资</w:t>
      </w:r>
      <w:r>
        <w:rPr>
          <w:rFonts w:hint="eastAsia" w:cs="Times New Roman"/>
          <w:color w:val="auto"/>
          <w:highlight w:val="none"/>
          <w:lang w:eastAsia="zh-CN"/>
        </w:rPr>
        <w:t>概算</w:t>
      </w:r>
      <w:r>
        <w:rPr>
          <w:rFonts w:hint="default" w:ascii="Times New Roman" w:hAnsi="Times New Roman" w:cs="Times New Roman"/>
          <w:color w:val="auto"/>
          <w:highlight w:val="none"/>
        </w:rPr>
        <w:t>价格中主体已列措施均利用主体单价计算，方案新增措施价格水平年按照2020年第</w:t>
      </w:r>
      <w:r>
        <w:rPr>
          <w:rFonts w:hint="eastAsia" w:cs="Times New Roman"/>
          <w:color w:val="auto"/>
          <w:highlight w:val="none"/>
          <w:lang w:eastAsia="zh-CN"/>
        </w:rPr>
        <w:t>三</w:t>
      </w:r>
      <w:r>
        <w:rPr>
          <w:rFonts w:hint="default" w:ascii="Times New Roman" w:hAnsi="Times New Roman" w:cs="Times New Roman"/>
          <w:color w:val="auto"/>
          <w:highlight w:val="none"/>
        </w:rPr>
        <w:t>季度。</w:t>
      </w:r>
    </w:p>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7.1.1.2 编制依据</w:t>
      </w:r>
    </w:p>
    <w:p>
      <w:pPr>
        <w:pStyle w:val="56"/>
        <w:numPr>
          <w:ilvl w:val="0"/>
          <w:numId w:val="16"/>
        </w:numPr>
        <w:ind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《开发建设项目水土保持工程投资概(估)算编制规定》、《开发建设项目水土保持工程</w:t>
      </w:r>
      <w:r>
        <w:rPr>
          <w:rFonts w:hint="eastAsia" w:cs="Times New Roman"/>
          <w:color w:val="auto"/>
          <w:szCs w:val="21"/>
          <w:highlight w:val="none"/>
          <w:lang w:eastAsia="zh-CN"/>
        </w:rPr>
        <w:t>概算</w:t>
      </w:r>
      <w:r>
        <w:rPr>
          <w:rFonts w:hint="default" w:ascii="Times New Roman" w:hAnsi="Times New Roman" w:cs="Times New Roman"/>
          <w:color w:val="auto"/>
          <w:szCs w:val="21"/>
          <w:highlight w:val="none"/>
        </w:rPr>
        <w:t>定额》、《开发建设项目水土保持工程施工机械台时费定额》(水利部水总〔2003〕67号)；</w:t>
      </w:r>
    </w:p>
    <w:p>
      <w:pPr>
        <w:pStyle w:val="56"/>
        <w:numPr>
          <w:ilvl w:val="0"/>
          <w:numId w:val="16"/>
        </w:numPr>
        <w:ind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《水土保持工程概(估)算费编制规定及定额》(水利部[2003]67号)；</w:t>
      </w:r>
    </w:p>
    <w:p>
      <w:pPr>
        <w:pStyle w:val="56"/>
        <w:numPr>
          <w:ilvl w:val="0"/>
          <w:numId w:val="16"/>
        </w:numPr>
        <w:ind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《关于公布取消和停止征收100项行政事业性收费项目的通知》(财政部、国家发展改革委，财综[2008]78号)；</w:t>
      </w:r>
    </w:p>
    <w:p>
      <w:pPr>
        <w:pStyle w:val="56"/>
        <w:numPr>
          <w:ilvl w:val="0"/>
          <w:numId w:val="16"/>
        </w:numPr>
        <w:ind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《关于印发《水土保持补偿费征收使用管理办法》的通知》，财政部国家发展改革委水利部中国人民银行，财综[2014]8号；</w:t>
      </w:r>
    </w:p>
    <w:p>
      <w:pPr>
        <w:pStyle w:val="56"/>
        <w:numPr>
          <w:ilvl w:val="0"/>
          <w:numId w:val="16"/>
        </w:numPr>
        <w:ind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水土保持补偿费收费标准(试行)的通知》，国家发展改革委财政部水利部，发改价格[2014]886号；主体工程涉及的新疆物价局、财政厅、水利厅颁发的各省(区)“水土保持设施补尝费收取与管理办法”的有关文件；</w:t>
      </w:r>
    </w:p>
    <w:p>
      <w:pPr>
        <w:pStyle w:val="56"/>
        <w:numPr>
          <w:ilvl w:val="0"/>
          <w:numId w:val="16"/>
        </w:numPr>
        <w:ind w:firstLineChars="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《新疆维吾尔自治区水土保持设施补偿费、水土流失防治费收缴使用管理暂行规定》新政发(2000)45号；</w:t>
      </w:r>
    </w:p>
    <w:p>
      <w:pPr>
        <w:pStyle w:val="56"/>
        <w:numPr>
          <w:ilvl w:val="0"/>
          <w:numId w:val="16"/>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《新疆维吾尔自治区水土保持补偿费征收使用管理办法》(新财非税[2015]10号)；</w:t>
      </w:r>
    </w:p>
    <w:p>
      <w:pPr>
        <w:pStyle w:val="56"/>
        <w:numPr>
          <w:ilvl w:val="0"/>
          <w:numId w:val="16"/>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《关于印发水利工程营业税改增值税计价依据调整办法的通知》(水利部办公厅，办水总[2016]132号，2016年7月5日)；</w:t>
      </w:r>
    </w:p>
    <w:p>
      <w:pPr>
        <w:pStyle w:val="56"/>
        <w:numPr>
          <w:ilvl w:val="0"/>
          <w:numId w:val="16"/>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《建设工程监理与相关服务收费管理规定》（国家发改委670号文）；</w:t>
      </w:r>
    </w:p>
    <w:p>
      <w:pPr>
        <w:pStyle w:val="56"/>
        <w:numPr>
          <w:ilvl w:val="0"/>
          <w:numId w:val="16"/>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财政部税务总局关于调整增值税税率的通知（财税〔2018〕32号）；</w:t>
      </w:r>
    </w:p>
    <w:p>
      <w:pPr>
        <w:pStyle w:val="56"/>
        <w:numPr>
          <w:ilvl w:val="0"/>
          <w:numId w:val="16"/>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水利部办公厅关于调整水利工程计价依据增值税计算标准的通知（办财务函[2019]448号）；</w:t>
      </w:r>
    </w:p>
    <w:p>
      <w:pPr>
        <w:pStyle w:val="56"/>
        <w:numPr>
          <w:ilvl w:val="0"/>
          <w:numId w:val="16"/>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新疆维吾尔族自治区住房和城乡建设厅关于实施《建筑业增值税新税率调整建设工程计价依据的通知》（新建标〔2018〕6号）</w:t>
      </w:r>
    </w:p>
    <w:p>
      <w:pPr>
        <w:pStyle w:val="56"/>
        <w:numPr>
          <w:ilvl w:val="0"/>
          <w:numId w:val="16"/>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《水利工程计价依据增值税计算标准的通知》办财务函[2019]448号；</w:t>
      </w:r>
    </w:p>
    <w:p>
      <w:pPr>
        <w:pStyle w:val="56"/>
        <w:numPr>
          <w:ilvl w:val="0"/>
          <w:numId w:val="16"/>
        </w:numPr>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主体工程设计资料；</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7.1.2 编制说明与</w:t>
      </w:r>
      <w:r>
        <w:rPr>
          <w:rFonts w:hint="eastAsia" w:cs="Times New Roman"/>
          <w:color w:val="auto"/>
          <w:highlight w:val="none"/>
          <w:lang w:eastAsia="zh-CN"/>
        </w:rPr>
        <w:t>概算</w:t>
      </w:r>
      <w:r>
        <w:rPr>
          <w:rFonts w:hint="default" w:ascii="Times New Roman" w:hAnsi="Times New Roman" w:cs="Times New Roman"/>
          <w:color w:val="auto"/>
          <w:highlight w:val="none"/>
        </w:rPr>
        <w:t>成果</w:t>
      </w:r>
    </w:p>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7.1.2.1 编制说明</w:t>
      </w:r>
    </w:p>
    <w:p>
      <w:pPr>
        <w:pStyle w:val="56"/>
        <w:ind w:firstLine="482"/>
        <w:rPr>
          <w:rFonts w:hint="default" w:ascii="Times New Roman" w:hAnsi="Times New Roman" w:cs="Times New Roman"/>
          <w:b/>
          <w:color w:val="auto"/>
          <w:highlight w:val="none"/>
        </w:rPr>
      </w:pPr>
      <w:r>
        <w:rPr>
          <w:rFonts w:hint="default" w:ascii="Times New Roman" w:hAnsi="Times New Roman" w:cs="Times New Roman"/>
          <w:b/>
          <w:color w:val="auto"/>
          <w:highlight w:val="none"/>
        </w:rPr>
        <w:t>（1）基础单价</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1）人工单价</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水保工程的单价采取主体工程中的单价，不足的部分采取水利部水总[2003]67号文颁发的《开发建设项目水土保持工程概（估）算编制规定》。本工程采用的人工预算单价、主要工程单价、取费费率与主体工程一致，不足部分参考相关规定。本工程参考主体工程初级工人工单价，为55.04元/天，经折算后为6.88元/h。</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2）主要材料价格</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根据本工程地理位置及施工组织设计确定主要材料：防尘网从</w:t>
      </w:r>
      <w:r>
        <w:rPr>
          <w:rFonts w:hint="default" w:ascii="Times New Roman" w:hAnsi="Times New Roman" w:cs="Times New Roman"/>
          <w:color w:val="auto"/>
          <w:highlight w:val="none"/>
          <w:lang w:eastAsia="zh-CN"/>
        </w:rPr>
        <w:t>博湖县</w:t>
      </w:r>
      <w:r>
        <w:rPr>
          <w:rFonts w:hint="default" w:ascii="Times New Roman" w:hAnsi="Times New Roman" w:cs="Times New Roman"/>
          <w:color w:val="auto"/>
          <w:highlight w:val="none"/>
        </w:rPr>
        <w:t>购买，汽车运到工地，本工程不计运输保险费，采购及保管费按1~2.3%计取。</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3）水、电价格</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施工用电参考主体工程单价：平均电价2.19元/kW.h。</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施工用水参考主体工程单价：水价为5.94元/m³。</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4）施工机械台时费</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主要施工机械台时费与主体工程保持一致，不足部分按照《施工机械台时费定额》编制。</w:t>
      </w:r>
    </w:p>
    <w:p>
      <w:pPr>
        <w:pStyle w:val="56"/>
        <w:ind w:firstLine="482"/>
        <w:rPr>
          <w:rFonts w:hint="default" w:ascii="Times New Roman" w:hAnsi="Times New Roman" w:cs="Times New Roman"/>
          <w:b/>
          <w:color w:val="auto"/>
          <w:highlight w:val="none"/>
        </w:rPr>
      </w:pPr>
      <w:r>
        <w:rPr>
          <w:rFonts w:hint="default" w:ascii="Times New Roman" w:hAnsi="Times New Roman" w:cs="Times New Roman"/>
          <w:b/>
          <w:color w:val="auto"/>
          <w:highlight w:val="none"/>
        </w:rPr>
        <w:t>（2）工程单价</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工程单价采用主体工程单价，不足部分采用《水土保持工程</w:t>
      </w:r>
      <w:r>
        <w:rPr>
          <w:rFonts w:hint="eastAsia" w:cs="Times New Roman"/>
          <w:color w:val="auto"/>
          <w:highlight w:val="none"/>
          <w:lang w:eastAsia="zh-CN"/>
        </w:rPr>
        <w:t>概算</w:t>
      </w:r>
      <w:r>
        <w:rPr>
          <w:rFonts w:hint="default" w:ascii="Times New Roman" w:hAnsi="Times New Roman" w:cs="Times New Roman"/>
          <w:color w:val="auto"/>
          <w:highlight w:val="none"/>
        </w:rPr>
        <w:t>定额》编制。单价中费率采用主体工程的费率，主体工程</w:t>
      </w:r>
      <w:r>
        <w:rPr>
          <w:rFonts w:hint="eastAsia" w:cs="Times New Roman"/>
          <w:color w:val="auto"/>
          <w:highlight w:val="none"/>
          <w:lang w:eastAsia="zh-CN"/>
        </w:rPr>
        <w:t>概算</w:t>
      </w:r>
      <w:r>
        <w:rPr>
          <w:rFonts w:hint="default" w:ascii="Times New Roman" w:hAnsi="Times New Roman" w:cs="Times New Roman"/>
          <w:color w:val="auto"/>
          <w:highlight w:val="none"/>
        </w:rPr>
        <w:t>中未明确的采用《开发建设项目水土保持工程概（估）算编制规定》。</w:t>
      </w:r>
    </w:p>
    <w:p>
      <w:pPr>
        <w:pStyle w:val="56"/>
        <w:ind w:firstLine="482"/>
        <w:rPr>
          <w:rFonts w:hint="default" w:ascii="Times New Roman" w:hAnsi="Times New Roman" w:cs="Times New Roman"/>
          <w:b/>
          <w:color w:val="auto"/>
          <w:highlight w:val="none"/>
        </w:rPr>
      </w:pPr>
      <w:r>
        <w:rPr>
          <w:rFonts w:hint="default" w:ascii="Times New Roman" w:hAnsi="Times New Roman" w:cs="Times New Roman"/>
          <w:b/>
          <w:color w:val="auto"/>
          <w:highlight w:val="none"/>
        </w:rPr>
        <w:t>（3）费率标准</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工程措施单价根据《水土保持工程概（估）算编制规定》规定，由直接工程费（包括直接费、其他直接费、现场经费）、间接费、企业利润、税金和扩大系数构成。</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措施费率表，见表7-1-1。</w:t>
      </w:r>
    </w:p>
    <w:p>
      <w:pPr>
        <w:pStyle w:val="75"/>
        <w:ind w:firstLine="1205" w:firstLineChars="5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表7-1-1           措施费率汇总表单位：%</w:t>
      </w:r>
    </w:p>
    <w:tbl>
      <w:tblPr>
        <w:tblStyle w:val="27"/>
        <w:tblW w:w="90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9"/>
        <w:gridCol w:w="1294"/>
        <w:gridCol w:w="3271"/>
        <w:gridCol w:w="1305"/>
        <w:gridCol w:w="1154"/>
        <w:gridCol w:w="13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679"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序号</w:t>
            </w:r>
          </w:p>
        </w:tc>
        <w:tc>
          <w:tcPr>
            <w:tcW w:w="1294"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工程类别</w:t>
            </w:r>
          </w:p>
        </w:tc>
        <w:tc>
          <w:tcPr>
            <w:tcW w:w="3271"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计算基础</w:t>
            </w:r>
          </w:p>
        </w:tc>
        <w:tc>
          <w:tcPr>
            <w:tcW w:w="1305"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土石方工程</w:t>
            </w:r>
          </w:p>
        </w:tc>
        <w:tc>
          <w:tcPr>
            <w:tcW w:w="1154"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植物措施</w:t>
            </w:r>
          </w:p>
        </w:tc>
        <w:tc>
          <w:tcPr>
            <w:tcW w:w="1357"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其他工程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679"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一</w:t>
            </w:r>
          </w:p>
        </w:tc>
        <w:tc>
          <w:tcPr>
            <w:tcW w:w="1294"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其他直接费</w:t>
            </w:r>
          </w:p>
        </w:tc>
        <w:tc>
          <w:tcPr>
            <w:tcW w:w="3271"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直接费</w:t>
            </w:r>
          </w:p>
        </w:tc>
        <w:tc>
          <w:tcPr>
            <w:tcW w:w="1305"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4.0</w:t>
            </w:r>
          </w:p>
        </w:tc>
        <w:tc>
          <w:tcPr>
            <w:tcW w:w="1154"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3.0</w:t>
            </w:r>
          </w:p>
        </w:tc>
        <w:tc>
          <w:tcPr>
            <w:tcW w:w="1357"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679"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二</w:t>
            </w:r>
          </w:p>
        </w:tc>
        <w:tc>
          <w:tcPr>
            <w:tcW w:w="1294"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现场经费</w:t>
            </w:r>
          </w:p>
        </w:tc>
        <w:tc>
          <w:tcPr>
            <w:tcW w:w="3271"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直接费</w:t>
            </w:r>
          </w:p>
        </w:tc>
        <w:tc>
          <w:tcPr>
            <w:tcW w:w="1305"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5</w:t>
            </w:r>
          </w:p>
        </w:tc>
        <w:tc>
          <w:tcPr>
            <w:tcW w:w="1154"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4.0</w:t>
            </w:r>
          </w:p>
        </w:tc>
        <w:tc>
          <w:tcPr>
            <w:tcW w:w="1357"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679"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三</w:t>
            </w:r>
          </w:p>
        </w:tc>
        <w:tc>
          <w:tcPr>
            <w:tcW w:w="1294"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间接费</w:t>
            </w:r>
          </w:p>
        </w:tc>
        <w:tc>
          <w:tcPr>
            <w:tcW w:w="3271"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直接工程费</w:t>
            </w:r>
          </w:p>
        </w:tc>
        <w:tc>
          <w:tcPr>
            <w:tcW w:w="1305"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4.4</w:t>
            </w:r>
          </w:p>
        </w:tc>
        <w:tc>
          <w:tcPr>
            <w:tcW w:w="1154"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3.3</w:t>
            </w:r>
          </w:p>
        </w:tc>
        <w:tc>
          <w:tcPr>
            <w:tcW w:w="1357"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679"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四</w:t>
            </w:r>
          </w:p>
        </w:tc>
        <w:tc>
          <w:tcPr>
            <w:tcW w:w="1294"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企业利润</w:t>
            </w:r>
          </w:p>
        </w:tc>
        <w:tc>
          <w:tcPr>
            <w:tcW w:w="3271"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直工程接费+间接费</w:t>
            </w:r>
          </w:p>
        </w:tc>
        <w:tc>
          <w:tcPr>
            <w:tcW w:w="1305"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7</w:t>
            </w:r>
          </w:p>
        </w:tc>
        <w:tc>
          <w:tcPr>
            <w:tcW w:w="1154"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5.</w:t>
            </w:r>
          </w:p>
        </w:tc>
        <w:tc>
          <w:tcPr>
            <w:tcW w:w="1357"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679"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五</w:t>
            </w:r>
          </w:p>
        </w:tc>
        <w:tc>
          <w:tcPr>
            <w:tcW w:w="1294"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税金</w:t>
            </w:r>
          </w:p>
        </w:tc>
        <w:tc>
          <w:tcPr>
            <w:tcW w:w="3271"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直接费工程费+间接费+企业利润</w:t>
            </w:r>
          </w:p>
        </w:tc>
        <w:tc>
          <w:tcPr>
            <w:tcW w:w="1305"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9</w:t>
            </w:r>
          </w:p>
        </w:tc>
        <w:tc>
          <w:tcPr>
            <w:tcW w:w="1154"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9</w:t>
            </w:r>
          </w:p>
        </w:tc>
        <w:tc>
          <w:tcPr>
            <w:tcW w:w="1357"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679"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六</w:t>
            </w:r>
          </w:p>
        </w:tc>
        <w:tc>
          <w:tcPr>
            <w:tcW w:w="1294"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扩大</w:t>
            </w:r>
          </w:p>
        </w:tc>
        <w:tc>
          <w:tcPr>
            <w:tcW w:w="3271" w:type="dxa"/>
            <w:vAlign w:val="center"/>
          </w:tcPr>
          <w:p>
            <w:pPr>
              <w:pStyle w:val="84"/>
              <w:rPr>
                <w:rFonts w:hint="default" w:ascii="Times New Roman" w:hAnsi="Times New Roman" w:cs="Times New Roman"/>
                <w:snapToGrid w:val="0"/>
                <w:color w:val="auto"/>
                <w:kern w:val="24"/>
                <w:highlight w:val="none"/>
              </w:rPr>
            </w:pPr>
          </w:p>
        </w:tc>
        <w:tc>
          <w:tcPr>
            <w:tcW w:w="1305"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10</w:t>
            </w:r>
          </w:p>
        </w:tc>
        <w:tc>
          <w:tcPr>
            <w:tcW w:w="1154"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10</w:t>
            </w:r>
          </w:p>
        </w:tc>
        <w:tc>
          <w:tcPr>
            <w:tcW w:w="1357" w:type="dxa"/>
            <w:vAlign w:val="center"/>
          </w:tcPr>
          <w:p>
            <w:pPr>
              <w:pStyle w:val="84"/>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10</w:t>
            </w:r>
          </w:p>
        </w:tc>
      </w:tr>
    </w:tbl>
    <w:p>
      <w:pPr>
        <w:pStyle w:val="56"/>
        <w:ind w:firstLine="482"/>
        <w:rPr>
          <w:rFonts w:hint="default" w:ascii="Times New Roman" w:hAnsi="Times New Roman" w:cs="Times New Roman"/>
          <w:b/>
          <w:color w:val="auto"/>
          <w:highlight w:val="none"/>
        </w:rPr>
      </w:pPr>
      <w:r>
        <w:rPr>
          <w:rFonts w:hint="default" w:ascii="Times New Roman" w:hAnsi="Times New Roman" w:cs="Times New Roman"/>
          <w:b/>
          <w:color w:val="auto"/>
          <w:highlight w:val="none"/>
        </w:rPr>
        <w:t>（4）临时工程</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临时防护设施按设计工程量计算投资，其他临时工程投资按前两部分建安工作量之和的2％计算。</w:t>
      </w:r>
    </w:p>
    <w:p>
      <w:pPr>
        <w:pStyle w:val="56"/>
        <w:ind w:firstLine="482"/>
        <w:rPr>
          <w:rFonts w:hint="default" w:ascii="Times New Roman" w:hAnsi="Times New Roman" w:cs="Times New Roman"/>
          <w:b/>
          <w:color w:val="auto"/>
          <w:highlight w:val="none"/>
        </w:rPr>
      </w:pPr>
      <w:r>
        <w:rPr>
          <w:rFonts w:hint="default" w:ascii="Times New Roman" w:hAnsi="Times New Roman" w:cs="Times New Roman"/>
          <w:b/>
          <w:color w:val="auto"/>
          <w:highlight w:val="none"/>
        </w:rPr>
        <w:t>（5）独立费用</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独立费用包括建设管理费、水土保持工程监理费、科研勘测设计费、水土保持监测费、水土保持设施验收报告编制费。独立费用计算，详见表7-1-2。</w:t>
      </w:r>
    </w:p>
    <w:p>
      <w:pPr>
        <w:pStyle w:val="75"/>
        <w:ind w:firstLine="1205" w:firstLineChars="5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表7.1-2             独立费用计算表</w:t>
      </w:r>
    </w:p>
    <w:tbl>
      <w:tblPr>
        <w:tblStyle w:val="27"/>
        <w:tblW w:w="909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85"/>
        <w:gridCol w:w="1708"/>
        <w:gridCol w:w="4819"/>
        <w:gridCol w:w="21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2093" w:type="dxa"/>
            <w:gridSpan w:val="2"/>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项目名称</w:t>
            </w:r>
          </w:p>
        </w:tc>
        <w:tc>
          <w:tcPr>
            <w:tcW w:w="4819"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编制依据</w:t>
            </w:r>
          </w:p>
        </w:tc>
        <w:tc>
          <w:tcPr>
            <w:tcW w:w="2184"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计算公式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85" w:type="dxa"/>
            <w:vMerge w:val="restart"/>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独立费用</w:t>
            </w:r>
          </w:p>
        </w:tc>
        <w:tc>
          <w:tcPr>
            <w:tcW w:w="1708"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建设管理费</w:t>
            </w:r>
          </w:p>
        </w:tc>
        <w:tc>
          <w:tcPr>
            <w:tcW w:w="4819"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《开发建设项目水土保持工程概（估）算编制规定》67号文水利部。此项费用与主体工程合并使用</w:t>
            </w:r>
          </w:p>
        </w:tc>
        <w:tc>
          <w:tcPr>
            <w:tcW w:w="2184"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新增措施投资×2.0%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1" w:hRule="atLeast"/>
        </w:trPr>
        <w:tc>
          <w:tcPr>
            <w:tcW w:w="385" w:type="dxa"/>
            <w:vMerge w:val="continue"/>
            <w:vAlign w:val="center"/>
          </w:tcPr>
          <w:p>
            <w:pPr>
              <w:pStyle w:val="84"/>
              <w:rPr>
                <w:rFonts w:hint="default" w:ascii="Times New Roman" w:hAnsi="Times New Roman" w:cs="Times New Roman"/>
                <w:color w:val="auto"/>
                <w:highlight w:val="none"/>
              </w:rPr>
            </w:pPr>
          </w:p>
        </w:tc>
        <w:tc>
          <w:tcPr>
            <w:tcW w:w="1708"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水土保持监理费</w:t>
            </w:r>
          </w:p>
        </w:tc>
        <w:tc>
          <w:tcPr>
            <w:tcW w:w="4819"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国家发展与改革委员会办公厅、建设部办公厅《关于印发修订建设监理与咨询服务费收费标准的工作方案的通知》（发改办价格[2007]670号）</w:t>
            </w:r>
          </w:p>
        </w:tc>
        <w:tc>
          <w:tcPr>
            <w:tcW w:w="2184"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结合水土保持监理费取费依据以及项目建设实际情况确定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85" w:type="dxa"/>
            <w:vMerge w:val="continue"/>
            <w:vAlign w:val="center"/>
          </w:tcPr>
          <w:p>
            <w:pPr>
              <w:pStyle w:val="84"/>
              <w:rPr>
                <w:rFonts w:hint="default" w:ascii="Times New Roman" w:hAnsi="Times New Roman" w:cs="Times New Roman"/>
                <w:color w:val="auto"/>
                <w:highlight w:val="none"/>
              </w:rPr>
            </w:pPr>
          </w:p>
        </w:tc>
        <w:tc>
          <w:tcPr>
            <w:tcW w:w="1708"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勘测设计费</w:t>
            </w:r>
          </w:p>
        </w:tc>
        <w:tc>
          <w:tcPr>
            <w:tcW w:w="4819"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本项目科研勘测设计费，根据建设单位和水土保持方案编制单位签订的合同计算。</w:t>
            </w:r>
          </w:p>
        </w:tc>
        <w:tc>
          <w:tcPr>
            <w:tcW w:w="2184"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根据实际合同额确定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4" w:hRule="atLeast"/>
        </w:trPr>
        <w:tc>
          <w:tcPr>
            <w:tcW w:w="385" w:type="dxa"/>
            <w:vMerge w:val="continue"/>
            <w:vAlign w:val="center"/>
          </w:tcPr>
          <w:p>
            <w:pPr>
              <w:pStyle w:val="84"/>
              <w:rPr>
                <w:rFonts w:hint="default" w:ascii="Times New Roman" w:hAnsi="Times New Roman" w:cs="Times New Roman"/>
                <w:color w:val="auto"/>
                <w:highlight w:val="none"/>
              </w:rPr>
            </w:pPr>
          </w:p>
        </w:tc>
        <w:tc>
          <w:tcPr>
            <w:tcW w:w="1708"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水土保持监测费</w:t>
            </w:r>
          </w:p>
        </w:tc>
        <w:tc>
          <w:tcPr>
            <w:tcW w:w="4819"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水土保持监测费：包括监测人员费、土建设施费、消耗性材料费和监测设备折旧费这四部分费用，其中监测人员费按监测单位制定收费计取。</w:t>
            </w:r>
          </w:p>
        </w:tc>
        <w:tc>
          <w:tcPr>
            <w:tcW w:w="2184"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根据实际工作量计算确定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85" w:type="dxa"/>
            <w:vMerge w:val="continue"/>
            <w:vAlign w:val="center"/>
          </w:tcPr>
          <w:p>
            <w:pPr>
              <w:pStyle w:val="84"/>
              <w:rPr>
                <w:rFonts w:hint="default" w:ascii="Times New Roman" w:hAnsi="Times New Roman" w:cs="Times New Roman"/>
                <w:color w:val="auto"/>
                <w:highlight w:val="none"/>
              </w:rPr>
            </w:pPr>
          </w:p>
        </w:tc>
        <w:tc>
          <w:tcPr>
            <w:tcW w:w="1708"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水土保持设施验收报告编制费</w:t>
            </w:r>
          </w:p>
        </w:tc>
        <w:tc>
          <w:tcPr>
            <w:tcW w:w="4819"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　</w:t>
            </w:r>
          </w:p>
        </w:tc>
        <w:tc>
          <w:tcPr>
            <w:tcW w:w="2184"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结合项目建设实际情况确定</w:t>
            </w:r>
          </w:p>
        </w:tc>
      </w:tr>
    </w:tbl>
    <w:p>
      <w:pPr>
        <w:pStyle w:val="56"/>
        <w:ind w:firstLine="482"/>
        <w:rPr>
          <w:rFonts w:hint="default" w:ascii="Times New Roman" w:hAnsi="Times New Roman" w:cs="Times New Roman"/>
          <w:b/>
          <w:color w:val="auto"/>
          <w:highlight w:val="none"/>
        </w:rPr>
      </w:pPr>
      <w:r>
        <w:rPr>
          <w:rFonts w:hint="default" w:ascii="Times New Roman" w:hAnsi="Times New Roman" w:cs="Times New Roman"/>
          <w:b/>
          <w:color w:val="auto"/>
          <w:highlight w:val="none"/>
        </w:rPr>
        <w:t>（6）基本预备费</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本项目基本预备费按工程措施、植物措施、施工临时工程、独立费用之和6％计算。</w:t>
      </w:r>
    </w:p>
    <w:p>
      <w:pPr>
        <w:pStyle w:val="56"/>
        <w:ind w:firstLine="482"/>
        <w:rPr>
          <w:rFonts w:hint="default" w:ascii="Times New Roman" w:hAnsi="Times New Roman" w:cs="Times New Roman"/>
          <w:b/>
          <w:color w:val="auto"/>
          <w:highlight w:val="none"/>
        </w:rPr>
      </w:pPr>
      <w:r>
        <w:rPr>
          <w:rFonts w:hint="default" w:ascii="Times New Roman" w:hAnsi="Times New Roman" w:cs="Times New Roman"/>
          <w:b/>
          <w:color w:val="auto"/>
          <w:highlight w:val="none"/>
        </w:rPr>
        <w:t>（7）水土保持补偿费</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新疆维吾尔自治区水土保持设施补偿费、水土流失防治费收缴使用管理暂行规定》新政发(2000)45号和《新疆维吾尔自治区水土保持补偿费征收使用管理办法》新财非税〔2015〕10号，本项目为建设类，后期运行期间不存在持续扰动地表的情况。考虑到本项目为光伏发电项目，因此水土保持补偿费按占用地表面积每平方米0.30元一次性缴纳。本项目占地面积共计4</w:t>
      </w:r>
      <w:r>
        <w:rPr>
          <w:rFonts w:hint="eastAsia" w:cs="Times New Roman"/>
          <w:color w:val="auto"/>
          <w:highlight w:val="none"/>
          <w:lang w:val="en-US" w:eastAsia="zh-CN"/>
        </w:rPr>
        <w:t>9.46</w:t>
      </w:r>
      <w:r>
        <w:rPr>
          <w:rFonts w:hint="default" w:ascii="Times New Roman" w:hAnsi="Times New Roman" w:cs="Times New Roman"/>
          <w:color w:val="auto"/>
          <w:highlight w:val="none"/>
        </w:rPr>
        <w:t>hm²，应缴纳水土保持补偿费14.</w:t>
      </w:r>
      <w:r>
        <w:rPr>
          <w:rFonts w:hint="eastAsia" w:cs="Times New Roman"/>
          <w:color w:val="auto"/>
          <w:highlight w:val="none"/>
          <w:lang w:val="en-US" w:eastAsia="zh-CN"/>
        </w:rPr>
        <w:t>838</w:t>
      </w:r>
      <w:r>
        <w:rPr>
          <w:rFonts w:hint="default" w:ascii="Times New Roman" w:hAnsi="Times New Roman" w:cs="Times New Roman"/>
          <w:color w:val="auto"/>
          <w:highlight w:val="none"/>
        </w:rPr>
        <w:t>万元。</w:t>
      </w:r>
    </w:p>
    <w:p>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7.1.2.2 </w:t>
      </w:r>
      <w:r>
        <w:rPr>
          <w:rFonts w:hint="eastAsia" w:cs="Times New Roman"/>
          <w:color w:val="auto"/>
          <w:highlight w:val="none"/>
          <w:lang w:eastAsia="zh-CN"/>
        </w:rPr>
        <w:t>概算</w:t>
      </w:r>
      <w:r>
        <w:rPr>
          <w:rFonts w:hint="default" w:ascii="Times New Roman" w:hAnsi="Times New Roman" w:cs="Times New Roman"/>
          <w:color w:val="auto"/>
          <w:highlight w:val="none"/>
        </w:rPr>
        <w:t>成果</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本项目水土保持总投资为</w:t>
      </w:r>
      <w:r>
        <w:rPr>
          <w:rFonts w:hint="eastAsia" w:cs="Times New Roman"/>
          <w:color w:val="auto"/>
          <w:highlight w:val="none"/>
          <w:lang w:val="en-US" w:eastAsia="zh-CN"/>
        </w:rPr>
        <w:t>105.51</w:t>
      </w:r>
      <w:r>
        <w:rPr>
          <w:rFonts w:hint="default" w:ascii="Times New Roman" w:hAnsi="Times New Roman" w:cs="Times New Roman"/>
          <w:color w:val="auto"/>
          <w:highlight w:val="none"/>
        </w:rPr>
        <w:t>万元，主体已列水土保持总投资为</w:t>
      </w:r>
      <w:r>
        <w:rPr>
          <w:rFonts w:hint="eastAsia" w:cs="Times New Roman"/>
          <w:color w:val="auto"/>
          <w:highlight w:val="none"/>
          <w:lang w:val="en-US" w:eastAsia="zh-CN"/>
        </w:rPr>
        <w:t>30.90</w:t>
      </w:r>
      <w:r>
        <w:rPr>
          <w:rFonts w:hint="default" w:ascii="Times New Roman" w:hAnsi="Times New Roman" w:cs="Times New Roman"/>
          <w:color w:val="auto"/>
          <w:highlight w:val="none"/>
        </w:rPr>
        <w:t>万元，新增水土保持总投资为</w:t>
      </w:r>
      <w:r>
        <w:rPr>
          <w:rFonts w:hint="eastAsia" w:cs="Times New Roman"/>
          <w:color w:val="auto"/>
          <w:highlight w:val="none"/>
          <w:lang w:val="en-US" w:eastAsia="zh-CN"/>
        </w:rPr>
        <w:t>74.61</w:t>
      </w:r>
      <w:r>
        <w:rPr>
          <w:rFonts w:hint="default" w:ascii="Times New Roman" w:hAnsi="Times New Roman" w:cs="Times New Roman"/>
          <w:color w:val="auto"/>
          <w:highlight w:val="none"/>
        </w:rPr>
        <w:t>万元。水土保持总投资中工程措施投资</w:t>
      </w:r>
      <w:r>
        <w:rPr>
          <w:rFonts w:hint="eastAsia" w:cs="Times New Roman"/>
          <w:color w:val="auto"/>
          <w:highlight w:val="none"/>
          <w:lang w:val="en-US" w:eastAsia="zh-CN"/>
        </w:rPr>
        <w:t>17.19</w:t>
      </w:r>
      <w:r>
        <w:rPr>
          <w:rFonts w:hint="default" w:ascii="Times New Roman" w:hAnsi="Times New Roman" w:cs="Times New Roman"/>
          <w:color w:val="auto"/>
          <w:highlight w:val="none"/>
        </w:rPr>
        <w:t>万元，临时措施投资</w:t>
      </w:r>
      <w:r>
        <w:rPr>
          <w:rFonts w:hint="eastAsia" w:cs="Times New Roman"/>
          <w:color w:val="auto"/>
          <w:highlight w:val="none"/>
          <w:lang w:val="en-US" w:eastAsia="zh-CN"/>
        </w:rPr>
        <w:t>19.40</w:t>
      </w:r>
      <w:r>
        <w:rPr>
          <w:rFonts w:hint="default" w:ascii="Times New Roman" w:hAnsi="Times New Roman" w:cs="Times New Roman"/>
          <w:color w:val="auto"/>
          <w:highlight w:val="none"/>
        </w:rPr>
        <w:t>万元，独立费用</w:t>
      </w:r>
      <w:r>
        <w:rPr>
          <w:rFonts w:hint="eastAsia" w:cs="Times New Roman"/>
          <w:color w:val="auto"/>
          <w:highlight w:val="none"/>
          <w:lang w:val="en-US" w:eastAsia="zh-CN"/>
        </w:rPr>
        <w:t>50.70</w:t>
      </w:r>
      <w:r>
        <w:rPr>
          <w:rFonts w:hint="default" w:ascii="Times New Roman" w:hAnsi="Times New Roman" w:cs="Times New Roman"/>
          <w:color w:val="auto"/>
          <w:highlight w:val="none"/>
        </w:rPr>
        <w:t>万元（其中监理费5.50万元，监测费</w:t>
      </w:r>
      <w:r>
        <w:rPr>
          <w:rFonts w:hint="eastAsia" w:cs="Times New Roman"/>
          <w:color w:val="auto"/>
          <w:highlight w:val="none"/>
          <w:lang w:val="en-US" w:eastAsia="zh-CN"/>
        </w:rPr>
        <w:t>23.09</w:t>
      </w:r>
      <w:r>
        <w:rPr>
          <w:rFonts w:hint="default" w:ascii="Times New Roman" w:hAnsi="Times New Roman" w:cs="Times New Roman"/>
          <w:color w:val="auto"/>
          <w:highlight w:val="none"/>
        </w:rPr>
        <w:t>万元），基本预备费</w:t>
      </w:r>
      <w:r>
        <w:rPr>
          <w:rFonts w:hint="eastAsia" w:cs="Times New Roman"/>
          <w:color w:val="auto"/>
          <w:highlight w:val="none"/>
          <w:lang w:val="en-US" w:eastAsia="zh-CN"/>
        </w:rPr>
        <w:t>3.38</w:t>
      </w:r>
      <w:r>
        <w:rPr>
          <w:rFonts w:hint="default" w:ascii="Times New Roman" w:hAnsi="Times New Roman" w:cs="Times New Roman"/>
          <w:color w:val="auto"/>
          <w:highlight w:val="none"/>
        </w:rPr>
        <w:t>万元，水土保持补偿费14.</w:t>
      </w:r>
      <w:r>
        <w:rPr>
          <w:rFonts w:hint="eastAsia" w:cs="Times New Roman"/>
          <w:color w:val="auto"/>
          <w:highlight w:val="none"/>
          <w:lang w:val="en-US" w:eastAsia="zh-CN"/>
        </w:rPr>
        <w:t>838</w:t>
      </w:r>
      <w:r>
        <w:rPr>
          <w:rFonts w:hint="default" w:ascii="Times New Roman" w:hAnsi="Times New Roman" w:cs="Times New Roman"/>
          <w:color w:val="auto"/>
          <w:highlight w:val="none"/>
        </w:rPr>
        <w:t>万元。</w:t>
      </w:r>
    </w:p>
    <w:p>
      <w:pPr>
        <w:widowControl/>
        <w:adjustRightInd/>
        <w:snapToGrid/>
        <w:spacing w:line="240" w:lineRule="auto"/>
        <w:ind w:firstLine="0" w:firstLineChars="0"/>
        <w:jc w:val="left"/>
        <w:rPr>
          <w:rFonts w:hint="default" w:ascii="Times New Roman" w:hAnsi="Times New Roman" w:eastAsia="仿宋_GB2312" w:cs="Times New Roman"/>
          <w:snapToGrid w:val="0"/>
          <w:color w:val="auto"/>
          <w:kern w:val="24"/>
          <w:szCs w:val="24"/>
          <w:highlight w:val="none"/>
        </w:rPr>
      </w:pPr>
      <w:r>
        <w:rPr>
          <w:rFonts w:hint="default" w:ascii="Times New Roman" w:hAnsi="Times New Roman" w:eastAsia="仿宋_GB2312" w:cs="Times New Roman"/>
          <w:snapToGrid w:val="0"/>
          <w:color w:val="auto"/>
          <w:kern w:val="24"/>
          <w:szCs w:val="24"/>
          <w:highlight w:val="none"/>
        </w:rPr>
        <w:br w:type="page"/>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表7.1-3     水土保持投资</w:t>
      </w:r>
      <w:r>
        <w:rPr>
          <w:rFonts w:hint="eastAsia" w:cs="Times New Roman"/>
          <w:color w:val="auto"/>
          <w:highlight w:val="none"/>
          <w:lang w:eastAsia="zh-CN"/>
        </w:rPr>
        <w:t>概算</w:t>
      </w:r>
      <w:r>
        <w:rPr>
          <w:rFonts w:hint="default" w:ascii="Times New Roman" w:hAnsi="Times New Roman" w:cs="Times New Roman"/>
          <w:color w:val="auto"/>
          <w:highlight w:val="none"/>
        </w:rPr>
        <w:t>总表       单位：万元</w:t>
      </w:r>
    </w:p>
    <w:tbl>
      <w:tblPr>
        <w:tblStyle w:val="27"/>
        <w:tblW w:w="999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768"/>
        <w:gridCol w:w="1426"/>
        <w:gridCol w:w="1080"/>
        <w:gridCol w:w="1069"/>
        <w:gridCol w:w="1055"/>
        <w:gridCol w:w="1080"/>
        <w:gridCol w:w="1225"/>
        <w:gridCol w:w="1062"/>
        <w:gridCol w:w="12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atLeast"/>
          <w:jc w:val="center"/>
        </w:trPr>
        <w:tc>
          <w:tcPr>
            <w:tcW w:w="768"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序号</w:t>
            </w:r>
          </w:p>
        </w:tc>
        <w:tc>
          <w:tcPr>
            <w:tcW w:w="142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工程或费用名称</w:t>
            </w:r>
          </w:p>
        </w:tc>
        <w:tc>
          <w:tcPr>
            <w:tcW w:w="5509" w:type="dxa"/>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方案新增措施投资</w:t>
            </w:r>
          </w:p>
        </w:tc>
        <w:tc>
          <w:tcPr>
            <w:tcW w:w="106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主体已列</w:t>
            </w:r>
          </w:p>
        </w:tc>
        <w:tc>
          <w:tcPr>
            <w:tcW w:w="122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合计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8"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4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建安工程费</w:t>
            </w:r>
          </w:p>
        </w:tc>
        <w:tc>
          <w:tcPr>
            <w:tcW w:w="2124"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植物措施费</w:t>
            </w:r>
          </w:p>
        </w:tc>
        <w:tc>
          <w:tcPr>
            <w:tcW w:w="108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独立费用</w:t>
            </w:r>
          </w:p>
        </w:tc>
        <w:tc>
          <w:tcPr>
            <w:tcW w:w="122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小计</w:t>
            </w:r>
          </w:p>
        </w:tc>
        <w:tc>
          <w:tcPr>
            <w:tcW w:w="1062"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snapToGrid w:val="0"/>
                <w:color w:val="auto"/>
                <w:kern w:val="24"/>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8"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426"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栽植费</w:t>
            </w: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苗木、草种费</w:t>
            </w:r>
          </w:p>
        </w:tc>
        <w:tc>
          <w:tcPr>
            <w:tcW w:w="1080"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2"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vMerge w:val="continue"/>
            <w:tcBorders>
              <w:tl2br w:val="nil"/>
              <w:tr2bl w:val="nil"/>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仿宋_GB2312" w:cs="Times New Roman"/>
                <w:snapToGrid w:val="0"/>
                <w:color w:val="auto"/>
                <w:kern w:val="24"/>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94"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第一部分 工程措施</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5.69</w:t>
            </w: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5.69</w:t>
            </w: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11.50</w:t>
            </w: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17.19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一</w:t>
            </w:r>
          </w:p>
        </w:tc>
        <w:tc>
          <w:tcPr>
            <w:tcW w:w="142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光伏发电区</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5.69</w:t>
            </w: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5.69</w:t>
            </w: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10.55</w:t>
            </w: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16.24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二</w:t>
            </w:r>
          </w:p>
        </w:tc>
        <w:tc>
          <w:tcPr>
            <w:tcW w:w="142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道路工程区</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三</w:t>
            </w:r>
          </w:p>
        </w:tc>
        <w:tc>
          <w:tcPr>
            <w:tcW w:w="142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运行管理</w:t>
            </w:r>
            <w:r>
              <w:rPr>
                <w:rFonts w:hint="default" w:ascii="Times New Roman" w:hAnsi="Times New Roman" w:eastAsia="仿宋_GB2312" w:cs="Times New Roman"/>
                <w:snapToGrid w:val="0"/>
                <w:color w:val="auto"/>
                <w:kern w:val="24"/>
                <w:sz w:val="21"/>
                <w:szCs w:val="21"/>
                <w:highlight w:val="none"/>
                <w:lang w:val="en-US" w:eastAsia="zh-CN" w:bidi="ar-SA"/>
              </w:rPr>
              <w:t>区</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0.45</w:t>
            </w: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0.45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四</w:t>
            </w:r>
          </w:p>
        </w:tc>
        <w:tc>
          <w:tcPr>
            <w:tcW w:w="142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施工生产生活区</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0.50</w:t>
            </w: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0.50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94"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第二部分 植物措施</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94"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第三部分 临时工程</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19.40</w:t>
            </w: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19.40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一</w:t>
            </w:r>
          </w:p>
        </w:tc>
        <w:tc>
          <w:tcPr>
            <w:tcW w:w="142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光伏发电区</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6.66</w:t>
            </w: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6.66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二</w:t>
            </w:r>
          </w:p>
        </w:tc>
        <w:tc>
          <w:tcPr>
            <w:tcW w:w="142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道路工程区</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10.54</w:t>
            </w: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10.54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三</w:t>
            </w:r>
          </w:p>
        </w:tc>
        <w:tc>
          <w:tcPr>
            <w:tcW w:w="142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运行管理</w:t>
            </w:r>
            <w:r>
              <w:rPr>
                <w:rFonts w:hint="default" w:ascii="Times New Roman" w:hAnsi="Times New Roman" w:eastAsia="仿宋_GB2312" w:cs="Times New Roman"/>
                <w:snapToGrid w:val="0"/>
                <w:color w:val="auto"/>
                <w:kern w:val="24"/>
                <w:sz w:val="21"/>
                <w:szCs w:val="21"/>
                <w:highlight w:val="none"/>
                <w:lang w:val="en-US" w:eastAsia="zh-CN" w:bidi="ar-SA"/>
              </w:rPr>
              <w:t>区</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0.96</w:t>
            </w: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0.96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四</w:t>
            </w:r>
          </w:p>
        </w:tc>
        <w:tc>
          <w:tcPr>
            <w:tcW w:w="142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施工生产生活区</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1.24</w:t>
            </w: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1.24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五</w:t>
            </w:r>
          </w:p>
        </w:tc>
        <w:tc>
          <w:tcPr>
            <w:tcW w:w="142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其他临时工程</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94"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一至三部分合计</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5.69</w:t>
            </w: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30.90</w:t>
            </w: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36.59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94"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第四部分 独立费用</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50.70</w:t>
            </w: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50.70</w:t>
            </w: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53.91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一</w:t>
            </w:r>
          </w:p>
        </w:tc>
        <w:tc>
          <w:tcPr>
            <w:tcW w:w="142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建设管理费</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0.</w:t>
            </w:r>
            <w:r>
              <w:rPr>
                <w:rFonts w:hint="eastAsia" w:eastAsia="仿宋_GB2312" w:cs="Times New Roman"/>
                <w:snapToGrid w:val="0"/>
                <w:color w:val="auto"/>
                <w:kern w:val="24"/>
                <w:sz w:val="21"/>
                <w:szCs w:val="21"/>
                <w:highlight w:val="none"/>
                <w:lang w:val="en-US" w:eastAsia="zh-CN" w:bidi="ar-SA"/>
              </w:rPr>
              <w:t>11</w:t>
            </w: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0.</w:t>
            </w:r>
            <w:r>
              <w:rPr>
                <w:rFonts w:hint="eastAsia" w:eastAsia="仿宋_GB2312" w:cs="Times New Roman"/>
                <w:snapToGrid w:val="0"/>
                <w:color w:val="auto"/>
                <w:kern w:val="24"/>
                <w:sz w:val="21"/>
                <w:szCs w:val="21"/>
                <w:highlight w:val="none"/>
                <w:lang w:val="en-US" w:eastAsia="zh-CN" w:bidi="ar-SA"/>
              </w:rPr>
              <w:t>11</w:t>
            </w: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0.27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二</w:t>
            </w:r>
          </w:p>
        </w:tc>
        <w:tc>
          <w:tcPr>
            <w:tcW w:w="142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水土保持监理费</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5.50</w:t>
            </w: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5.50</w:t>
            </w: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5.50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三</w:t>
            </w:r>
          </w:p>
        </w:tc>
        <w:tc>
          <w:tcPr>
            <w:tcW w:w="142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勘测设计费</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12.00</w:t>
            </w: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12.00</w:t>
            </w: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12.00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四</w:t>
            </w:r>
          </w:p>
        </w:tc>
        <w:tc>
          <w:tcPr>
            <w:tcW w:w="142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水土保持监测费</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23.09</w:t>
            </w: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23.09</w:t>
            </w: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23.09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五</w:t>
            </w:r>
          </w:p>
        </w:tc>
        <w:tc>
          <w:tcPr>
            <w:tcW w:w="142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水土保持设施验收费</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10.00</w:t>
            </w: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10.00</w:t>
            </w: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10.00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94"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一至四部分合计</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56.39</w:t>
            </w: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30.90</w:t>
            </w: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87.29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94"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基本预备费</w:t>
            </w:r>
          </w:p>
        </w:tc>
        <w:tc>
          <w:tcPr>
            <w:tcW w:w="4284" w:type="dxa"/>
            <w:gridSpan w:val="4"/>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基本预备费按6%计列基数费率</w:t>
            </w: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3.38</w:t>
            </w: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3.38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94"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水土保持补偿费</w:t>
            </w:r>
          </w:p>
        </w:tc>
        <w:tc>
          <w:tcPr>
            <w:tcW w:w="4284" w:type="dxa"/>
            <w:gridSpan w:val="4"/>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水土保持补偿费缴纳面积4</w:t>
            </w:r>
            <w:r>
              <w:rPr>
                <w:rFonts w:hint="eastAsia" w:eastAsia="仿宋_GB2312" w:cs="Times New Roman"/>
                <w:snapToGrid w:val="0"/>
                <w:color w:val="auto"/>
                <w:kern w:val="24"/>
                <w:sz w:val="21"/>
                <w:szCs w:val="21"/>
                <w:highlight w:val="none"/>
                <w:lang w:val="en-US" w:eastAsia="zh-CN" w:bidi="ar-SA"/>
              </w:rPr>
              <w:t>9.46</w:t>
            </w:r>
            <w:r>
              <w:rPr>
                <w:rFonts w:hint="default" w:ascii="Times New Roman" w:hAnsi="Times New Roman" w:eastAsia="仿宋_GB2312" w:cs="Times New Roman"/>
                <w:snapToGrid w:val="0"/>
                <w:color w:val="auto"/>
                <w:kern w:val="24"/>
                <w:sz w:val="21"/>
                <w:szCs w:val="21"/>
                <w:highlight w:val="none"/>
                <w:lang w:val="en-US" w:eastAsia="zh-CN" w:bidi="ar-SA"/>
              </w:rPr>
              <w:t>hm²，补偿费标准0.30元/m²</w:t>
            </w: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14.</w:t>
            </w:r>
            <w:r>
              <w:rPr>
                <w:rFonts w:hint="eastAsia" w:eastAsia="仿宋_GB2312" w:cs="Times New Roman"/>
                <w:snapToGrid w:val="0"/>
                <w:color w:val="auto"/>
                <w:kern w:val="24"/>
                <w:sz w:val="21"/>
                <w:szCs w:val="21"/>
                <w:highlight w:val="none"/>
                <w:lang w:val="en-US" w:eastAsia="zh-CN" w:bidi="ar-SA"/>
              </w:rPr>
              <w:t>838</w:t>
            </w: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14.3397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94"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总投资</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74.61</w:t>
            </w:r>
          </w:p>
        </w:tc>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30.90</w:t>
            </w:r>
          </w:p>
        </w:tc>
        <w:tc>
          <w:tcPr>
            <w:tcW w:w="122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105.51</w:t>
            </w:r>
          </w:p>
        </w:tc>
      </w:tr>
    </w:tbl>
    <w:p>
      <w:pPr>
        <w:widowControl/>
        <w:adjustRightInd/>
        <w:snapToGrid/>
        <w:spacing w:line="240" w:lineRule="auto"/>
        <w:ind w:firstLine="0" w:firstLineChars="0"/>
        <w:jc w:val="left"/>
        <w:rPr>
          <w:rFonts w:hint="default" w:ascii="Times New Roman" w:hAnsi="Times New Roman" w:eastAsia="仿宋_GB2312" w:cs="Times New Roman"/>
          <w:b/>
          <w:bCs/>
          <w:color w:val="auto"/>
          <w:kern w:val="0"/>
          <w:szCs w:val="21"/>
          <w:highlight w:val="none"/>
        </w:rPr>
      </w:pPr>
      <w:r>
        <w:rPr>
          <w:rFonts w:hint="default" w:ascii="Times New Roman" w:hAnsi="Times New Roman" w:cs="Times New Roman"/>
          <w:color w:val="auto"/>
          <w:highlight w:val="none"/>
        </w:rPr>
        <w:br w:type="page"/>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表7.1-4    主体工程已列的具有水土保持功能的水土保持措施投资汇总表</w:t>
      </w:r>
    </w:p>
    <w:tbl>
      <w:tblPr>
        <w:tblStyle w:val="27"/>
        <w:tblW w:w="926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28"/>
        <w:gridCol w:w="1154"/>
        <w:gridCol w:w="921"/>
        <w:gridCol w:w="921"/>
        <w:gridCol w:w="487"/>
        <w:gridCol w:w="754"/>
        <w:gridCol w:w="1230"/>
        <w:gridCol w:w="1035"/>
        <w:gridCol w:w="143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82" w:type="dxa"/>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防治分区</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措施类型</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措施名称</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单位</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工程量</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备注</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单价（元）</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合计（元）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28" w:type="dxa"/>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光伏发电区</w:t>
            </w:r>
          </w:p>
        </w:tc>
        <w:tc>
          <w:tcPr>
            <w:tcW w:w="1154" w:type="dxa"/>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光伏阵列区</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工程措施</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土地平整</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hm²</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6.87</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default" w:ascii="Times New Roman" w:hAnsi="Times New Roman" w:eastAsia="仿宋_GB2312" w:cs="Times New Roman"/>
                <w:snapToGrid w:val="0"/>
                <w:color w:val="auto"/>
                <w:kern w:val="24"/>
                <w:sz w:val="21"/>
                <w:szCs w:val="21"/>
                <w:highlight w:val="none"/>
              </w:rPr>
              <w:t>1095</w:t>
            </w:r>
            <w:r>
              <w:rPr>
                <w:rFonts w:hint="eastAsia" w:eastAsia="仿宋_GB2312" w:cs="Times New Roman"/>
                <w:snapToGrid w:val="0"/>
                <w:color w:val="auto"/>
                <w:kern w:val="24"/>
                <w:sz w:val="21"/>
                <w:szCs w:val="21"/>
                <w:highlight w:val="none"/>
                <w:lang w:val="en-US" w:eastAsia="zh-CN"/>
              </w:rPr>
              <w:t>1.00</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default" w:eastAsia="仿宋_GB2312" w:cs="Times New Roman"/>
                <w:snapToGrid w:val="0"/>
                <w:color w:val="auto"/>
                <w:kern w:val="24"/>
                <w:sz w:val="21"/>
                <w:szCs w:val="21"/>
                <w:highlight w:val="none"/>
                <w:lang w:val="en-US" w:eastAsia="zh-CN"/>
              </w:rPr>
              <w:t xml:space="preserve">75233.37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28" w:type="dxa"/>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154" w:type="dxa"/>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临时措施</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洒水</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m</w:t>
            </w:r>
            <w:r>
              <w:rPr>
                <w:rFonts w:hint="eastAsia" w:eastAsia="仿宋_GB2312" w:cs="Times New Roman"/>
                <w:snapToGrid w:val="0"/>
                <w:color w:val="auto"/>
                <w:kern w:val="24"/>
                <w:sz w:val="21"/>
                <w:szCs w:val="21"/>
                <w:highlight w:val="none"/>
                <w:vertAlign w:val="superscript"/>
                <w:lang w:val="en-US" w:eastAsia="zh-CN"/>
              </w:rPr>
              <w:t>3</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2120.00</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15.21</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default" w:eastAsia="仿宋_GB2312" w:cs="Times New Roman"/>
                <w:snapToGrid w:val="0"/>
                <w:color w:val="auto"/>
                <w:kern w:val="24"/>
                <w:sz w:val="21"/>
                <w:szCs w:val="21"/>
                <w:highlight w:val="none"/>
                <w:lang w:val="en-US" w:eastAsia="zh-CN"/>
              </w:rPr>
              <w:t xml:space="preserve">32245.20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28" w:type="dxa"/>
            <w:vMerge w:val="continue"/>
            <w:tcBorders>
              <w:tl2br w:val="nil"/>
              <w:tr2bl w:val="nil"/>
            </w:tcBorders>
            <w:shd w:val="clear" w:color="auto" w:fill="auto"/>
            <w:tcMar>
              <w:top w:w="15" w:type="dxa"/>
              <w:left w:w="15" w:type="dxa"/>
              <w:right w:w="15" w:type="dxa"/>
            </w:tcMar>
            <w:vAlign w:val="center"/>
          </w:tcPr>
          <w:p>
            <w:pPr>
              <w:spacing w:line="240" w:lineRule="auto"/>
              <w:ind w:firstLine="420"/>
              <w:jc w:val="center"/>
              <w:rPr>
                <w:rFonts w:hint="default" w:ascii="Times New Roman" w:hAnsi="Times New Roman" w:eastAsia="仿宋_GB2312" w:cs="Times New Roman"/>
                <w:snapToGrid w:val="0"/>
                <w:color w:val="auto"/>
                <w:kern w:val="24"/>
                <w:sz w:val="21"/>
                <w:szCs w:val="21"/>
                <w:highlight w:val="none"/>
              </w:rPr>
            </w:pPr>
          </w:p>
        </w:tc>
        <w:tc>
          <w:tcPr>
            <w:tcW w:w="1154" w:type="dxa"/>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集电线路区</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工程措施</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土地平整</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hm²</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2.76</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1095</w:t>
            </w:r>
            <w:r>
              <w:rPr>
                <w:rFonts w:hint="eastAsia" w:eastAsia="仿宋_GB2312" w:cs="Times New Roman"/>
                <w:snapToGrid w:val="0"/>
                <w:color w:val="auto"/>
                <w:kern w:val="24"/>
                <w:sz w:val="21"/>
                <w:szCs w:val="21"/>
                <w:highlight w:val="none"/>
                <w:lang w:val="en-US" w:eastAsia="zh-CN"/>
              </w:rPr>
              <w:t>1.00</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default" w:eastAsia="仿宋_GB2312" w:cs="Times New Roman"/>
                <w:snapToGrid w:val="0"/>
                <w:color w:val="auto"/>
                <w:kern w:val="24"/>
                <w:sz w:val="21"/>
                <w:szCs w:val="21"/>
                <w:highlight w:val="none"/>
                <w:lang w:val="en-US" w:eastAsia="zh-CN"/>
              </w:rPr>
              <w:t xml:space="preserve">30224.76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28" w:type="dxa"/>
            <w:vMerge w:val="continue"/>
            <w:tcBorders>
              <w:tl2br w:val="nil"/>
              <w:tr2bl w:val="nil"/>
            </w:tcBorders>
            <w:shd w:val="clear" w:color="auto" w:fill="auto"/>
            <w:tcMar>
              <w:top w:w="15" w:type="dxa"/>
              <w:left w:w="15" w:type="dxa"/>
              <w:right w:w="15" w:type="dxa"/>
            </w:tcMar>
            <w:vAlign w:val="center"/>
          </w:tcPr>
          <w:p>
            <w:pPr>
              <w:spacing w:line="240" w:lineRule="auto"/>
              <w:ind w:firstLine="420"/>
              <w:jc w:val="center"/>
              <w:rPr>
                <w:rFonts w:hint="default" w:ascii="Times New Roman" w:hAnsi="Times New Roman" w:eastAsia="仿宋_GB2312" w:cs="Times New Roman"/>
                <w:snapToGrid w:val="0"/>
                <w:color w:val="auto"/>
                <w:kern w:val="24"/>
                <w:sz w:val="21"/>
                <w:szCs w:val="21"/>
                <w:highlight w:val="none"/>
              </w:rPr>
            </w:pPr>
          </w:p>
        </w:tc>
        <w:tc>
          <w:tcPr>
            <w:tcW w:w="1154" w:type="dxa"/>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临时措施</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防尘网苫盖</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m</w:t>
            </w:r>
            <w:r>
              <w:rPr>
                <w:rFonts w:hint="eastAsia" w:eastAsia="仿宋_GB2312" w:cs="Times New Roman"/>
                <w:snapToGrid w:val="0"/>
                <w:color w:val="auto"/>
                <w:kern w:val="24"/>
                <w:sz w:val="21"/>
                <w:szCs w:val="21"/>
                <w:highlight w:val="none"/>
                <w:vertAlign w:val="superscript"/>
                <w:lang w:val="en-US" w:eastAsia="zh-CN"/>
              </w:rPr>
              <w:t>2</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3600.00</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9.55</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default" w:eastAsia="仿宋_GB2312" w:cs="Times New Roman"/>
                <w:snapToGrid w:val="0"/>
                <w:color w:val="auto"/>
                <w:kern w:val="24"/>
                <w:sz w:val="21"/>
                <w:szCs w:val="21"/>
                <w:highlight w:val="none"/>
                <w:lang w:val="en-US" w:eastAsia="zh-CN"/>
              </w:rPr>
              <w:t xml:space="preserve">34380.00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28" w:type="dxa"/>
            <w:vMerge w:val="restart"/>
            <w:tcBorders>
              <w:tl2br w:val="nil"/>
              <w:tr2bl w:val="nil"/>
            </w:tcBorders>
            <w:shd w:val="clear" w:color="auto" w:fill="auto"/>
            <w:tcMar>
              <w:top w:w="15" w:type="dxa"/>
              <w:left w:w="15" w:type="dxa"/>
              <w:right w:w="15" w:type="dxa"/>
            </w:tcMar>
            <w:vAlign w:val="center"/>
          </w:tcPr>
          <w:p>
            <w:pPr>
              <w:spacing w:line="240" w:lineRule="auto"/>
              <w:ind w:left="0" w:leftChars="0" w:firstLine="0" w:firstLineChars="0"/>
              <w:jc w:val="center"/>
              <w:rPr>
                <w:rFonts w:hint="eastAsia" w:ascii="Times New Roman" w:hAnsi="Times New Roman" w:eastAsia="仿宋_GB2312" w:cs="Times New Roman"/>
                <w:snapToGrid w:val="0"/>
                <w:color w:val="auto"/>
                <w:kern w:val="24"/>
                <w:sz w:val="21"/>
                <w:szCs w:val="21"/>
                <w:highlight w:val="none"/>
                <w:lang w:eastAsia="zh-CN"/>
              </w:rPr>
            </w:pPr>
            <w:r>
              <w:rPr>
                <w:rFonts w:hint="eastAsia" w:ascii="Times New Roman" w:hAnsi="Times New Roman" w:eastAsia="仿宋_GB2312" w:cs="Times New Roman"/>
                <w:snapToGrid w:val="0"/>
                <w:color w:val="auto"/>
                <w:kern w:val="24"/>
                <w:sz w:val="21"/>
                <w:szCs w:val="21"/>
                <w:highlight w:val="none"/>
                <w:lang w:eastAsia="zh-CN"/>
              </w:rPr>
              <w:t>道路工程区</w:t>
            </w:r>
          </w:p>
        </w:tc>
        <w:tc>
          <w:tcPr>
            <w:tcW w:w="11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进场道路</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eastAsia="zh-CN"/>
              </w:rPr>
              <w:t>临时措施</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洒水</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m</w:t>
            </w:r>
            <w:r>
              <w:rPr>
                <w:rFonts w:hint="eastAsia" w:eastAsia="仿宋_GB2312" w:cs="Times New Roman"/>
                <w:snapToGrid w:val="0"/>
                <w:color w:val="auto"/>
                <w:kern w:val="24"/>
                <w:sz w:val="21"/>
                <w:szCs w:val="21"/>
                <w:highlight w:val="none"/>
                <w:vertAlign w:val="superscript"/>
                <w:lang w:val="en-US" w:eastAsia="zh-CN"/>
              </w:rPr>
              <w:t>3</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18.00</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15.21</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default" w:eastAsia="仿宋_GB2312" w:cs="Times New Roman"/>
                <w:snapToGrid w:val="0"/>
                <w:color w:val="auto"/>
                <w:kern w:val="24"/>
                <w:sz w:val="21"/>
                <w:szCs w:val="21"/>
                <w:highlight w:val="none"/>
                <w:lang w:val="en-US" w:eastAsia="zh-CN"/>
              </w:rPr>
              <w:t xml:space="preserve">273.78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28" w:type="dxa"/>
            <w:vMerge w:val="continue"/>
            <w:tcBorders>
              <w:tl2br w:val="nil"/>
              <w:tr2bl w:val="nil"/>
            </w:tcBorders>
            <w:shd w:val="clear" w:color="auto" w:fill="auto"/>
            <w:tcMar>
              <w:top w:w="15" w:type="dxa"/>
              <w:left w:w="15" w:type="dxa"/>
              <w:right w:w="15" w:type="dxa"/>
            </w:tcMar>
            <w:vAlign w:val="center"/>
          </w:tcPr>
          <w:p>
            <w:pPr>
              <w:spacing w:line="240" w:lineRule="auto"/>
              <w:ind w:firstLine="420"/>
              <w:jc w:val="center"/>
              <w:rPr>
                <w:rFonts w:hint="default" w:ascii="Times New Roman" w:hAnsi="Times New Roman" w:eastAsia="仿宋_GB2312" w:cs="Times New Roman"/>
                <w:snapToGrid w:val="0"/>
                <w:color w:val="auto"/>
                <w:kern w:val="24"/>
                <w:sz w:val="21"/>
                <w:szCs w:val="21"/>
                <w:highlight w:val="none"/>
              </w:rPr>
            </w:pPr>
          </w:p>
        </w:tc>
        <w:tc>
          <w:tcPr>
            <w:tcW w:w="11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场内道路</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eastAsia="zh-CN"/>
              </w:rPr>
              <w:t>临时措施</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洒水</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m</w:t>
            </w:r>
            <w:r>
              <w:rPr>
                <w:rFonts w:hint="eastAsia" w:eastAsia="仿宋_GB2312" w:cs="Times New Roman"/>
                <w:snapToGrid w:val="0"/>
                <w:color w:val="auto"/>
                <w:kern w:val="24"/>
                <w:sz w:val="21"/>
                <w:szCs w:val="21"/>
                <w:highlight w:val="none"/>
                <w:vertAlign w:val="superscript"/>
                <w:lang w:val="en-US" w:eastAsia="zh-CN"/>
              </w:rPr>
              <w:t>3</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6912.00</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15.21</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default" w:eastAsia="仿宋_GB2312" w:cs="Times New Roman"/>
                <w:snapToGrid w:val="0"/>
                <w:color w:val="auto"/>
                <w:kern w:val="24"/>
                <w:sz w:val="21"/>
                <w:szCs w:val="21"/>
                <w:highlight w:val="none"/>
                <w:lang w:val="en-US" w:eastAsia="zh-CN"/>
              </w:rPr>
              <w:t xml:space="preserve">105131.52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82" w:type="dxa"/>
            <w:gridSpan w:val="2"/>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eastAsia="zh-CN"/>
              </w:rPr>
              <w:t>运行管理</w:t>
            </w:r>
            <w:r>
              <w:rPr>
                <w:rFonts w:hint="default" w:ascii="Times New Roman" w:hAnsi="Times New Roman" w:eastAsia="仿宋_GB2312" w:cs="Times New Roman"/>
                <w:snapToGrid w:val="0"/>
                <w:color w:val="auto"/>
                <w:kern w:val="24"/>
                <w:sz w:val="21"/>
                <w:szCs w:val="21"/>
                <w:highlight w:val="none"/>
              </w:rPr>
              <w:t>区</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工程措施</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土地平整</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hm²</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0.41</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1095</w:t>
            </w:r>
            <w:r>
              <w:rPr>
                <w:rFonts w:hint="eastAsia" w:eastAsia="仿宋_GB2312" w:cs="Times New Roman"/>
                <w:snapToGrid w:val="0"/>
                <w:color w:val="auto"/>
                <w:kern w:val="24"/>
                <w:sz w:val="21"/>
                <w:szCs w:val="21"/>
                <w:highlight w:val="none"/>
                <w:lang w:val="en-US" w:eastAsia="zh-CN"/>
              </w:rPr>
              <w:t>1.00</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default" w:eastAsia="仿宋_GB2312" w:cs="Times New Roman"/>
                <w:snapToGrid w:val="0"/>
                <w:color w:val="auto"/>
                <w:kern w:val="24"/>
                <w:sz w:val="21"/>
                <w:szCs w:val="21"/>
                <w:highlight w:val="none"/>
                <w:lang w:val="en-US" w:eastAsia="zh-CN"/>
              </w:rPr>
              <w:t xml:space="preserve">4489.91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82" w:type="dxa"/>
            <w:gridSpan w:val="2"/>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临时措施</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防尘网苫盖</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m</w:t>
            </w:r>
            <w:r>
              <w:rPr>
                <w:rFonts w:hint="eastAsia" w:eastAsia="仿宋_GB2312" w:cs="Times New Roman"/>
                <w:snapToGrid w:val="0"/>
                <w:color w:val="auto"/>
                <w:kern w:val="24"/>
                <w:sz w:val="21"/>
                <w:szCs w:val="21"/>
                <w:highlight w:val="none"/>
                <w:vertAlign w:val="superscript"/>
                <w:lang w:val="en-US" w:eastAsia="zh-CN"/>
              </w:rPr>
              <w:t>2</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1000.00</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eastAsia" w:eastAsia="仿宋_GB2312" w:cs="Times New Roman"/>
                <w:snapToGrid w:val="0"/>
                <w:color w:val="auto"/>
                <w:kern w:val="24"/>
                <w:sz w:val="21"/>
                <w:szCs w:val="21"/>
                <w:highlight w:val="none"/>
                <w:lang w:val="en-US" w:eastAsia="zh-CN"/>
              </w:rPr>
              <w:t>9.55</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default" w:eastAsia="仿宋_GB2312" w:cs="Times New Roman"/>
                <w:snapToGrid w:val="0"/>
                <w:color w:val="auto"/>
                <w:kern w:val="24"/>
                <w:sz w:val="21"/>
                <w:szCs w:val="21"/>
                <w:highlight w:val="none"/>
                <w:lang w:val="en-US" w:eastAsia="zh-CN"/>
              </w:rPr>
              <w:t xml:space="preserve">9550.00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82" w:type="dxa"/>
            <w:gridSpan w:val="2"/>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施工生产生活区</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工程措施</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土地平整</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hm²</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0.46</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default" w:ascii="Times New Roman" w:hAnsi="Times New Roman" w:eastAsia="仿宋_GB2312" w:cs="Times New Roman"/>
                <w:snapToGrid w:val="0"/>
                <w:color w:val="auto"/>
                <w:kern w:val="24"/>
                <w:sz w:val="21"/>
                <w:szCs w:val="21"/>
                <w:highlight w:val="none"/>
              </w:rPr>
              <w:t>1095</w:t>
            </w:r>
            <w:r>
              <w:rPr>
                <w:rFonts w:hint="eastAsia" w:eastAsia="仿宋_GB2312" w:cs="Times New Roman"/>
                <w:snapToGrid w:val="0"/>
                <w:color w:val="auto"/>
                <w:kern w:val="24"/>
                <w:sz w:val="21"/>
                <w:szCs w:val="21"/>
                <w:highlight w:val="none"/>
                <w:lang w:val="en-US" w:eastAsia="zh-CN"/>
              </w:rPr>
              <w:t>1.00</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default" w:eastAsia="仿宋_GB2312" w:cs="Times New Roman"/>
                <w:snapToGrid w:val="0"/>
                <w:color w:val="auto"/>
                <w:kern w:val="24"/>
                <w:sz w:val="21"/>
                <w:szCs w:val="21"/>
                <w:highlight w:val="none"/>
                <w:lang w:val="en-US" w:eastAsia="zh-CN"/>
              </w:rPr>
              <w:t xml:space="preserve">5037.46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82" w:type="dxa"/>
            <w:gridSpan w:val="2"/>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临时措施</w:t>
            </w:r>
          </w:p>
        </w:tc>
        <w:tc>
          <w:tcPr>
            <w:tcW w:w="921"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eastAsia="仿宋_GB2312" w:cs="Times New Roman"/>
                <w:snapToGrid w:val="0"/>
                <w:color w:val="auto"/>
                <w:kern w:val="24"/>
                <w:sz w:val="21"/>
                <w:szCs w:val="21"/>
                <w:highlight w:val="none"/>
                <w:lang w:eastAsia="zh-CN"/>
              </w:rPr>
            </w:pPr>
            <w:r>
              <w:rPr>
                <w:rFonts w:hint="eastAsia" w:eastAsia="仿宋_GB2312" w:cs="Times New Roman"/>
                <w:snapToGrid w:val="0"/>
                <w:color w:val="auto"/>
                <w:kern w:val="24"/>
                <w:sz w:val="21"/>
                <w:szCs w:val="21"/>
                <w:highlight w:val="none"/>
                <w:lang w:eastAsia="zh-CN"/>
              </w:rPr>
              <w:t>彩钢板围栏</w:t>
            </w:r>
          </w:p>
        </w:tc>
        <w:tc>
          <w:tcPr>
            <w:tcW w:w="48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m</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200.00</w:t>
            </w: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主体已列</w:t>
            </w:r>
            <w:r>
              <w:rPr>
                <w:rFonts w:hint="eastAsia" w:eastAsia="仿宋_GB2312" w:cs="Times New Roman"/>
                <w:snapToGrid w:val="0"/>
                <w:color w:val="auto"/>
                <w:kern w:val="24"/>
                <w:sz w:val="21"/>
                <w:szCs w:val="21"/>
                <w:highlight w:val="none"/>
                <w:lang w:eastAsia="zh-CN"/>
              </w:rPr>
              <w:t>，已实施</w:t>
            </w: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62.03</w:t>
            </w: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eastAsia="仿宋_GB2312" w:cs="Times New Roman"/>
                <w:snapToGrid w:val="0"/>
                <w:color w:val="auto"/>
                <w:kern w:val="24"/>
                <w:sz w:val="21"/>
                <w:szCs w:val="21"/>
                <w:highlight w:val="none"/>
                <w:lang w:val="en-US" w:eastAsia="zh-CN"/>
              </w:rPr>
            </w:pPr>
            <w:r>
              <w:rPr>
                <w:rFonts w:hint="default" w:eastAsia="仿宋_GB2312" w:cs="Times New Roman"/>
                <w:snapToGrid w:val="0"/>
                <w:color w:val="auto"/>
                <w:kern w:val="24"/>
                <w:sz w:val="21"/>
                <w:szCs w:val="21"/>
                <w:highlight w:val="none"/>
                <w:lang w:val="en-US" w:eastAsia="zh-CN"/>
              </w:rPr>
              <w:t xml:space="preserve">12406.00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11" w:type="dxa"/>
            <w:gridSpan w:val="5"/>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r>
              <w:rPr>
                <w:rFonts w:hint="default" w:ascii="Times New Roman" w:hAnsi="Times New Roman" w:eastAsia="仿宋_GB2312" w:cs="Times New Roman"/>
                <w:snapToGrid w:val="0"/>
                <w:color w:val="auto"/>
                <w:kern w:val="24"/>
                <w:sz w:val="21"/>
                <w:szCs w:val="21"/>
                <w:highlight w:val="none"/>
              </w:rPr>
              <w:t>合计</w:t>
            </w:r>
          </w:p>
        </w:tc>
        <w:tc>
          <w:tcPr>
            <w:tcW w:w="754"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230"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035"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rPr>
            </w:pPr>
          </w:p>
        </w:tc>
        <w:tc>
          <w:tcPr>
            <w:tcW w:w="1439"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rPr>
            </w:pPr>
            <w:r>
              <w:rPr>
                <w:rFonts w:hint="eastAsia" w:eastAsia="仿宋_GB2312" w:cs="Times New Roman"/>
                <w:snapToGrid w:val="0"/>
                <w:color w:val="auto"/>
                <w:kern w:val="24"/>
                <w:sz w:val="21"/>
                <w:szCs w:val="21"/>
                <w:highlight w:val="none"/>
                <w:lang w:val="en-US" w:eastAsia="zh-CN"/>
              </w:rPr>
              <w:t>308972.00</w:t>
            </w:r>
          </w:p>
        </w:tc>
      </w:tr>
    </w:tbl>
    <w:p>
      <w:pPr>
        <w:pStyle w:val="75"/>
        <w:rPr>
          <w:rFonts w:hint="default" w:ascii="Times New Roman" w:hAnsi="Times New Roman" w:cs="Times New Roman"/>
          <w:color w:val="auto"/>
          <w:highlight w:val="none"/>
        </w:rPr>
      </w:pPr>
    </w:p>
    <w:p>
      <w:pPr>
        <w:pStyle w:val="56"/>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注：本项目主体已列各措施单价均参考主体单价。</w:t>
      </w: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表7.1-5      方案新增措施分部工程投资</w:t>
      </w:r>
      <w:r>
        <w:rPr>
          <w:rFonts w:hint="eastAsia" w:cs="Times New Roman"/>
          <w:color w:val="auto"/>
          <w:highlight w:val="none"/>
          <w:lang w:eastAsia="zh-CN"/>
        </w:rPr>
        <w:t>概算</w:t>
      </w:r>
      <w:r>
        <w:rPr>
          <w:rFonts w:hint="default" w:ascii="Times New Roman" w:hAnsi="Times New Roman" w:cs="Times New Roman"/>
          <w:color w:val="auto"/>
          <w:highlight w:val="none"/>
        </w:rPr>
        <w:t>表</w:t>
      </w:r>
    </w:p>
    <w:tbl>
      <w:tblPr>
        <w:tblStyle w:val="27"/>
        <w:tblW w:w="886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080"/>
        <w:gridCol w:w="847"/>
        <w:gridCol w:w="1077"/>
        <w:gridCol w:w="1093"/>
        <w:gridCol w:w="708"/>
        <w:gridCol w:w="1004"/>
        <w:gridCol w:w="981"/>
        <w:gridCol w:w="1036"/>
        <w:gridCol w:w="104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atLeast"/>
          <w:jc w:val="center"/>
        </w:trPr>
        <w:tc>
          <w:tcPr>
            <w:tcW w:w="1927"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防治分区</w:t>
            </w:r>
          </w:p>
        </w:tc>
        <w:tc>
          <w:tcPr>
            <w:tcW w:w="107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措施类型</w:t>
            </w:r>
          </w:p>
        </w:tc>
        <w:tc>
          <w:tcPr>
            <w:tcW w:w="109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措施名称</w:t>
            </w:r>
          </w:p>
        </w:tc>
        <w:tc>
          <w:tcPr>
            <w:tcW w:w="70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单位</w:t>
            </w:r>
          </w:p>
        </w:tc>
        <w:tc>
          <w:tcPr>
            <w:tcW w:w="10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工程量</w:t>
            </w:r>
          </w:p>
        </w:tc>
        <w:tc>
          <w:tcPr>
            <w:tcW w:w="98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备注</w:t>
            </w:r>
          </w:p>
        </w:tc>
        <w:tc>
          <w:tcPr>
            <w:tcW w:w="103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单价（元）</w:t>
            </w:r>
          </w:p>
        </w:tc>
        <w:tc>
          <w:tcPr>
            <w:tcW w:w="104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合计（元）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光伏发电区</w:t>
            </w:r>
          </w:p>
        </w:tc>
        <w:tc>
          <w:tcPr>
            <w:tcW w:w="84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光伏阵列区</w:t>
            </w:r>
          </w:p>
        </w:tc>
        <w:tc>
          <w:tcPr>
            <w:tcW w:w="107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工程措</w:t>
            </w:r>
            <w:r>
              <w:rPr>
                <w:rFonts w:hint="default" w:ascii="Times New Roman" w:hAnsi="Times New Roman" w:eastAsia="仿宋_GB2312" w:cs="Times New Roman"/>
                <w:snapToGrid w:val="0"/>
                <w:color w:val="auto"/>
                <w:kern w:val="24"/>
                <w:sz w:val="21"/>
                <w:szCs w:val="21"/>
                <w:highlight w:val="none"/>
                <w:lang w:val="en-US" w:eastAsia="zh-CN" w:bidi="ar-SA"/>
              </w:rPr>
              <w:t>施</w:t>
            </w:r>
          </w:p>
        </w:tc>
        <w:tc>
          <w:tcPr>
            <w:tcW w:w="109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钢丝网围栏</w:t>
            </w:r>
          </w:p>
        </w:tc>
        <w:tc>
          <w:tcPr>
            <w:tcW w:w="70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m</w:t>
            </w:r>
          </w:p>
        </w:tc>
        <w:tc>
          <w:tcPr>
            <w:tcW w:w="10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1274</w:t>
            </w:r>
            <w:r>
              <w:rPr>
                <w:rFonts w:hint="default" w:ascii="Times New Roman" w:hAnsi="Times New Roman" w:eastAsia="仿宋_GB2312" w:cs="Times New Roman"/>
                <w:snapToGrid w:val="0"/>
                <w:color w:val="auto"/>
                <w:kern w:val="24"/>
                <w:sz w:val="21"/>
                <w:szCs w:val="21"/>
                <w:highlight w:val="none"/>
                <w:lang w:val="en-US" w:eastAsia="zh-CN" w:bidi="ar-SA"/>
              </w:rPr>
              <w:t>.00</w:t>
            </w:r>
          </w:p>
        </w:tc>
        <w:tc>
          <w:tcPr>
            <w:tcW w:w="98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方案新增</w:t>
            </w:r>
          </w:p>
        </w:tc>
        <w:tc>
          <w:tcPr>
            <w:tcW w:w="103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44.70</w:t>
            </w:r>
          </w:p>
        </w:tc>
        <w:tc>
          <w:tcPr>
            <w:tcW w:w="104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56947.80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5" w:type="dxa"/>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default" w:ascii="Times New Roman" w:hAnsi="Times New Roman" w:eastAsia="仿宋_GB2312" w:cs="Times New Roman"/>
                <w:snapToGrid w:val="0"/>
                <w:color w:val="auto"/>
                <w:kern w:val="24"/>
                <w:sz w:val="21"/>
                <w:szCs w:val="21"/>
                <w:highlight w:val="none"/>
                <w:lang w:val="en-US" w:eastAsia="zh-CN" w:bidi="ar-SA"/>
              </w:rPr>
              <w:t>合计</w:t>
            </w:r>
          </w:p>
        </w:tc>
        <w:tc>
          <w:tcPr>
            <w:tcW w:w="10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98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tc>
        <w:tc>
          <w:tcPr>
            <w:tcW w:w="2079"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r>
              <w:rPr>
                <w:rFonts w:hint="eastAsia" w:eastAsia="仿宋_GB2312" w:cs="Times New Roman"/>
                <w:snapToGrid w:val="0"/>
                <w:color w:val="auto"/>
                <w:kern w:val="24"/>
                <w:sz w:val="21"/>
                <w:szCs w:val="21"/>
                <w:highlight w:val="none"/>
                <w:lang w:val="en-US" w:eastAsia="zh-CN" w:bidi="ar-SA"/>
              </w:rPr>
              <w:t>56947.80</w:t>
            </w:r>
          </w:p>
        </w:tc>
      </w:tr>
    </w:tbl>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snapToGrid w:val="0"/>
          <w:color w:val="auto"/>
          <w:kern w:val="24"/>
          <w:sz w:val="21"/>
          <w:szCs w:val="21"/>
          <w:highlight w:val="none"/>
          <w:lang w:val="en-US" w:eastAsia="zh-CN" w:bidi="ar-SA"/>
        </w:rPr>
      </w:pPr>
    </w:p>
    <w:p>
      <w:pPr>
        <w:widowControl/>
        <w:adjustRightInd/>
        <w:snapToGrid/>
        <w:spacing w:line="240" w:lineRule="auto"/>
        <w:ind w:firstLine="0" w:firstLineChars="0"/>
        <w:jc w:val="left"/>
        <w:rPr>
          <w:rFonts w:hint="default" w:ascii="Times New Roman" w:hAnsi="Times New Roman" w:eastAsia="仿宋_GB2312" w:cs="Times New Roman"/>
          <w:b/>
          <w:bCs/>
          <w:color w:val="auto"/>
          <w:kern w:val="0"/>
          <w:szCs w:val="21"/>
          <w:highlight w:val="none"/>
        </w:rPr>
      </w:pPr>
      <w:r>
        <w:rPr>
          <w:rFonts w:hint="default" w:ascii="Times New Roman" w:hAnsi="Times New Roman" w:cs="Times New Roman"/>
          <w:color w:val="auto"/>
          <w:highlight w:val="none"/>
        </w:rPr>
        <w:br w:type="page"/>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表7.1-6     独立费用计算表    单位：万元</w:t>
      </w:r>
    </w:p>
    <w:tbl>
      <w:tblPr>
        <w:tblStyle w:val="27"/>
        <w:tblW w:w="90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5"/>
        <w:gridCol w:w="1729"/>
        <w:gridCol w:w="3684"/>
        <w:gridCol w:w="1991"/>
        <w:gridCol w:w="11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2234" w:type="dxa"/>
            <w:gridSpan w:val="2"/>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项目名称</w:t>
            </w:r>
          </w:p>
        </w:tc>
        <w:tc>
          <w:tcPr>
            <w:tcW w:w="3684"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编制依据</w:t>
            </w:r>
          </w:p>
        </w:tc>
        <w:tc>
          <w:tcPr>
            <w:tcW w:w="1991"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计算公式</w:t>
            </w:r>
          </w:p>
        </w:tc>
        <w:tc>
          <w:tcPr>
            <w:tcW w:w="1151"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0" w:hRule="atLeast"/>
          <w:jc w:val="center"/>
        </w:trPr>
        <w:tc>
          <w:tcPr>
            <w:tcW w:w="505" w:type="dxa"/>
            <w:vMerge w:val="restart"/>
            <w:shd w:val="clear" w:color="auto" w:fill="auto"/>
            <w:textDirection w:val="tbRlV"/>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独立费用</w:t>
            </w:r>
          </w:p>
        </w:tc>
        <w:tc>
          <w:tcPr>
            <w:tcW w:w="1729"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建设管理费</w:t>
            </w:r>
          </w:p>
        </w:tc>
        <w:tc>
          <w:tcPr>
            <w:tcW w:w="368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《开发建设项目水土保持工程概（估）算编制规定》67号文水利部。此项费用与主体工程合并使用</w:t>
            </w:r>
          </w:p>
        </w:tc>
        <w:tc>
          <w:tcPr>
            <w:tcW w:w="1991"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新增措施投资×2.0%</w:t>
            </w:r>
          </w:p>
        </w:tc>
        <w:tc>
          <w:tcPr>
            <w:tcW w:w="1151"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0.</w:t>
            </w:r>
            <w:r>
              <w:rPr>
                <w:rFonts w:hint="eastAsia" w:eastAsia="仿宋_GB2312" w:cs="Times New Roman"/>
                <w:color w:val="auto"/>
                <w:spacing w:val="-2"/>
                <w:kern w:val="0"/>
                <w:sz w:val="21"/>
                <w:szCs w:val="21"/>
                <w:highlight w:val="none"/>
                <w:lang w:val="en-US" w:eastAsia="zh-CN" w:bidi="ar-SA"/>
              </w:rPr>
              <w:t>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9" w:hRule="atLeast"/>
          <w:jc w:val="center"/>
        </w:trPr>
        <w:tc>
          <w:tcPr>
            <w:tcW w:w="505" w:type="dxa"/>
            <w:vMerge w:val="continue"/>
            <w:vAlign w:val="center"/>
          </w:tcPr>
          <w:p>
            <w:pPr>
              <w:pStyle w:val="84"/>
              <w:rPr>
                <w:rFonts w:hint="default" w:ascii="Times New Roman" w:hAnsi="Times New Roman" w:cs="Times New Roman"/>
                <w:color w:val="auto"/>
                <w:szCs w:val="20"/>
                <w:highlight w:val="none"/>
              </w:rPr>
            </w:pPr>
          </w:p>
        </w:tc>
        <w:tc>
          <w:tcPr>
            <w:tcW w:w="1729"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水土保持监理费</w:t>
            </w:r>
          </w:p>
        </w:tc>
        <w:tc>
          <w:tcPr>
            <w:tcW w:w="368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国家发展与改革委员会办公厅、建设部办公厅《关于印发修订建设监理与咨询服务费收费标准的工作方案的通知》（发改办价格[2007]670号）</w:t>
            </w:r>
          </w:p>
        </w:tc>
        <w:tc>
          <w:tcPr>
            <w:tcW w:w="1991"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结合水土保持监理费取费依据以及项目建设实际情况确定</w:t>
            </w:r>
          </w:p>
        </w:tc>
        <w:tc>
          <w:tcPr>
            <w:tcW w:w="1151"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5.50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1" w:hRule="atLeast"/>
          <w:jc w:val="center"/>
        </w:trPr>
        <w:tc>
          <w:tcPr>
            <w:tcW w:w="505" w:type="dxa"/>
            <w:vMerge w:val="continue"/>
            <w:vAlign w:val="center"/>
          </w:tcPr>
          <w:p>
            <w:pPr>
              <w:pStyle w:val="84"/>
              <w:rPr>
                <w:rFonts w:hint="default" w:ascii="Times New Roman" w:hAnsi="Times New Roman" w:cs="Times New Roman"/>
                <w:color w:val="auto"/>
                <w:szCs w:val="20"/>
                <w:highlight w:val="none"/>
              </w:rPr>
            </w:pPr>
          </w:p>
        </w:tc>
        <w:tc>
          <w:tcPr>
            <w:tcW w:w="1729"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勘测设计费</w:t>
            </w:r>
          </w:p>
        </w:tc>
        <w:tc>
          <w:tcPr>
            <w:tcW w:w="368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本项目科研勘测设计费，根据建设单位和水土保持方案编制单位签订的合同计算。</w:t>
            </w:r>
          </w:p>
        </w:tc>
        <w:tc>
          <w:tcPr>
            <w:tcW w:w="1991"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根据实际合同额确定</w:t>
            </w:r>
          </w:p>
        </w:tc>
        <w:tc>
          <w:tcPr>
            <w:tcW w:w="1151"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5" w:hRule="atLeast"/>
          <w:jc w:val="center"/>
        </w:trPr>
        <w:tc>
          <w:tcPr>
            <w:tcW w:w="505" w:type="dxa"/>
            <w:vMerge w:val="continue"/>
            <w:vAlign w:val="center"/>
          </w:tcPr>
          <w:p>
            <w:pPr>
              <w:pStyle w:val="84"/>
              <w:rPr>
                <w:rFonts w:hint="default" w:ascii="Times New Roman" w:hAnsi="Times New Roman" w:cs="Times New Roman"/>
                <w:color w:val="auto"/>
                <w:szCs w:val="20"/>
                <w:highlight w:val="none"/>
              </w:rPr>
            </w:pPr>
          </w:p>
        </w:tc>
        <w:tc>
          <w:tcPr>
            <w:tcW w:w="1729"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水土保持监测费</w:t>
            </w:r>
          </w:p>
        </w:tc>
        <w:tc>
          <w:tcPr>
            <w:tcW w:w="368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水土保持监测费：包括监测人员费、土建设施费、消耗性材料费和监测设备折旧费这四部分费用，其中监测人员费按监测单位制定收费计取。</w:t>
            </w:r>
          </w:p>
        </w:tc>
        <w:tc>
          <w:tcPr>
            <w:tcW w:w="1991"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根据实际工作量计算确定</w:t>
            </w:r>
          </w:p>
        </w:tc>
        <w:tc>
          <w:tcPr>
            <w:tcW w:w="1151"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23.09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5" w:hRule="atLeast"/>
          <w:jc w:val="center"/>
        </w:trPr>
        <w:tc>
          <w:tcPr>
            <w:tcW w:w="505" w:type="dxa"/>
            <w:vMerge w:val="continue"/>
            <w:vAlign w:val="center"/>
          </w:tcPr>
          <w:p>
            <w:pPr>
              <w:pStyle w:val="84"/>
              <w:rPr>
                <w:rFonts w:hint="default" w:ascii="Times New Roman" w:hAnsi="Times New Roman" w:cs="Times New Roman"/>
                <w:color w:val="auto"/>
                <w:szCs w:val="20"/>
                <w:highlight w:val="none"/>
              </w:rPr>
            </w:pPr>
          </w:p>
        </w:tc>
        <w:tc>
          <w:tcPr>
            <w:tcW w:w="1729"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水土保持设施验收报告编制费</w:t>
            </w:r>
          </w:p>
        </w:tc>
        <w:tc>
          <w:tcPr>
            <w:tcW w:w="368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　</w:t>
            </w:r>
          </w:p>
        </w:tc>
        <w:tc>
          <w:tcPr>
            <w:tcW w:w="1991" w:type="dxa"/>
            <w:shd w:val="clear" w:color="auto" w:fill="auto"/>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参考同类工程</w:t>
            </w:r>
          </w:p>
        </w:tc>
        <w:tc>
          <w:tcPr>
            <w:tcW w:w="1151"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7909" w:type="dxa"/>
            <w:gridSpan w:val="4"/>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合计</w:t>
            </w:r>
          </w:p>
        </w:tc>
        <w:tc>
          <w:tcPr>
            <w:tcW w:w="1151" w:type="dxa"/>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50.70</w:t>
            </w:r>
          </w:p>
        </w:tc>
      </w:tr>
    </w:tbl>
    <w:p>
      <w:pPr>
        <w:pStyle w:val="56"/>
        <w:ind w:firstLine="482"/>
        <w:rPr>
          <w:rFonts w:hint="default" w:ascii="Times New Roman" w:hAnsi="Times New Roman" w:cs="Times New Roman"/>
          <w:b/>
          <w:bCs/>
          <w:color w:val="auto"/>
          <w:highlight w:val="none"/>
        </w:rPr>
      </w:pP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表7.1-7      主要材料价格汇总表单价：元</w:t>
      </w:r>
    </w:p>
    <w:tbl>
      <w:tblPr>
        <w:tblStyle w:val="27"/>
        <w:tblW w:w="907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22"/>
        <w:gridCol w:w="1404"/>
        <w:gridCol w:w="895"/>
        <w:gridCol w:w="1022"/>
        <w:gridCol w:w="895"/>
        <w:gridCol w:w="902"/>
        <w:gridCol w:w="1276"/>
        <w:gridCol w:w="1121"/>
        <w:gridCol w:w="10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exact"/>
        </w:trPr>
        <w:tc>
          <w:tcPr>
            <w:tcW w:w="522"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1404"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名称及规格</w:t>
            </w:r>
          </w:p>
        </w:tc>
        <w:tc>
          <w:tcPr>
            <w:tcW w:w="895"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单位</w:t>
            </w:r>
          </w:p>
        </w:tc>
        <w:tc>
          <w:tcPr>
            <w:tcW w:w="1022"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预算价格</w:t>
            </w:r>
          </w:p>
        </w:tc>
        <w:tc>
          <w:tcPr>
            <w:tcW w:w="5230" w:type="dxa"/>
            <w:gridSpan w:val="5"/>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其中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exact"/>
        </w:trPr>
        <w:tc>
          <w:tcPr>
            <w:tcW w:w="522" w:type="dxa"/>
            <w:vMerge w:val="continue"/>
            <w:vAlign w:val="center"/>
          </w:tcPr>
          <w:p>
            <w:pPr>
              <w:pStyle w:val="84"/>
              <w:rPr>
                <w:rFonts w:hint="default" w:ascii="Times New Roman" w:hAnsi="Times New Roman" w:cs="Times New Roman"/>
                <w:color w:val="auto"/>
                <w:highlight w:val="none"/>
              </w:rPr>
            </w:pPr>
          </w:p>
        </w:tc>
        <w:tc>
          <w:tcPr>
            <w:tcW w:w="1404" w:type="dxa"/>
            <w:vMerge w:val="continue"/>
            <w:vAlign w:val="center"/>
          </w:tcPr>
          <w:p>
            <w:pPr>
              <w:pStyle w:val="84"/>
              <w:rPr>
                <w:rFonts w:hint="default" w:ascii="Times New Roman" w:hAnsi="Times New Roman" w:cs="Times New Roman"/>
                <w:color w:val="auto"/>
                <w:highlight w:val="none"/>
              </w:rPr>
            </w:pPr>
          </w:p>
        </w:tc>
        <w:tc>
          <w:tcPr>
            <w:tcW w:w="895" w:type="dxa"/>
            <w:vMerge w:val="continue"/>
            <w:vAlign w:val="center"/>
          </w:tcPr>
          <w:p>
            <w:pPr>
              <w:pStyle w:val="84"/>
              <w:rPr>
                <w:rFonts w:hint="default" w:ascii="Times New Roman" w:hAnsi="Times New Roman" w:cs="Times New Roman"/>
                <w:color w:val="auto"/>
                <w:highlight w:val="none"/>
              </w:rPr>
            </w:pPr>
          </w:p>
        </w:tc>
        <w:tc>
          <w:tcPr>
            <w:tcW w:w="1022" w:type="dxa"/>
            <w:vMerge w:val="continue"/>
            <w:vAlign w:val="center"/>
          </w:tcPr>
          <w:p>
            <w:pPr>
              <w:pStyle w:val="84"/>
              <w:rPr>
                <w:rFonts w:hint="default" w:ascii="Times New Roman" w:hAnsi="Times New Roman" w:cs="Times New Roman"/>
                <w:color w:val="auto"/>
                <w:highlight w:val="none"/>
              </w:rPr>
            </w:pPr>
          </w:p>
        </w:tc>
        <w:tc>
          <w:tcPr>
            <w:tcW w:w="895"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原价</w:t>
            </w:r>
          </w:p>
        </w:tc>
        <w:tc>
          <w:tcPr>
            <w:tcW w:w="902"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运杂费</w:t>
            </w:r>
          </w:p>
        </w:tc>
        <w:tc>
          <w:tcPr>
            <w:tcW w:w="1276"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到工地价格</w:t>
            </w:r>
          </w:p>
        </w:tc>
        <w:tc>
          <w:tcPr>
            <w:tcW w:w="2157" w:type="dxa"/>
            <w:gridSpan w:val="2"/>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采购及保管费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exact"/>
        </w:trPr>
        <w:tc>
          <w:tcPr>
            <w:tcW w:w="522" w:type="dxa"/>
            <w:vMerge w:val="continue"/>
            <w:vAlign w:val="center"/>
          </w:tcPr>
          <w:p>
            <w:pPr>
              <w:pStyle w:val="84"/>
              <w:rPr>
                <w:rFonts w:hint="default" w:ascii="Times New Roman" w:hAnsi="Times New Roman" w:cs="Times New Roman"/>
                <w:color w:val="auto"/>
                <w:highlight w:val="none"/>
              </w:rPr>
            </w:pPr>
          </w:p>
        </w:tc>
        <w:tc>
          <w:tcPr>
            <w:tcW w:w="1404" w:type="dxa"/>
            <w:vMerge w:val="continue"/>
            <w:vAlign w:val="center"/>
          </w:tcPr>
          <w:p>
            <w:pPr>
              <w:pStyle w:val="84"/>
              <w:rPr>
                <w:rFonts w:hint="default" w:ascii="Times New Roman" w:hAnsi="Times New Roman" w:cs="Times New Roman"/>
                <w:color w:val="auto"/>
                <w:highlight w:val="none"/>
              </w:rPr>
            </w:pPr>
          </w:p>
        </w:tc>
        <w:tc>
          <w:tcPr>
            <w:tcW w:w="895" w:type="dxa"/>
            <w:vMerge w:val="continue"/>
            <w:vAlign w:val="center"/>
          </w:tcPr>
          <w:p>
            <w:pPr>
              <w:pStyle w:val="84"/>
              <w:rPr>
                <w:rFonts w:hint="default" w:ascii="Times New Roman" w:hAnsi="Times New Roman" w:cs="Times New Roman"/>
                <w:color w:val="auto"/>
                <w:highlight w:val="none"/>
              </w:rPr>
            </w:pPr>
          </w:p>
        </w:tc>
        <w:tc>
          <w:tcPr>
            <w:tcW w:w="1022" w:type="dxa"/>
            <w:vMerge w:val="continue"/>
            <w:vAlign w:val="center"/>
          </w:tcPr>
          <w:p>
            <w:pPr>
              <w:pStyle w:val="84"/>
              <w:rPr>
                <w:rFonts w:hint="default" w:ascii="Times New Roman" w:hAnsi="Times New Roman" w:cs="Times New Roman"/>
                <w:color w:val="auto"/>
                <w:highlight w:val="none"/>
              </w:rPr>
            </w:pPr>
          </w:p>
        </w:tc>
        <w:tc>
          <w:tcPr>
            <w:tcW w:w="895" w:type="dxa"/>
            <w:vMerge w:val="continue"/>
            <w:vAlign w:val="center"/>
          </w:tcPr>
          <w:p>
            <w:pPr>
              <w:pStyle w:val="84"/>
              <w:rPr>
                <w:rFonts w:hint="default" w:ascii="Times New Roman" w:hAnsi="Times New Roman" w:cs="Times New Roman"/>
                <w:color w:val="auto"/>
                <w:highlight w:val="none"/>
              </w:rPr>
            </w:pPr>
          </w:p>
        </w:tc>
        <w:tc>
          <w:tcPr>
            <w:tcW w:w="902" w:type="dxa"/>
            <w:vMerge w:val="continue"/>
            <w:vAlign w:val="center"/>
          </w:tcPr>
          <w:p>
            <w:pPr>
              <w:pStyle w:val="84"/>
              <w:rPr>
                <w:rFonts w:hint="default" w:ascii="Times New Roman" w:hAnsi="Times New Roman" w:cs="Times New Roman"/>
                <w:color w:val="auto"/>
                <w:highlight w:val="none"/>
              </w:rPr>
            </w:pPr>
          </w:p>
        </w:tc>
        <w:tc>
          <w:tcPr>
            <w:tcW w:w="1276" w:type="dxa"/>
            <w:vMerge w:val="continue"/>
            <w:vAlign w:val="center"/>
          </w:tcPr>
          <w:p>
            <w:pPr>
              <w:pStyle w:val="84"/>
              <w:rPr>
                <w:rFonts w:hint="default" w:ascii="Times New Roman" w:hAnsi="Times New Roman" w:cs="Times New Roman"/>
                <w:color w:val="auto"/>
                <w:highlight w:val="none"/>
              </w:rPr>
            </w:pPr>
          </w:p>
        </w:tc>
        <w:tc>
          <w:tcPr>
            <w:tcW w:w="1121"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采保费率</w:t>
            </w:r>
          </w:p>
        </w:tc>
        <w:tc>
          <w:tcPr>
            <w:tcW w:w="1036"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采保费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exact"/>
        </w:trPr>
        <w:tc>
          <w:tcPr>
            <w:tcW w:w="522"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40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柴油</w:t>
            </w:r>
          </w:p>
        </w:tc>
        <w:tc>
          <w:tcPr>
            <w:tcW w:w="895"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kg</w:t>
            </w:r>
          </w:p>
        </w:tc>
        <w:tc>
          <w:tcPr>
            <w:tcW w:w="1022"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6.26</w:t>
            </w:r>
          </w:p>
        </w:tc>
        <w:tc>
          <w:tcPr>
            <w:tcW w:w="5230" w:type="dxa"/>
            <w:gridSpan w:val="5"/>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与主体工程一致</w:t>
            </w:r>
          </w:p>
          <w:p>
            <w:pPr>
              <w:pStyle w:val="84"/>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exact"/>
        </w:trPr>
        <w:tc>
          <w:tcPr>
            <w:tcW w:w="522"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140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汽油</w:t>
            </w:r>
          </w:p>
        </w:tc>
        <w:tc>
          <w:tcPr>
            <w:tcW w:w="895"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kg</w:t>
            </w:r>
          </w:p>
        </w:tc>
        <w:tc>
          <w:tcPr>
            <w:tcW w:w="1022"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7.6</w:t>
            </w:r>
          </w:p>
        </w:tc>
        <w:tc>
          <w:tcPr>
            <w:tcW w:w="5230" w:type="dxa"/>
            <w:gridSpan w:val="5"/>
            <w:vMerge w:val="continue"/>
            <w:vAlign w:val="center"/>
          </w:tcPr>
          <w:p>
            <w:pPr>
              <w:pStyle w:val="84"/>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exact"/>
        </w:trPr>
        <w:tc>
          <w:tcPr>
            <w:tcW w:w="522"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140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水</w:t>
            </w:r>
          </w:p>
        </w:tc>
        <w:tc>
          <w:tcPr>
            <w:tcW w:w="895"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m</w:t>
            </w:r>
            <w:r>
              <w:rPr>
                <w:rFonts w:hint="default" w:ascii="Times New Roman" w:hAnsi="Times New Roman" w:eastAsia="宋体" w:cs="Times New Roman"/>
                <w:color w:val="auto"/>
                <w:highlight w:val="none"/>
              </w:rPr>
              <w:t>³</w:t>
            </w:r>
          </w:p>
        </w:tc>
        <w:tc>
          <w:tcPr>
            <w:tcW w:w="1022"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5.94</w:t>
            </w:r>
          </w:p>
        </w:tc>
        <w:tc>
          <w:tcPr>
            <w:tcW w:w="5230" w:type="dxa"/>
            <w:gridSpan w:val="5"/>
            <w:vMerge w:val="continue"/>
            <w:vAlign w:val="center"/>
          </w:tcPr>
          <w:p>
            <w:pPr>
              <w:pStyle w:val="84"/>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exact"/>
        </w:trPr>
        <w:tc>
          <w:tcPr>
            <w:tcW w:w="522"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140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电</w:t>
            </w:r>
          </w:p>
        </w:tc>
        <w:tc>
          <w:tcPr>
            <w:tcW w:w="895" w:type="dxa"/>
            <w:shd w:val="clear" w:color="auto" w:fill="auto"/>
            <w:vAlign w:val="center"/>
          </w:tcPr>
          <w:p>
            <w:pPr>
              <w:pStyle w:val="84"/>
              <w:rPr>
                <w:rFonts w:hint="default" w:ascii="Times New Roman" w:hAnsi="Times New Roman" w:cs="Times New Roman"/>
                <w:color w:val="auto"/>
                <w:highlight w:val="none"/>
              </w:rPr>
            </w:pPr>
            <w:r>
              <w:rPr>
                <w:rFonts w:hint="eastAsia" w:cs="Times New Roman"/>
                <w:color w:val="auto"/>
                <w:highlight w:val="none"/>
                <w:lang w:val="en-US" w:eastAsia="zh-CN"/>
              </w:rPr>
              <w:t>k</w:t>
            </w:r>
            <w:r>
              <w:rPr>
                <w:rFonts w:hint="default" w:ascii="Times New Roman" w:hAnsi="Times New Roman" w:cs="Times New Roman"/>
                <w:color w:val="auto"/>
                <w:highlight w:val="none"/>
              </w:rPr>
              <w:t>w.h</w:t>
            </w:r>
          </w:p>
        </w:tc>
        <w:tc>
          <w:tcPr>
            <w:tcW w:w="1022"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2.19</w:t>
            </w:r>
          </w:p>
        </w:tc>
        <w:tc>
          <w:tcPr>
            <w:tcW w:w="5230" w:type="dxa"/>
            <w:gridSpan w:val="5"/>
            <w:vMerge w:val="continue"/>
            <w:vAlign w:val="center"/>
          </w:tcPr>
          <w:p>
            <w:pPr>
              <w:pStyle w:val="84"/>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exact"/>
        </w:trPr>
        <w:tc>
          <w:tcPr>
            <w:tcW w:w="522" w:type="dxa"/>
            <w:shd w:val="clear" w:color="auto" w:fill="auto"/>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val="en-US" w:eastAsia="zh-CN"/>
              </w:rPr>
              <w:t>5</w:t>
            </w:r>
          </w:p>
        </w:tc>
        <w:tc>
          <w:tcPr>
            <w:tcW w:w="140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防尘网</w:t>
            </w:r>
          </w:p>
        </w:tc>
        <w:tc>
          <w:tcPr>
            <w:tcW w:w="895"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m</w:t>
            </w:r>
            <w:r>
              <w:rPr>
                <w:rFonts w:hint="default" w:ascii="Times New Roman" w:hAnsi="Times New Roman" w:eastAsia="宋体" w:cs="Times New Roman"/>
                <w:color w:val="auto"/>
                <w:highlight w:val="none"/>
              </w:rPr>
              <w:t>²</w:t>
            </w:r>
          </w:p>
        </w:tc>
        <w:tc>
          <w:tcPr>
            <w:tcW w:w="1022"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5.12 </w:t>
            </w:r>
          </w:p>
        </w:tc>
        <w:tc>
          <w:tcPr>
            <w:tcW w:w="5230" w:type="dxa"/>
            <w:gridSpan w:val="5"/>
            <w:vMerge w:val="continue"/>
            <w:shd w:val="clear" w:color="auto" w:fill="auto"/>
            <w:vAlign w:val="center"/>
          </w:tcPr>
          <w:p>
            <w:pPr>
              <w:pStyle w:val="84"/>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exact"/>
        </w:trPr>
        <w:tc>
          <w:tcPr>
            <w:tcW w:w="522" w:type="dxa"/>
            <w:shd w:val="clear" w:color="auto" w:fill="auto"/>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val="en-US" w:eastAsia="zh-CN"/>
              </w:rPr>
              <w:t>6</w:t>
            </w:r>
          </w:p>
        </w:tc>
        <w:tc>
          <w:tcPr>
            <w:tcW w:w="1404"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彩钢板</w:t>
            </w:r>
          </w:p>
        </w:tc>
        <w:tc>
          <w:tcPr>
            <w:tcW w:w="895"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m</w:t>
            </w:r>
          </w:p>
        </w:tc>
        <w:tc>
          <w:tcPr>
            <w:tcW w:w="1022" w:type="dxa"/>
            <w:shd w:val="clear" w:color="auto" w:fill="auto"/>
            <w:vAlign w:val="center"/>
          </w:tcPr>
          <w:p>
            <w:pPr>
              <w:pStyle w:val="84"/>
              <w:rPr>
                <w:rFonts w:hint="default" w:ascii="Times New Roman" w:hAnsi="Times New Roman" w:cs="Times New Roman"/>
                <w:color w:val="auto"/>
                <w:highlight w:val="none"/>
              </w:rPr>
            </w:pPr>
            <w:r>
              <w:rPr>
                <w:rFonts w:hint="eastAsia" w:cs="Times New Roman"/>
                <w:color w:val="auto"/>
                <w:highlight w:val="none"/>
                <w:lang w:val="en-US" w:eastAsia="zh-CN"/>
              </w:rPr>
              <w:t>34.56</w:t>
            </w:r>
            <w:r>
              <w:rPr>
                <w:rFonts w:hint="default" w:ascii="Times New Roman" w:hAnsi="Times New Roman" w:cs="Times New Roman"/>
                <w:color w:val="auto"/>
                <w:highlight w:val="none"/>
              </w:rPr>
              <w:t xml:space="preserve"> </w:t>
            </w:r>
          </w:p>
        </w:tc>
        <w:tc>
          <w:tcPr>
            <w:tcW w:w="5230" w:type="dxa"/>
            <w:gridSpan w:val="5"/>
            <w:vMerge w:val="continue"/>
            <w:shd w:val="clear" w:color="auto" w:fill="auto"/>
            <w:vAlign w:val="center"/>
          </w:tcPr>
          <w:p>
            <w:pPr>
              <w:pStyle w:val="84"/>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exact"/>
        </w:trPr>
        <w:tc>
          <w:tcPr>
            <w:tcW w:w="522" w:type="dxa"/>
            <w:shd w:val="clear" w:color="auto" w:fill="auto"/>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val="en-US" w:eastAsia="zh-CN"/>
              </w:rPr>
              <w:t>7</w:t>
            </w:r>
          </w:p>
        </w:tc>
        <w:tc>
          <w:tcPr>
            <w:tcW w:w="1404" w:type="dxa"/>
            <w:shd w:val="clear" w:color="auto" w:fill="auto"/>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钢丝网</w:t>
            </w:r>
          </w:p>
        </w:tc>
        <w:tc>
          <w:tcPr>
            <w:tcW w:w="895"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m</w:t>
            </w:r>
          </w:p>
        </w:tc>
        <w:tc>
          <w:tcPr>
            <w:tcW w:w="1022" w:type="dxa"/>
            <w:shd w:val="clear" w:color="auto" w:fill="auto"/>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25.73 </w:t>
            </w:r>
          </w:p>
        </w:tc>
        <w:tc>
          <w:tcPr>
            <w:tcW w:w="895" w:type="dxa"/>
            <w:shd w:val="clear" w:color="auto" w:fill="auto"/>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25</w:t>
            </w:r>
          </w:p>
        </w:tc>
        <w:tc>
          <w:tcPr>
            <w:tcW w:w="902" w:type="dxa"/>
            <w:shd w:val="clear" w:color="auto" w:fill="auto"/>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0.153 </w:t>
            </w:r>
          </w:p>
        </w:tc>
        <w:tc>
          <w:tcPr>
            <w:tcW w:w="1276" w:type="dxa"/>
            <w:shd w:val="clear" w:color="auto" w:fill="auto"/>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25.153 </w:t>
            </w:r>
          </w:p>
        </w:tc>
        <w:tc>
          <w:tcPr>
            <w:tcW w:w="1121" w:type="dxa"/>
            <w:shd w:val="clear" w:color="auto" w:fill="auto"/>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2.3</w:t>
            </w:r>
          </w:p>
        </w:tc>
        <w:tc>
          <w:tcPr>
            <w:tcW w:w="1036" w:type="dxa"/>
            <w:shd w:val="clear" w:color="auto" w:fill="auto"/>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0.58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exact"/>
        </w:trPr>
        <w:tc>
          <w:tcPr>
            <w:tcW w:w="9073" w:type="dxa"/>
            <w:gridSpan w:val="9"/>
            <w:shd w:val="clear" w:color="auto" w:fill="auto"/>
            <w:vAlign w:val="center"/>
          </w:tcPr>
          <w:p>
            <w:pPr>
              <w:pStyle w:val="84"/>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注：工程措施采购及保管费费率为2.3%，植物措施采购保管费费率为1.1%。</w:t>
            </w:r>
          </w:p>
        </w:tc>
      </w:tr>
    </w:tbl>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表7.1-8     水土保持补偿费计算表</w:t>
      </w:r>
    </w:p>
    <w:tbl>
      <w:tblPr>
        <w:tblStyle w:val="27"/>
        <w:tblW w:w="90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3"/>
        <w:gridCol w:w="1718"/>
        <w:gridCol w:w="705"/>
        <w:gridCol w:w="988"/>
        <w:gridCol w:w="1582"/>
        <w:gridCol w:w="1268"/>
        <w:gridCol w:w="21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exact"/>
          <w:jc w:val="center"/>
        </w:trPr>
        <w:tc>
          <w:tcPr>
            <w:tcW w:w="683"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序号</w:t>
            </w:r>
          </w:p>
        </w:tc>
        <w:tc>
          <w:tcPr>
            <w:tcW w:w="1718"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szCs w:val="22"/>
                <w:highlight w:val="none"/>
              </w:rPr>
              <w:t>工程或费用名称</w:t>
            </w:r>
          </w:p>
        </w:tc>
        <w:tc>
          <w:tcPr>
            <w:tcW w:w="705"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szCs w:val="22"/>
                <w:highlight w:val="none"/>
              </w:rPr>
              <w:t>单位</w:t>
            </w:r>
          </w:p>
        </w:tc>
        <w:tc>
          <w:tcPr>
            <w:tcW w:w="988"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szCs w:val="22"/>
                <w:highlight w:val="none"/>
              </w:rPr>
              <w:t>数量</w:t>
            </w:r>
          </w:p>
        </w:tc>
        <w:tc>
          <w:tcPr>
            <w:tcW w:w="1582"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szCs w:val="22"/>
                <w:highlight w:val="none"/>
              </w:rPr>
              <w:t>单价（元/m²）</w:t>
            </w:r>
          </w:p>
        </w:tc>
        <w:tc>
          <w:tcPr>
            <w:tcW w:w="1268"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szCs w:val="22"/>
                <w:highlight w:val="none"/>
              </w:rPr>
              <w:t>合价（万元）</w:t>
            </w:r>
          </w:p>
        </w:tc>
        <w:tc>
          <w:tcPr>
            <w:tcW w:w="2116"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2" w:hRule="exact"/>
          <w:jc w:val="center"/>
        </w:trPr>
        <w:tc>
          <w:tcPr>
            <w:tcW w:w="683"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1</w:t>
            </w:r>
          </w:p>
        </w:tc>
        <w:tc>
          <w:tcPr>
            <w:tcW w:w="1718"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szCs w:val="22"/>
                <w:highlight w:val="none"/>
              </w:rPr>
              <w:t>征占地面积</w:t>
            </w:r>
          </w:p>
        </w:tc>
        <w:tc>
          <w:tcPr>
            <w:tcW w:w="705" w:type="dxa"/>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szCs w:val="22"/>
                <w:highlight w:val="none"/>
              </w:rPr>
              <w:t>hm²</w:t>
            </w:r>
          </w:p>
        </w:tc>
        <w:tc>
          <w:tcPr>
            <w:tcW w:w="988" w:type="dxa"/>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highlight w:val="none"/>
                <w:lang w:val="en-US" w:eastAsia="zh-CN"/>
              </w:rPr>
            </w:pPr>
            <w:r>
              <w:rPr>
                <w:rFonts w:hint="eastAsia" w:eastAsia="仿宋_GB2312" w:cs="Times New Roman"/>
                <w:color w:val="auto"/>
                <w:spacing w:val="-2"/>
                <w:kern w:val="0"/>
                <w:sz w:val="21"/>
                <w:highlight w:val="none"/>
                <w:lang w:val="en-US" w:eastAsia="zh-CN"/>
              </w:rPr>
              <w:t>49.46</w:t>
            </w:r>
          </w:p>
        </w:tc>
        <w:tc>
          <w:tcPr>
            <w:tcW w:w="1582" w:type="dxa"/>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highlight w:val="none"/>
              </w:rPr>
            </w:pPr>
            <w:r>
              <w:rPr>
                <w:rFonts w:hint="default" w:ascii="Times New Roman" w:hAnsi="Times New Roman" w:eastAsia="仿宋_GB2312" w:cs="Times New Roman"/>
                <w:color w:val="auto"/>
                <w:spacing w:val="-2"/>
                <w:kern w:val="0"/>
                <w:sz w:val="21"/>
                <w:highlight w:val="none"/>
              </w:rPr>
              <w:t>0.30</w:t>
            </w:r>
          </w:p>
        </w:tc>
        <w:tc>
          <w:tcPr>
            <w:tcW w:w="1268" w:type="dxa"/>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pacing w:val="-2"/>
                <w:kern w:val="0"/>
                <w:sz w:val="21"/>
                <w:highlight w:val="none"/>
                <w:lang w:val="en-US" w:eastAsia="zh-CN"/>
              </w:rPr>
            </w:pPr>
            <w:r>
              <w:rPr>
                <w:rFonts w:hint="default" w:ascii="Times New Roman" w:hAnsi="Times New Roman" w:eastAsia="仿宋_GB2312" w:cs="Times New Roman"/>
                <w:color w:val="auto"/>
                <w:spacing w:val="-2"/>
                <w:kern w:val="0"/>
                <w:sz w:val="21"/>
                <w:highlight w:val="none"/>
              </w:rPr>
              <w:t>14.</w:t>
            </w:r>
            <w:r>
              <w:rPr>
                <w:rFonts w:hint="eastAsia" w:eastAsia="仿宋_GB2312" w:cs="Times New Roman"/>
                <w:color w:val="auto"/>
                <w:spacing w:val="-2"/>
                <w:kern w:val="0"/>
                <w:sz w:val="21"/>
                <w:highlight w:val="none"/>
                <w:lang w:val="en-US" w:eastAsia="zh-CN"/>
              </w:rPr>
              <w:t>838</w:t>
            </w:r>
          </w:p>
        </w:tc>
        <w:tc>
          <w:tcPr>
            <w:tcW w:w="2116" w:type="dxa"/>
            <w:shd w:val="clear" w:color="auto" w:fill="auto"/>
            <w:vAlign w:val="center"/>
          </w:tcPr>
          <w:p>
            <w:pPr>
              <w:pStyle w:val="84"/>
              <w:rPr>
                <w:rFonts w:hint="eastAsia" w:ascii="Times New Roman" w:hAnsi="Times New Roman" w:eastAsia="仿宋_GB2312" w:cs="Times New Roman"/>
                <w:color w:val="auto"/>
                <w:szCs w:val="20"/>
                <w:highlight w:val="none"/>
                <w:lang w:eastAsia="zh-CN"/>
              </w:rPr>
            </w:pPr>
            <w:r>
              <w:rPr>
                <w:rFonts w:hint="eastAsia" w:cs="Times New Roman"/>
                <w:color w:val="auto"/>
                <w:szCs w:val="20"/>
                <w:highlight w:val="none"/>
                <w:lang w:eastAsia="zh-CN"/>
              </w:rPr>
              <w:t>哈密市石城子光伏产业园区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exact"/>
          <w:jc w:val="center"/>
        </w:trPr>
        <w:tc>
          <w:tcPr>
            <w:tcW w:w="3106" w:type="dxa"/>
            <w:gridSpan w:val="3"/>
            <w:shd w:val="clear" w:color="auto" w:fill="auto"/>
            <w:vAlign w:val="center"/>
          </w:tcPr>
          <w:p>
            <w:pPr>
              <w:pStyle w:val="84"/>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合计</w:t>
            </w:r>
          </w:p>
        </w:tc>
        <w:tc>
          <w:tcPr>
            <w:tcW w:w="988" w:type="dxa"/>
            <w:shd w:val="clear" w:color="auto" w:fill="auto"/>
            <w:vAlign w:val="center"/>
          </w:tcPr>
          <w:p>
            <w:pPr>
              <w:widowControl/>
              <w:spacing w:line="240" w:lineRule="auto"/>
              <w:ind w:firstLine="0" w:firstLineChars="0"/>
              <w:jc w:val="center"/>
              <w:textAlignment w:val="center"/>
              <w:rPr>
                <w:rFonts w:hint="default" w:ascii="Times New Roman" w:hAnsi="Times New Roman" w:eastAsia="宋体" w:cs="Times New Roman"/>
                <w:color w:val="auto"/>
                <w:szCs w:val="20"/>
                <w:highlight w:val="none"/>
                <w:lang w:val="en-US" w:eastAsia="zh-CN"/>
              </w:rPr>
            </w:pPr>
            <w:r>
              <w:rPr>
                <w:rFonts w:hint="eastAsia" w:eastAsia="仿宋_GB2312" w:cs="Times New Roman"/>
                <w:color w:val="auto"/>
                <w:spacing w:val="-2"/>
                <w:kern w:val="0"/>
                <w:sz w:val="21"/>
                <w:highlight w:val="none"/>
                <w:lang w:val="en-US" w:eastAsia="zh-CN"/>
              </w:rPr>
              <w:t>49.46</w:t>
            </w:r>
          </w:p>
        </w:tc>
        <w:tc>
          <w:tcPr>
            <w:tcW w:w="1582" w:type="dxa"/>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Cs w:val="20"/>
                <w:highlight w:val="none"/>
              </w:rPr>
            </w:pPr>
          </w:p>
        </w:tc>
        <w:tc>
          <w:tcPr>
            <w:tcW w:w="1268" w:type="dxa"/>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Cs w:val="20"/>
                <w:highlight w:val="none"/>
                <w:lang w:val="en-US" w:eastAsia="zh-CN"/>
              </w:rPr>
            </w:pPr>
            <w:r>
              <w:rPr>
                <w:rFonts w:hint="default" w:ascii="Times New Roman" w:hAnsi="Times New Roman" w:eastAsia="仿宋_GB2312" w:cs="Times New Roman"/>
                <w:color w:val="auto"/>
                <w:spacing w:val="-2"/>
                <w:kern w:val="0"/>
                <w:sz w:val="21"/>
                <w:highlight w:val="none"/>
              </w:rPr>
              <w:t>14.</w:t>
            </w:r>
            <w:r>
              <w:rPr>
                <w:rFonts w:hint="eastAsia" w:eastAsia="仿宋_GB2312" w:cs="Times New Roman"/>
                <w:color w:val="auto"/>
                <w:spacing w:val="-2"/>
                <w:kern w:val="0"/>
                <w:sz w:val="21"/>
                <w:highlight w:val="none"/>
                <w:lang w:val="en-US" w:eastAsia="zh-CN"/>
              </w:rPr>
              <w:t>838</w:t>
            </w:r>
          </w:p>
        </w:tc>
        <w:tc>
          <w:tcPr>
            <w:tcW w:w="2116" w:type="dxa"/>
            <w:shd w:val="clear" w:color="auto" w:fill="auto"/>
            <w:vAlign w:val="center"/>
          </w:tcPr>
          <w:p>
            <w:pPr>
              <w:pStyle w:val="84"/>
              <w:rPr>
                <w:rFonts w:hint="default" w:ascii="Times New Roman" w:hAnsi="Times New Roman" w:cs="Times New Roman"/>
                <w:color w:val="auto"/>
                <w:szCs w:val="20"/>
                <w:highlight w:val="none"/>
              </w:rPr>
            </w:pPr>
          </w:p>
        </w:tc>
      </w:tr>
    </w:tbl>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表7.1-9      工程单价汇总表</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单价：元</w:t>
      </w:r>
    </w:p>
    <w:tbl>
      <w:tblPr>
        <w:tblStyle w:val="27"/>
        <w:tblW w:w="90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4"/>
        <w:gridCol w:w="1289"/>
        <w:gridCol w:w="829"/>
        <w:gridCol w:w="990"/>
        <w:gridCol w:w="1162"/>
        <w:gridCol w:w="919"/>
        <w:gridCol w:w="821"/>
        <w:gridCol w:w="821"/>
        <w:gridCol w:w="11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104"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序号/定额编号</w:t>
            </w:r>
          </w:p>
        </w:tc>
        <w:tc>
          <w:tcPr>
            <w:tcW w:w="1289"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工程名称</w:t>
            </w:r>
          </w:p>
        </w:tc>
        <w:tc>
          <w:tcPr>
            <w:tcW w:w="829"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单位</w:t>
            </w:r>
          </w:p>
        </w:tc>
        <w:tc>
          <w:tcPr>
            <w:tcW w:w="990"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单价</w:t>
            </w:r>
          </w:p>
        </w:tc>
        <w:tc>
          <w:tcPr>
            <w:tcW w:w="4848" w:type="dxa"/>
            <w:gridSpan w:val="5"/>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其中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2" w:hRule="exact"/>
          <w:jc w:val="center"/>
        </w:trPr>
        <w:tc>
          <w:tcPr>
            <w:tcW w:w="1104" w:type="dxa"/>
            <w:vMerge w:val="continue"/>
            <w:vAlign w:val="center"/>
          </w:tcPr>
          <w:p>
            <w:pPr>
              <w:pStyle w:val="84"/>
              <w:rPr>
                <w:rFonts w:hint="default" w:ascii="Times New Roman" w:hAnsi="Times New Roman" w:cs="Times New Roman"/>
                <w:color w:val="auto"/>
                <w:highlight w:val="none"/>
              </w:rPr>
            </w:pPr>
          </w:p>
        </w:tc>
        <w:tc>
          <w:tcPr>
            <w:tcW w:w="1289" w:type="dxa"/>
            <w:vMerge w:val="continue"/>
            <w:vAlign w:val="center"/>
          </w:tcPr>
          <w:p>
            <w:pPr>
              <w:pStyle w:val="84"/>
              <w:rPr>
                <w:rFonts w:hint="default" w:ascii="Times New Roman" w:hAnsi="Times New Roman" w:cs="Times New Roman"/>
                <w:color w:val="auto"/>
                <w:highlight w:val="none"/>
              </w:rPr>
            </w:pPr>
          </w:p>
        </w:tc>
        <w:tc>
          <w:tcPr>
            <w:tcW w:w="829" w:type="dxa"/>
            <w:vMerge w:val="continue"/>
            <w:vAlign w:val="center"/>
          </w:tcPr>
          <w:p>
            <w:pPr>
              <w:pStyle w:val="84"/>
              <w:rPr>
                <w:rFonts w:hint="default" w:ascii="Times New Roman" w:hAnsi="Times New Roman" w:cs="Times New Roman"/>
                <w:color w:val="auto"/>
                <w:highlight w:val="none"/>
              </w:rPr>
            </w:pPr>
          </w:p>
        </w:tc>
        <w:tc>
          <w:tcPr>
            <w:tcW w:w="990" w:type="dxa"/>
            <w:vMerge w:val="continue"/>
            <w:vAlign w:val="center"/>
          </w:tcPr>
          <w:p>
            <w:pPr>
              <w:pStyle w:val="84"/>
              <w:rPr>
                <w:rFonts w:hint="default" w:ascii="Times New Roman" w:hAnsi="Times New Roman" w:cs="Times New Roman"/>
                <w:color w:val="auto"/>
                <w:highlight w:val="none"/>
              </w:rPr>
            </w:pPr>
          </w:p>
        </w:tc>
        <w:tc>
          <w:tcPr>
            <w:tcW w:w="1162"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直接工程费</w:t>
            </w:r>
          </w:p>
        </w:tc>
        <w:tc>
          <w:tcPr>
            <w:tcW w:w="919"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间接费</w:t>
            </w:r>
          </w:p>
        </w:tc>
        <w:tc>
          <w:tcPr>
            <w:tcW w:w="821"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企业利润</w:t>
            </w:r>
          </w:p>
        </w:tc>
        <w:tc>
          <w:tcPr>
            <w:tcW w:w="821"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税金</w:t>
            </w:r>
          </w:p>
        </w:tc>
        <w:tc>
          <w:tcPr>
            <w:tcW w:w="1125"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扩大10％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2" w:hRule="exact"/>
          <w:jc w:val="center"/>
        </w:trPr>
        <w:tc>
          <w:tcPr>
            <w:tcW w:w="1104" w:type="dxa"/>
            <w:vAlign w:val="center"/>
          </w:tcPr>
          <w:p>
            <w:pPr>
              <w:spacing w:line="240" w:lineRule="auto"/>
              <w:ind w:left="0" w:leftChars="0" w:firstLine="0" w:firstLineChars="0"/>
              <w:jc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参考定额</w:t>
            </w:r>
          </w:p>
        </w:tc>
        <w:tc>
          <w:tcPr>
            <w:tcW w:w="1289"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土地平整</w:t>
            </w:r>
          </w:p>
        </w:tc>
        <w:tc>
          <w:tcPr>
            <w:tcW w:w="829"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100m²</w:t>
            </w:r>
          </w:p>
        </w:tc>
        <w:tc>
          <w:tcPr>
            <w:tcW w:w="990"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sz w:val="22"/>
                <w:highlight w:val="none"/>
              </w:rPr>
              <w:t>109.51</w:t>
            </w:r>
          </w:p>
        </w:tc>
        <w:tc>
          <w:tcPr>
            <w:tcW w:w="4848" w:type="dxa"/>
            <w:gridSpan w:val="5"/>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同主体保持一致</w:t>
            </w:r>
          </w:p>
          <w:p>
            <w:pPr>
              <w:pStyle w:val="84"/>
              <w:rPr>
                <w:rFonts w:hint="default" w:ascii="Times New Roman" w:hAnsi="Times New Roman" w:cs="Times New Roman"/>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2" w:hRule="exact"/>
          <w:jc w:val="center"/>
        </w:trPr>
        <w:tc>
          <w:tcPr>
            <w:tcW w:w="1104" w:type="dxa"/>
            <w:vAlign w:val="center"/>
          </w:tcPr>
          <w:p>
            <w:pPr>
              <w:spacing w:line="240" w:lineRule="auto"/>
              <w:ind w:left="0" w:leftChars="0" w:firstLine="0" w:firstLineChars="0"/>
              <w:jc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参考定额</w:t>
            </w:r>
          </w:p>
        </w:tc>
        <w:tc>
          <w:tcPr>
            <w:tcW w:w="1289"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防尘网苫盖</w:t>
            </w:r>
          </w:p>
        </w:tc>
        <w:tc>
          <w:tcPr>
            <w:tcW w:w="829"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100m²</w:t>
            </w:r>
          </w:p>
        </w:tc>
        <w:tc>
          <w:tcPr>
            <w:tcW w:w="990" w:type="dxa"/>
            <w:vAlign w:val="center"/>
          </w:tcPr>
          <w:p>
            <w:pPr>
              <w:pStyle w:val="84"/>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 xml:space="preserve">955.46 </w:t>
            </w:r>
          </w:p>
        </w:tc>
        <w:tc>
          <w:tcPr>
            <w:tcW w:w="4848" w:type="dxa"/>
            <w:gridSpan w:val="5"/>
            <w:vMerge w:val="continue"/>
            <w:shd w:val="clear" w:color="auto" w:fill="auto"/>
            <w:vAlign w:val="center"/>
          </w:tcPr>
          <w:p>
            <w:pPr>
              <w:pStyle w:val="84"/>
              <w:rPr>
                <w:rFonts w:hint="default" w:ascii="Times New Roman" w:hAnsi="Times New Roman" w:cs="Times New Roman"/>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2" w:hRule="exact"/>
          <w:jc w:val="center"/>
        </w:trPr>
        <w:tc>
          <w:tcPr>
            <w:tcW w:w="1104" w:type="dxa"/>
            <w:vAlign w:val="center"/>
          </w:tcPr>
          <w:p>
            <w:pPr>
              <w:pStyle w:val="84"/>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参考定额</w:t>
            </w:r>
          </w:p>
        </w:tc>
        <w:tc>
          <w:tcPr>
            <w:tcW w:w="1289"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彩钢</w:t>
            </w:r>
            <w:r>
              <w:rPr>
                <w:rFonts w:hint="eastAsia" w:cs="Times New Roman"/>
                <w:color w:val="auto"/>
                <w:highlight w:val="none"/>
                <w:lang w:eastAsia="zh-CN"/>
              </w:rPr>
              <w:t>板</w:t>
            </w:r>
            <w:r>
              <w:rPr>
                <w:rFonts w:hint="default" w:ascii="Times New Roman" w:hAnsi="Times New Roman" w:cs="Times New Roman"/>
                <w:color w:val="auto"/>
                <w:highlight w:val="none"/>
              </w:rPr>
              <w:t>围栏</w:t>
            </w:r>
          </w:p>
        </w:tc>
        <w:tc>
          <w:tcPr>
            <w:tcW w:w="829"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100m</w:t>
            </w:r>
          </w:p>
        </w:tc>
        <w:tc>
          <w:tcPr>
            <w:tcW w:w="990" w:type="dxa"/>
            <w:vAlign w:val="center"/>
          </w:tcPr>
          <w:p>
            <w:pPr>
              <w:pStyle w:val="84"/>
              <w:rPr>
                <w:rFonts w:hint="default" w:ascii="Times New Roman" w:hAnsi="Times New Roman" w:cs="Times New Roman"/>
                <w:color w:val="auto"/>
                <w:sz w:val="22"/>
                <w:highlight w:val="none"/>
              </w:rPr>
            </w:pPr>
            <w:r>
              <w:rPr>
                <w:rFonts w:hint="eastAsia" w:cs="Times New Roman"/>
                <w:color w:val="auto"/>
                <w:sz w:val="22"/>
                <w:highlight w:val="none"/>
                <w:lang w:val="en-US" w:eastAsia="zh-CN"/>
              </w:rPr>
              <w:t>6203.27</w:t>
            </w:r>
            <w:r>
              <w:rPr>
                <w:rFonts w:hint="default" w:ascii="Times New Roman" w:hAnsi="Times New Roman" w:cs="Times New Roman"/>
                <w:color w:val="auto"/>
                <w:sz w:val="22"/>
                <w:highlight w:val="none"/>
              </w:rPr>
              <w:t xml:space="preserve"> </w:t>
            </w:r>
          </w:p>
        </w:tc>
        <w:tc>
          <w:tcPr>
            <w:tcW w:w="4848" w:type="dxa"/>
            <w:gridSpan w:val="5"/>
            <w:vMerge w:val="continue"/>
            <w:shd w:val="clear" w:color="auto" w:fill="auto"/>
            <w:vAlign w:val="center"/>
          </w:tcPr>
          <w:p>
            <w:pPr>
              <w:pStyle w:val="84"/>
              <w:rPr>
                <w:rFonts w:hint="default" w:ascii="Times New Roman" w:hAnsi="Times New Roman" w:cs="Times New Roman"/>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2" w:hRule="exact"/>
          <w:jc w:val="center"/>
        </w:trPr>
        <w:tc>
          <w:tcPr>
            <w:tcW w:w="1104" w:type="dxa"/>
            <w:vAlign w:val="center"/>
          </w:tcPr>
          <w:p>
            <w:pPr>
              <w:pStyle w:val="84"/>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参考定额</w:t>
            </w:r>
          </w:p>
        </w:tc>
        <w:tc>
          <w:tcPr>
            <w:tcW w:w="1289"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洒水车洒水</w:t>
            </w:r>
          </w:p>
        </w:tc>
        <w:tc>
          <w:tcPr>
            <w:tcW w:w="829"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100m³</w:t>
            </w:r>
          </w:p>
        </w:tc>
        <w:tc>
          <w:tcPr>
            <w:tcW w:w="990" w:type="dxa"/>
            <w:vAlign w:val="center"/>
          </w:tcPr>
          <w:p>
            <w:pPr>
              <w:pStyle w:val="84"/>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 xml:space="preserve">1521.44 </w:t>
            </w:r>
          </w:p>
        </w:tc>
        <w:tc>
          <w:tcPr>
            <w:tcW w:w="4848" w:type="dxa"/>
            <w:gridSpan w:val="5"/>
            <w:vMerge w:val="continue"/>
            <w:shd w:val="clear" w:color="auto" w:fill="auto"/>
            <w:vAlign w:val="center"/>
          </w:tcPr>
          <w:p>
            <w:pPr>
              <w:pStyle w:val="84"/>
              <w:rPr>
                <w:rFonts w:hint="default" w:ascii="Times New Roman" w:hAnsi="Times New Roman" w:cs="Times New Roman"/>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2" w:hRule="exact"/>
          <w:jc w:val="center"/>
        </w:trPr>
        <w:tc>
          <w:tcPr>
            <w:tcW w:w="1104" w:type="dxa"/>
            <w:vAlign w:val="center"/>
          </w:tcPr>
          <w:p>
            <w:pPr>
              <w:pStyle w:val="84"/>
              <w:spacing w:line="240" w:lineRule="auto"/>
              <w:ind w:firstLine="0" w:firstLineChars="0"/>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cs="Times New Roman"/>
                <w:color w:val="auto"/>
                <w:highlight w:val="none"/>
              </w:rPr>
              <w:t>参考定额</w:t>
            </w:r>
          </w:p>
        </w:tc>
        <w:tc>
          <w:tcPr>
            <w:tcW w:w="1289" w:type="dxa"/>
            <w:vAlign w:val="center"/>
          </w:tcPr>
          <w:p>
            <w:pPr>
              <w:pStyle w:val="84"/>
              <w:ind w:firstLine="0" w:firstLineChars="0"/>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钢丝网围栏</w:t>
            </w:r>
          </w:p>
        </w:tc>
        <w:tc>
          <w:tcPr>
            <w:tcW w:w="829" w:type="dxa"/>
            <w:vAlign w:val="center"/>
          </w:tcPr>
          <w:p>
            <w:pPr>
              <w:pStyle w:val="84"/>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100m</w:t>
            </w:r>
          </w:p>
        </w:tc>
        <w:tc>
          <w:tcPr>
            <w:tcW w:w="990" w:type="dxa"/>
            <w:vAlign w:val="center"/>
          </w:tcPr>
          <w:p>
            <w:pPr>
              <w:pStyle w:val="84"/>
              <w:ind w:firstLine="0" w:firstLineChars="0"/>
              <w:rPr>
                <w:rFonts w:hint="default" w:ascii="Times New Roman" w:hAnsi="Times New Roman" w:cs="Times New Roman"/>
                <w:color w:val="auto"/>
                <w:sz w:val="22"/>
                <w:highlight w:val="none"/>
                <w:lang w:val="en-US" w:eastAsia="zh-CN"/>
              </w:rPr>
            </w:pPr>
            <w:r>
              <w:rPr>
                <w:rFonts w:hint="default" w:ascii="Times New Roman" w:hAnsi="Times New Roman" w:cs="Times New Roman"/>
                <w:color w:val="auto"/>
                <w:sz w:val="22"/>
                <w:highlight w:val="none"/>
              </w:rPr>
              <w:t xml:space="preserve">4470.02 </w:t>
            </w:r>
          </w:p>
        </w:tc>
        <w:tc>
          <w:tcPr>
            <w:tcW w:w="1162" w:type="dxa"/>
            <w:shd w:val="clear" w:color="auto" w:fill="auto"/>
            <w:vAlign w:val="center"/>
          </w:tcPr>
          <w:p>
            <w:pPr>
              <w:pStyle w:val="84"/>
              <w:ind w:firstLine="0" w:firstLineChars="0"/>
              <w:rPr>
                <w:rFonts w:hint="default" w:ascii="Times New Roman" w:hAnsi="Times New Roman" w:cs="Times New Roman"/>
                <w:color w:val="auto"/>
                <w:sz w:val="22"/>
                <w:highlight w:val="none"/>
                <w:lang w:val="en-US" w:eastAsia="zh-CN"/>
              </w:rPr>
            </w:pPr>
            <w:r>
              <w:rPr>
                <w:rFonts w:hint="default" w:ascii="Times New Roman" w:hAnsi="Times New Roman" w:cs="Times New Roman"/>
                <w:color w:val="auto"/>
                <w:sz w:val="22"/>
                <w:highlight w:val="none"/>
              </w:rPr>
              <w:t xml:space="preserve">3337.38 </w:t>
            </w:r>
          </w:p>
        </w:tc>
        <w:tc>
          <w:tcPr>
            <w:tcW w:w="919" w:type="dxa"/>
            <w:shd w:val="clear" w:color="auto" w:fill="auto"/>
            <w:vAlign w:val="center"/>
          </w:tcPr>
          <w:p>
            <w:pPr>
              <w:pStyle w:val="84"/>
              <w:ind w:firstLine="0" w:firstLineChars="0"/>
              <w:rPr>
                <w:rFonts w:hint="default" w:ascii="Times New Roman" w:hAnsi="Times New Roman" w:cs="Times New Roman"/>
                <w:color w:val="auto"/>
                <w:sz w:val="22"/>
                <w:highlight w:val="none"/>
                <w:lang w:val="en-US" w:eastAsia="zh-CN"/>
              </w:rPr>
            </w:pPr>
            <w:r>
              <w:rPr>
                <w:rFonts w:hint="default" w:ascii="Times New Roman" w:hAnsi="Times New Roman" w:cs="Times New Roman"/>
                <w:color w:val="auto"/>
                <w:sz w:val="22"/>
                <w:highlight w:val="none"/>
              </w:rPr>
              <w:t xml:space="preserve">146.84 </w:t>
            </w:r>
          </w:p>
        </w:tc>
        <w:tc>
          <w:tcPr>
            <w:tcW w:w="821" w:type="dxa"/>
            <w:shd w:val="clear" w:color="auto" w:fill="auto"/>
            <w:vAlign w:val="center"/>
          </w:tcPr>
          <w:p>
            <w:pPr>
              <w:pStyle w:val="84"/>
              <w:ind w:firstLine="0" w:firstLineChars="0"/>
              <w:rPr>
                <w:rFonts w:hint="default" w:ascii="Times New Roman" w:hAnsi="Times New Roman" w:cs="Times New Roman"/>
                <w:color w:val="auto"/>
                <w:sz w:val="22"/>
                <w:highlight w:val="none"/>
                <w:lang w:val="en-US" w:eastAsia="zh-CN"/>
              </w:rPr>
            </w:pPr>
            <w:r>
              <w:rPr>
                <w:rFonts w:hint="default" w:ascii="Times New Roman" w:hAnsi="Times New Roman" w:cs="Times New Roman"/>
                <w:color w:val="auto"/>
                <w:sz w:val="22"/>
                <w:highlight w:val="none"/>
              </w:rPr>
              <w:t xml:space="preserve">243.90 </w:t>
            </w:r>
          </w:p>
        </w:tc>
        <w:tc>
          <w:tcPr>
            <w:tcW w:w="821" w:type="dxa"/>
            <w:shd w:val="clear" w:color="auto" w:fill="auto"/>
            <w:vAlign w:val="center"/>
          </w:tcPr>
          <w:p>
            <w:pPr>
              <w:pStyle w:val="84"/>
              <w:ind w:firstLine="0" w:firstLineChars="0"/>
              <w:rPr>
                <w:rFonts w:hint="default" w:ascii="Times New Roman" w:hAnsi="Times New Roman" w:cs="Times New Roman"/>
                <w:color w:val="auto"/>
                <w:sz w:val="22"/>
                <w:highlight w:val="none"/>
                <w:lang w:val="en-US" w:eastAsia="zh-CN"/>
              </w:rPr>
            </w:pPr>
            <w:r>
              <w:rPr>
                <w:rFonts w:hint="default" w:ascii="Times New Roman" w:hAnsi="Times New Roman" w:cs="Times New Roman"/>
                <w:color w:val="auto"/>
                <w:sz w:val="22"/>
                <w:highlight w:val="none"/>
              </w:rPr>
              <w:t xml:space="preserve">335.53 </w:t>
            </w:r>
          </w:p>
        </w:tc>
        <w:tc>
          <w:tcPr>
            <w:tcW w:w="1125" w:type="dxa"/>
            <w:shd w:val="clear" w:color="auto" w:fill="auto"/>
            <w:vAlign w:val="center"/>
          </w:tcPr>
          <w:p>
            <w:pPr>
              <w:pStyle w:val="84"/>
              <w:ind w:firstLine="0" w:firstLineChars="0"/>
              <w:rPr>
                <w:rFonts w:hint="default" w:ascii="Times New Roman" w:hAnsi="Times New Roman" w:cs="Times New Roman"/>
                <w:color w:val="auto"/>
                <w:sz w:val="22"/>
                <w:highlight w:val="none"/>
                <w:lang w:val="en-US" w:eastAsia="zh-CN"/>
              </w:rPr>
            </w:pPr>
            <w:r>
              <w:rPr>
                <w:rFonts w:hint="default" w:ascii="Times New Roman" w:hAnsi="Times New Roman" w:cs="Times New Roman"/>
                <w:color w:val="auto"/>
                <w:sz w:val="22"/>
                <w:highlight w:val="none"/>
              </w:rPr>
              <w:t xml:space="preserve">406.37 </w:t>
            </w:r>
          </w:p>
        </w:tc>
      </w:tr>
    </w:tbl>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表7.1-10      施工机械台时费汇总表</w:t>
      </w:r>
    </w:p>
    <w:tbl>
      <w:tblPr>
        <w:tblStyle w:val="27"/>
        <w:tblW w:w="90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2"/>
        <w:gridCol w:w="1985"/>
        <w:gridCol w:w="850"/>
        <w:gridCol w:w="708"/>
        <w:gridCol w:w="1134"/>
        <w:gridCol w:w="710"/>
        <w:gridCol w:w="971"/>
        <w:gridCol w:w="1000"/>
        <w:gridCol w:w="10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trPr>
        <w:tc>
          <w:tcPr>
            <w:tcW w:w="682"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1985"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名称及规格</w:t>
            </w:r>
          </w:p>
        </w:tc>
        <w:tc>
          <w:tcPr>
            <w:tcW w:w="850"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台时费</w:t>
            </w:r>
          </w:p>
        </w:tc>
        <w:tc>
          <w:tcPr>
            <w:tcW w:w="5543" w:type="dxa"/>
            <w:gridSpan w:val="6"/>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其中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trPr>
        <w:tc>
          <w:tcPr>
            <w:tcW w:w="682" w:type="dxa"/>
            <w:vMerge w:val="continue"/>
            <w:vAlign w:val="center"/>
          </w:tcPr>
          <w:p>
            <w:pPr>
              <w:pStyle w:val="84"/>
              <w:rPr>
                <w:rFonts w:hint="default" w:ascii="Times New Roman" w:hAnsi="Times New Roman" w:cs="Times New Roman"/>
                <w:color w:val="auto"/>
                <w:highlight w:val="none"/>
              </w:rPr>
            </w:pPr>
          </w:p>
        </w:tc>
        <w:tc>
          <w:tcPr>
            <w:tcW w:w="1985" w:type="dxa"/>
            <w:vMerge w:val="continue"/>
            <w:vAlign w:val="center"/>
          </w:tcPr>
          <w:p>
            <w:pPr>
              <w:pStyle w:val="84"/>
              <w:rPr>
                <w:rFonts w:hint="default" w:ascii="Times New Roman" w:hAnsi="Times New Roman" w:cs="Times New Roman"/>
                <w:color w:val="auto"/>
                <w:highlight w:val="none"/>
              </w:rPr>
            </w:pPr>
          </w:p>
        </w:tc>
        <w:tc>
          <w:tcPr>
            <w:tcW w:w="850" w:type="dxa"/>
            <w:vMerge w:val="continue"/>
            <w:vAlign w:val="center"/>
          </w:tcPr>
          <w:p>
            <w:pPr>
              <w:pStyle w:val="84"/>
              <w:rPr>
                <w:rFonts w:hint="default" w:ascii="Times New Roman" w:hAnsi="Times New Roman" w:cs="Times New Roman"/>
                <w:color w:val="auto"/>
                <w:highlight w:val="none"/>
              </w:rPr>
            </w:pPr>
          </w:p>
        </w:tc>
        <w:tc>
          <w:tcPr>
            <w:tcW w:w="708"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折旧费</w:t>
            </w:r>
          </w:p>
        </w:tc>
        <w:tc>
          <w:tcPr>
            <w:tcW w:w="1134"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修理及替换设备费</w:t>
            </w:r>
          </w:p>
        </w:tc>
        <w:tc>
          <w:tcPr>
            <w:tcW w:w="710" w:type="dxa"/>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安拆费</w:t>
            </w:r>
          </w:p>
        </w:tc>
        <w:tc>
          <w:tcPr>
            <w:tcW w:w="971"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人工费</w:t>
            </w:r>
          </w:p>
        </w:tc>
        <w:tc>
          <w:tcPr>
            <w:tcW w:w="2020" w:type="dxa"/>
            <w:gridSpan w:val="2"/>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动力燃料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trPr>
        <w:tc>
          <w:tcPr>
            <w:tcW w:w="682" w:type="dxa"/>
            <w:vMerge w:val="continue"/>
            <w:vAlign w:val="center"/>
          </w:tcPr>
          <w:p>
            <w:pPr>
              <w:pStyle w:val="84"/>
              <w:rPr>
                <w:rFonts w:hint="default" w:ascii="Times New Roman" w:hAnsi="Times New Roman" w:cs="Times New Roman"/>
                <w:color w:val="auto"/>
                <w:highlight w:val="none"/>
              </w:rPr>
            </w:pPr>
          </w:p>
        </w:tc>
        <w:tc>
          <w:tcPr>
            <w:tcW w:w="1985" w:type="dxa"/>
            <w:vMerge w:val="continue"/>
            <w:vAlign w:val="center"/>
          </w:tcPr>
          <w:p>
            <w:pPr>
              <w:pStyle w:val="84"/>
              <w:rPr>
                <w:rFonts w:hint="default" w:ascii="Times New Roman" w:hAnsi="Times New Roman" w:cs="Times New Roman"/>
                <w:color w:val="auto"/>
                <w:highlight w:val="none"/>
              </w:rPr>
            </w:pPr>
          </w:p>
        </w:tc>
        <w:tc>
          <w:tcPr>
            <w:tcW w:w="850" w:type="dxa"/>
            <w:vMerge w:val="continue"/>
            <w:vAlign w:val="center"/>
          </w:tcPr>
          <w:p>
            <w:pPr>
              <w:pStyle w:val="84"/>
              <w:rPr>
                <w:rFonts w:hint="default" w:ascii="Times New Roman" w:hAnsi="Times New Roman" w:cs="Times New Roman"/>
                <w:color w:val="auto"/>
                <w:highlight w:val="none"/>
              </w:rPr>
            </w:pPr>
          </w:p>
        </w:tc>
        <w:tc>
          <w:tcPr>
            <w:tcW w:w="708" w:type="dxa"/>
            <w:vMerge w:val="continue"/>
            <w:vAlign w:val="center"/>
          </w:tcPr>
          <w:p>
            <w:pPr>
              <w:pStyle w:val="84"/>
              <w:rPr>
                <w:rFonts w:hint="default" w:ascii="Times New Roman" w:hAnsi="Times New Roman" w:cs="Times New Roman"/>
                <w:color w:val="auto"/>
                <w:highlight w:val="none"/>
              </w:rPr>
            </w:pPr>
          </w:p>
        </w:tc>
        <w:tc>
          <w:tcPr>
            <w:tcW w:w="1134" w:type="dxa"/>
            <w:vMerge w:val="continue"/>
            <w:vAlign w:val="center"/>
          </w:tcPr>
          <w:p>
            <w:pPr>
              <w:pStyle w:val="84"/>
              <w:rPr>
                <w:rFonts w:hint="default" w:ascii="Times New Roman" w:hAnsi="Times New Roman" w:cs="Times New Roman"/>
                <w:color w:val="auto"/>
                <w:highlight w:val="none"/>
              </w:rPr>
            </w:pPr>
          </w:p>
        </w:tc>
        <w:tc>
          <w:tcPr>
            <w:tcW w:w="710" w:type="dxa"/>
            <w:vMerge w:val="continue"/>
            <w:vAlign w:val="center"/>
          </w:tcPr>
          <w:p>
            <w:pPr>
              <w:pStyle w:val="84"/>
              <w:rPr>
                <w:rFonts w:hint="default" w:ascii="Times New Roman" w:hAnsi="Times New Roman" w:cs="Times New Roman"/>
                <w:color w:val="auto"/>
                <w:highlight w:val="none"/>
              </w:rPr>
            </w:pPr>
          </w:p>
        </w:tc>
        <w:tc>
          <w:tcPr>
            <w:tcW w:w="971"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合价</w:t>
            </w:r>
          </w:p>
        </w:tc>
        <w:tc>
          <w:tcPr>
            <w:tcW w:w="1000"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1020"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trPr>
        <w:tc>
          <w:tcPr>
            <w:tcW w:w="682"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985" w:type="dxa"/>
            <w:shd w:val="clear" w:color="auto" w:fill="auto"/>
            <w:vAlign w:val="center"/>
          </w:tcPr>
          <w:p>
            <w:pPr>
              <w:pStyle w:val="84"/>
              <w:rPr>
                <w:rFonts w:hint="eastAsia"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rPr>
              <w:t>推土机74k</w:t>
            </w:r>
            <w:r>
              <w:rPr>
                <w:rFonts w:hint="eastAsia" w:cs="Times New Roman"/>
                <w:color w:val="auto"/>
                <w:highlight w:val="none"/>
                <w:lang w:val="en-US" w:eastAsia="zh-CN"/>
              </w:rPr>
              <w:t>w</w:t>
            </w:r>
          </w:p>
        </w:tc>
        <w:tc>
          <w:tcPr>
            <w:tcW w:w="850" w:type="dxa"/>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121.47</w:t>
            </w:r>
          </w:p>
        </w:tc>
        <w:tc>
          <w:tcPr>
            <w:tcW w:w="5543" w:type="dxa"/>
            <w:gridSpan w:val="6"/>
            <w:vMerge w:val="restart"/>
            <w:shd w:val="clear" w:color="auto" w:fill="auto"/>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与主体工程保持一致</w:t>
            </w:r>
          </w:p>
          <w:p>
            <w:pPr>
              <w:pStyle w:val="84"/>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trPr>
        <w:tc>
          <w:tcPr>
            <w:tcW w:w="682"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1985"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洒水车8m³</w:t>
            </w:r>
          </w:p>
        </w:tc>
        <w:tc>
          <w:tcPr>
            <w:tcW w:w="850" w:type="dxa"/>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103.62</w:t>
            </w:r>
          </w:p>
        </w:tc>
        <w:tc>
          <w:tcPr>
            <w:tcW w:w="5543" w:type="dxa"/>
            <w:gridSpan w:val="6"/>
            <w:vMerge w:val="continue"/>
            <w:vAlign w:val="center"/>
          </w:tcPr>
          <w:p>
            <w:pPr>
              <w:pStyle w:val="84"/>
              <w:rPr>
                <w:rFonts w:hint="default" w:ascii="Times New Roman" w:hAnsi="Times New Roman" w:cs="Times New Roman"/>
                <w:color w:val="auto"/>
                <w:highlight w:val="none"/>
              </w:rPr>
            </w:pPr>
          </w:p>
        </w:tc>
      </w:tr>
    </w:tbl>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表7.1-11       水土保持监测费用计算表</w:t>
      </w:r>
    </w:p>
    <w:tbl>
      <w:tblPr>
        <w:tblStyle w:val="27"/>
        <w:tblW w:w="928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080"/>
        <w:gridCol w:w="2475"/>
        <w:gridCol w:w="1410"/>
        <w:gridCol w:w="1080"/>
        <w:gridCol w:w="1080"/>
        <w:gridCol w:w="1080"/>
        <w:gridCol w:w="10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atLeast"/>
          <w:jc w:val="center"/>
        </w:trPr>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序号</w:t>
            </w:r>
          </w:p>
        </w:tc>
        <w:tc>
          <w:tcPr>
            <w:tcW w:w="24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名称</w:t>
            </w:r>
          </w:p>
        </w:tc>
        <w:tc>
          <w:tcPr>
            <w:tcW w:w="141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单位</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数量</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单价(元)</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折旧(%)</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合价(元)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一</w:t>
            </w:r>
          </w:p>
        </w:tc>
        <w:tc>
          <w:tcPr>
            <w:tcW w:w="24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监测设备</w:t>
            </w:r>
          </w:p>
        </w:tc>
        <w:tc>
          <w:tcPr>
            <w:tcW w:w="141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12094</w:t>
            </w:r>
            <w:r>
              <w:rPr>
                <w:rFonts w:hint="default" w:ascii="Times New Roman" w:hAnsi="Times New Roman" w:eastAsia="仿宋_GB2312" w:cs="Times New Roman"/>
                <w:color w:val="auto"/>
                <w:spacing w:val="-2"/>
                <w:kern w:val="0"/>
                <w:sz w:val="21"/>
                <w:szCs w:val="21"/>
                <w:highlight w:val="none"/>
                <w:lang w:val="en-US" w:eastAsia="zh-CN" w:bidi="ar-SA"/>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24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全站仪</w:t>
            </w:r>
          </w:p>
        </w:tc>
        <w:tc>
          <w:tcPr>
            <w:tcW w:w="141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套</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35000</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20</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7000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2</w:t>
            </w:r>
          </w:p>
        </w:tc>
        <w:tc>
          <w:tcPr>
            <w:tcW w:w="24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GPS定位仪</w:t>
            </w:r>
          </w:p>
        </w:tc>
        <w:tc>
          <w:tcPr>
            <w:tcW w:w="141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台</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5000</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20</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3</w:t>
            </w:r>
          </w:p>
        </w:tc>
        <w:tc>
          <w:tcPr>
            <w:tcW w:w="24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数码照相机</w:t>
            </w:r>
          </w:p>
        </w:tc>
        <w:tc>
          <w:tcPr>
            <w:tcW w:w="141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台</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2000</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20</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4</w:t>
            </w:r>
          </w:p>
        </w:tc>
        <w:tc>
          <w:tcPr>
            <w:tcW w:w="24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数码摄像机</w:t>
            </w:r>
          </w:p>
        </w:tc>
        <w:tc>
          <w:tcPr>
            <w:tcW w:w="141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台</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4000</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20</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800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5</w:t>
            </w:r>
          </w:p>
        </w:tc>
        <w:tc>
          <w:tcPr>
            <w:tcW w:w="24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无人机</w:t>
            </w:r>
          </w:p>
        </w:tc>
        <w:tc>
          <w:tcPr>
            <w:tcW w:w="141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架</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25000</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20</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5000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6</w:t>
            </w:r>
          </w:p>
        </w:tc>
        <w:tc>
          <w:tcPr>
            <w:tcW w:w="24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遥感影像</w:t>
            </w:r>
          </w:p>
        </w:tc>
        <w:tc>
          <w:tcPr>
            <w:tcW w:w="141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景</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6</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2790</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16740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7</w:t>
            </w:r>
          </w:p>
        </w:tc>
        <w:tc>
          <w:tcPr>
            <w:tcW w:w="24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遥感影像解译</w:t>
            </w:r>
          </w:p>
        </w:tc>
        <w:tc>
          <w:tcPr>
            <w:tcW w:w="141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景</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6</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15000</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9</w:t>
            </w:r>
            <w:r>
              <w:rPr>
                <w:rFonts w:hint="default" w:ascii="Times New Roman" w:hAnsi="Times New Roman" w:eastAsia="仿宋_GB2312" w:cs="Times New Roman"/>
                <w:color w:val="auto"/>
                <w:spacing w:val="-2"/>
                <w:kern w:val="0"/>
                <w:sz w:val="21"/>
                <w:szCs w:val="21"/>
                <w:highlight w:val="none"/>
                <w:lang w:val="en-US" w:eastAsia="zh-CN" w:bidi="ar-SA"/>
              </w:rPr>
              <w:t>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二</w:t>
            </w:r>
          </w:p>
        </w:tc>
        <w:tc>
          <w:tcPr>
            <w:tcW w:w="24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监测耗材</w:t>
            </w:r>
          </w:p>
        </w:tc>
        <w:tc>
          <w:tcPr>
            <w:tcW w:w="141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13885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w:t>
            </w:r>
          </w:p>
        </w:tc>
        <w:tc>
          <w:tcPr>
            <w:tcW w:w="24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监测车辆</w:t>
            </w:r>
          </w:p>
        </w:tc>
        <w:tc>
          <w:tcPr>
            <w:tcW w:w="141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部</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10000</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10000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三</w:t>
            </w:r>
          </w:p>
        </w:tc>
        <w:tc>
          <w:tcPr>
            <w:tcW w:w="24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监测人员</w:t>
            </w:r>
          </w:p>
        </w:tc>
        <w:tc>
          <w:tcPr>
            <w:tcW w:w="141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2人▪1年</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2</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5</w:t>
            </w:r>
            <w:r>
              <w:rPr>
                <w:rFonts w:hint="default" w:ascii="Times New Roman" w:hAnsi="Times New Roman" w:eastAsia="仿宋_GB2312" w:cs="Times New Roman"/>
                <w:color w:val="auto"/>
                <w:spacing w:val="-2"/>
                <w:kern w:val="0"/>
                <w:sz w:val="21"/>
                <w:szCs w:val="21"/>
                <w:highlight w:val="none"/>
                <w:lang w:val="en-US" w:eastAsia="zh-CN" w:bidi="ar-SA"/>
              </w:rPr>
              <w:t>0000</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10</w:t>
            </w:r>
            <w:r>
              <w:rPr>
                <w:rFonts w:hint="default" w:ascii="Times New Roman" w:hAnsi="Times New Roman" w:eastAsia="仿宋_GB2312" w:cs="Times New Roman"/>
                <w:color w:val="auto"/>
                <w:spacing w:val="-2"/>
                <w:kern w:val="0"/>
                <w:sz w:val="21"/>
                <w:szCs w:val="21"/>
                <w:highlight w:val="none"/>
                <w:lang w:val="en-US" w:eastAsia="zh-CN" w:bidi="ar-SA"/>
              </w:rPr>
              <w:t>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965"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合计</w:t>
            </w: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230940</w:t>
            </w:r>
          </w:p>
        </w:tc>
      </w:tr>
    </w:tbl>
    <w:p>
      <w:pPr>
        <w:pStyle w:val="66"/>
        <w:ind w:firstLine="148"/>
        <w:rPr>
          <w:rFonts w:hint="default" w:ascii="Times New Roman" w:hAnsi="Times New Roman" w:cs="Times New Roman"/>
          <w:color w:val="auto"/>
          <w:highlight w:val="none"/>
        </w:rPr>
      </w:pPr>
      <w:bookmarkStart w:id="166" w:name="_Toc31571"/>
      <w:r>
        <w:rPr>
          <w:rFonts w:hint="default" w:ascii="Times New Roman" w:hAnsi="Times New Roman" w:cs="Times New Roman"/>
          <w:color w:val="auto"/>
          <w:highlight w:val="none"/>
        </w:rPr>
        <w:t>7.2 效益分析</w:t>
      </w:r>
      <w:bookmarkEnd w:id="166"/>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是一项社会公益事业，其效益分析必须在国家生态建设规划的指导下，本着可持续发展的原则，着重分析工程建设过程中通过落实各项水土保持措施后，在控制人为水土流失方面所产生的保水、保土、改善生态环境的作用和效益。效益分析按《生产建设项目水土保持技术标准》(GB50433-2018)进行。</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7.2.1 效益分析原则</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（1）首先考虑水土保持措施的基础效益、生态效益和社会效益，在此基础上考虑经济效益。</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（2）水土保持的效益既是多方面的，也是有限度的，要实事求是、客观地进行水土保持效益分析。</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（3）基础效益采用定量和定性相结合分析，生态效益、社会效益作定性描述分析。</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7.2.2 分析计算方法</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本方案对水土保持综合治理措施的计算与评价方法是：在实地调查的基础上采用中华人民共和国国家标准《生产建设项目水土保持技术标准》（GB 50433-2018）进行分析计算。</w:t>
      </w:r>
    </w:p>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7.2.3 防治效果预测</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水土流失的防治效果预测，主要是指对照方案采取的水土流失防治措施，预测可能达到的防治效果。具体的量化指标为水土流失治理度、土壤流失控制比、渣土防护率、表土保护率、林草植被恢复率和林草覆盖率等六大指标。</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1）水土流失治理度：水土保持措施面积与项目永久建筑物及硬化面积的和占项目建设区总面积的比例。本工程水保措施防治面积4</w:t>
      </w:r>
      <w:r>
        <w:rPr>
          <w:rFonts w:hint="eastAsia" w:cs="Times New Roman"/>
          <w:color w:val="auto"/>
          <w:highlight w:val="none"/>
          <w:lang w:val="en-US" w:eastAsia="zh-CN"/>
        </w:rPr>
        <w:t>9.46</w:t>
      </w:r>
      <w:r>
        <w:rPr>
          <w:rFonts w:hint="default" w:ascii="Times New Roman" w:hAnsi="Times New Roman" w:cs="Times New Roman"/>
          <w:color w:val="auto"/>
          <w:highlight w:val="none"/>
        </w:rPr>
        <w:t>hm²，永久建筑物及硬化面积为0.</w:t>
      </w:r>
      <w:r>
        <w:rPr>
          <w:rFonts w:hint="eastAsia" w:cs="Times New Roman"/>
          <w:color w:val="auto"/>
          <w:highlight w:val="none"/>
          <w:lang w:val="en-US" w:eastAsia="zh-CN"/>
        </w:rPr>
        <w:t>56</w:t>
      </w:r>
      <w:r>
        <w:rPr>
          <w:rFonts w:hint="default" w:ascii="Times New Roman" w:hAnsi="Times New Roman" w:cs="Times New Roman"/>
          <w:color w:val="auto"/>
          <w:highlight w:val="none"/>
        </w:rPr>
        <w:t>hm²，水土流失面积为</w:t>
      </w:r>
      <w:r>
        <w:rPr>
          <w:rFonts w:hint="eastAsia" w:cs="Times New Roman"/>
          <w:color w:val="auto"/>
          <w:highlight w:val="none"/>
          <w:lang w:val="en-US" w:eastAsia="zh-CN"/>
        </w:rPr>
        <w:t>49.46</w:t>
      </w:r>
      <w:r>
        <w:rPr>
          <w:rFonts w:hint="default" w:ascii="Times New Roman" w:hAnsi="Times New Roman" w:cs="Times New Roman"/>
          <w:color w:val="auto"/>
          <w:highlight w:val="none"/>
        </w:rPr>
        <w:t>hm²，水土流失治理度达到99.</w:t>
      </w:r>
      <w:r>
        <w:rPr>
          <w:rFonts w:hint="eastAsia" w:cs="Times New Roman"/>
          <w:color w:val="auto"/>
          <w:highlight w:val="none"/>
          <w:lang w:val="en-US" w:eastAsia="zh-CN"/>
        </w:rPr>
        <w:t>0</w:t>
      </w:r>
      <w:r>
        <w:rPr>
          <w:rFonts w:hint="default" w:ascii="Times New Roman" w:hAnsi="Times New Roman" w:cs="Times New Roman"/>
          <w:color w:val="auto"/>
          <w:highlight w:val="none"/>
        </w:rPr>
        <w:t>%。</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2）土壤流失控制比：本工程项目区容许土壤流失量为1</w:t>
      </w:r>
      <w:r>
        <w:rPr>
          <w:rFonts w:hint="eastAsia" w:cs="Times New Roman"/>
          <w:color w:val="auto"/>
          <w:highlight w:val="none"/>
          <w:lang w:val="en-US" w:eastAsia="zh-CN"/>
        </w:rPr>
        <w:t>5</w:t>
      </w:r>
      <w:r>
        <w:rPr>
          <w:rFonts w:hint="default" w:ascii="Times New Roman" w:hAnsi="Times New Roman" w:cs="Times New Roman"/>
          <w:color w:val="auto"/>
          <w:highlight w:val="none"/>
        </w:rPr>
        <w:t>00t/km²·a，通过实施主体设计和本方案所提出的各项水土保持措施后，项目区经长达5年时间的自然恢复，5年后土壤侵蚀模数可降低到1</w:t>
      </w:r>
      <w:r>
        <w:rPr>
          <w:rFonts w:hint="eastAsia" w:cs="Times New Roman"/>
          <w:color w:val="auto"/>
          <w:highlight w:val="none"/>
          <w:lang w:val="en-US" w:eastAsia="zh-CN"/>
        </w:rPr>
        <w:t>5</w:t>
      </w:r>
      <w:r>
        <w:rPr>
          <w:rFonts w:hint="default" w:ascii="Times New Roman" w:hAnsi="Times New Roman" w:cs="Times New Roman"/>
          <w:color w:val="auto"/>
          <w:highlight w:val="none"/>
        </w:rPr>
        <w:t>00t/km²·a，土壤流失控制比控制为1.0。</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3）渣土防护率：工程建设产生的永久弃渣及临时堆土总量为</w:t>
      </w:r>
      <w:r>
        <w:rPr>
          <w:rFonts w:hint="eastAsia" w:cs="Times New Roman"/>
          <w:color w:val="auto"/>
          <w:highlight w:val="none"/>
          <w:lang w:val="en-US" w:eastAsia="zh-CN"/>
        </w:rPr>
        <w:t>4.968</w:t>
      </w:r>
      <w:r>
        <w:rPr>
          <w:rFonts w:hint="default" w:ascii="Times New Roman" w:hAnsi="Times New Roman" w:cs="Times New Roman"/>
          <w:color w:val="auto"/>
          <w:highlight w:val="none"/>
        </w:rPr>
        <w:t>万m³，通过主体设计及实施的各项临时防护措施，可以基本控制临时堆土场水土流失，其渣土防护率可以达到99%。</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4）表土保护率：本项目表土保护率不做具体要求。</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5）林草植被恢复率和林草植被覆盖率：本项目林草植被恢复率和林草植被覆盖率不做要求。</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pPr>
        <w:pStyle w:val="75"/>
        <w:ind w:firstLine="1205" w:firstLineChars="5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表7.2-1            效益分析计算表</w:t>
      </w:r>
    </w:p>
    <w:tbl>
      <w:tblPr>
        <w:tblStyle w:val="27"/>
        <w:tblW w:w="90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4"/>
        <w:gridCol w:w="1277"/>
        <w:gridCol w:w="1133"/>
        <w:gridCol w:w="850"/>
        <w:gridCol w:w="130"/>
        <w:gridCol w:w="1004"/>
        <w:gridCol w:w="852"/>
        <w:gridCol w:w="940"/>
        <w:gridCol w:w="955"/>
        <w:gridCol w:w="11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0" w:hRule="atLeast"/>
          <w:jc w:val="center"/>
        </w:trPr>
        <w:tc>
          <w:tcPr>
            <w:tcW w:w="2091" w:type="dxa"/>
            <w:gridSpan w:val="2"/>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项目组成</w:t>
            </w:r>
          </w:p>
        </w:tc>
        <w:tc>
          <w:tcPr>
            <w:tcW w:w="1133"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项目建设占地面积（hm</w:t>
            </w:r>
            <w:r>
              <w:rPr>
                <w:rFonts w:hint="default" w:ascii="Times New Roman" w:hAnsi="Times New Roman" w:eastAsia="宋体" w:cs="Times New Roman"/>
                <w:color w:val="auto"/>
                <w:highlight w:val="none"/>
              </w:rPr>
              <w:t>²</w:t>
            </w:r>
            <w:r>
              <w:rPr>
                <w:rFonts w:hint="default" w:ascii="Times New Roman" w:hAnsi="Times New Roman" w:cs="Times New Roman"/>
                <w:color w:val="auto"/>
                <w:highlight w:val="none"/>
              </w:rPr>
              <w:t>）</w:t>
            </w:r>
          </w:p>
        </w:tc>
        <w:tc>
          <w:tcPr>
            <w:tcW w:w="850"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扰动地表面积(hm</w:t>
            </w:r>
            <w:r>
              <w:rPr>
                <w:rFonts w:hint="default" w:ascii="Times New Roman" w:hAnsi="Times New Roman" w:eastAsia="宋体" w:cs="Times New Roman"/>
                <w:color w:val="auto"/>
                <w:highlight w:val="none"/>
              </w:rPr>
              <w:t>²</w:t>
            </w:r>
            <w:r>
              <w:rPr>
                <w:rFonts w:hint="default" w:ascii="Times New Roman" w:hAnsi="Times New Roman" w:cs="Times New Roman"/>
                <w:color w:val="auto"/>
                <w:highlight w:val="none"/>
              </w:rPr>
              <w:t>)</w:t>
            </w:r>
          </w:p>
        </w:tc>
        <w:tc>
          <w:tcPr>
            <w:tcW w:w="1134" w:type="dxa"/>
            <w:gridSpan w:val="2"/>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永久建筑物及硬化面积(hm</w:t>
            </w:r>
            <w:r>
              <w:rPr>
                <w:rFonts w:hint="default" w:ascii="Times New Roman" w:hAnsi="Times New Roman" w:eastAsia="宋体" w:cs="Times New Roman"/>
                <w:color w:val="auto"/>
                <w:highlight w:val="none"/>
              </w:rPr>
              <w:t>²</w:t>
            </w:r>
            <w:r>
              <w:rPr>
                <w:rFonts w:hint="default" w:ascii="Times New Roman" w:hAnsi="Times New Roman" w:cs="Times New Roman"/>
                <w:color w:val="auto"/>
                <w:highlight w:val="none"/>
              </w:rPr>
              <w:t>)</w:t>
            </w:r>
          </w:p>
        </w:tc>
        <w:tc>
          <w:tcPr>
            <w:tcW w:w="852"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可绿化面积 (hm</w:t>
            </w:r>
            <w:r>
              <w:rPr>
                <w:rFonts w:hint="default" w:ascii="Times New Roman" w:hAnsi="Times New Roman" w:eastAsia="宋体" w:cs="Times New Roman"/>
                <w:color w:val="auto"/>
                <w:highlight w:val="none"/>
              </w:rPr>
              <w:t>²</w:t>
            </w:r>
            <w:r>
              <w:rPr>
                <w:rFonts w:hint="default" w:ascii="Times New Roman" w:hAnsi="Times New Roman" w:cs="Times New Roman"/>
                <w:color w:val="auto"/>
                <w:highlight w:val="none"/>
              </w:rPr>
              <w:t>)</w:t>
            </w:r>
          </w:p>
        </w:tc>
        <w:tc>
          <w:tcPr>
            <w:tcW w:w="940"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植物措施面积(hm</w:t>
            </w:r>
            <w:r>
              <w:rPr>
                <w:rFonts w:hint="default" w:ascii="Times New Roman" w:hAnsi="Times New Roman" w:eastAsia="宋体" w:cs="Times New Roman"/>
                <w:color w:val="auto"/>
                <w:highlight w:val="none"/>
              </w:rPr>
              <w:t>²</w:t>
            </w:r>
            <w:r>
              <w:rPr>
                <w:rFonts w:hint="default" w:ascii="Times New Roman" w:hAnsi="Times New Roman" w:cs="Times New Roman"/>
                <w:color w:val="auto"/>
                <w:highlight w:val="none"/>
              </w:rPr>
              <w:t>)</w:t>
            </w:r>
          </w:p>
        </w:tc>
        <w:tc>
          <w:tcPr>
            <w:tcW w:w="955"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工程措施面积(hm</w:t>
            </w:r>
            <w:r>
              <w:rPr>
                <w:rFonts w:hint="default" w:ascii="Times New Roman" w:hAnsi="Times New Roman" w:eastAsia="宋体" w:cs="Times New Roman"/>
                <w:color w:val="auto"/>
                <w:highlight w:val="none"/>
              </w:rPr>
              <w:t>²</w:t>
            </w:r>
            <w:r>
              <w:rPr>
                <w:rFonts w:hint="default" w:ascii="Times New Roman" w:hAnsi="Times New Roman" w:cs="Times New Roman"/>
                <w:color w:val="auto"/>
                <w:highlight w:val="none"/>
              </w:rPr>
              <w:t>)</w:t>
            </w:r>
          </w:p>
        </w:tc>
        <w:tc>
          <w:tcPr>
            <w:tcW w:w="1105"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水土保持措施面积(hm</w:t>
            </w:r>
            <w:r>
              <w:rPr>
                <w:rFonts w:hint="default" w:ascii="Times New Roman" w:hAnsi="Times New Roman" w:eastAsia="宋体" w:cs="Times New Roman"/>
                <w:color w:val="auto"/>
                <w:highlight w:val="none"/>
              </w:rPr>
              <w:t>²</w:t>
            </w:r>
            <w:r>
              <w:rPr>
                <w:rFonts w:hint="default" w:ascii="Times New Roman" w:hAnsi="Times New Roman"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814" w:type="dxa"/>
            <w:vMerge w:val="restart"/>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光伏发电区</w:t>
            </w:r>
          </w:p>
        </w:tc>
        <w:tc>
          <w:tcPr>
            <w:tcW w:w="1277"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光伏阵列区</w:t>
            </w:r>
          </w:p>
        </w:tc>
        <w:tc>
          <w:tcPr>
            <w:tcW w:w="1133"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43.46</w:t>
            </w:r>
          </w:p>
        </w:tc>
        <w:tc>
          <w:tcPr>
            <w:tcW w:w="850"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43.46</w:t>
            </w:r>
          </w:p>
        </w:tc>
        <w:tc>
          <w:tcPr>
            <w:tcW w:w="1134" w:type="dxa"/>
            <w:gridSpan w:val="2"/>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0.1</w:t>
            </w:r>
            <w:r>
              <w:rPr>
                <w:rFonts w:hint="eastAsia" w:eastAsia="仿宋_GB2312" w:cs="Times New Roman"/>
                <w:color w:val="auto"/>
                <w:spacing w:val="-2"/>
                <w:kern w:val="0"/>
                <w:sz w:val="21"/>
                <w:szCs w:val="21"/>
                <w:highlight w:val="none"/>
                <w:lang w:val="en-US" w:eastAsia="zh-CN" w:bidi="ar-SA"/>
              </w:rPr>
              <w:t>1</w:t>
            </w:r>
          </w:p>
        </w:tc>
        <w:tc>
          <w:tcPr>
            <w:tcW w:w="852"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40"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55"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42.95</w:t>
            </w:r>
          </w:p>
        </w:tc>
        <w:tc>
          <w:tcPr>
            <w:tcW w:w="1105"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42.95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814" w:type="dxa"/>
            <w:vMerge w:val="continue"/>
            <w:vAlign w:val="center"/>
          </w:tcPr>
          <w:p>
            <w:pPr>
              <w:pStyle w:val="84"/>
              <w:jc w:val="center"/>
              <w:rPr>
                <w:rFonts w:hint="default" w:ascii="Times New Roman" w:hAnsi="Times New Roman" w:cs="Times New Roman"/>
                <w:color w:val="auto"/>
                <w:highlight w:val="none"/>
              </w:rPr>
            </w:pPr>
          </w:p>
        </w:tc>
        <w:tc>
          <w:tcPr>
            <w:tcW w:w="1277"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集电线路区</w:t>
            </w:r>
          </w:p>
        </w:tc>
        <w:tc>
          <w:tcPr>
            <w:tcW w:w="1133"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2.76</w:t>
            </w:r>
          </w:p>
        </w:tc>
        <w:tc>
          <w:tcPr>
            <w:tcW w:w="850"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2.76</w:t>
            </w:r>
          </w:p>
        </w:tc>
        <w:tc>
          <w:tcPr>
            <w:tcW w:w="1134" w:type="dxa"/>
            <w:gridSpan w:val="2"/>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852"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40"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55"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2.74</w:t>
            </w:r>
          </w:p>
        </w:tc>
        <w:tc>
          <w:tcPr>
            <w:tcW w:w="1105"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2.74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814" w:type="dxa"/>
            <w:vMerge w:val="restart"/>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道路工程区</w:t>
            </w:r>
          </w:p>
        </w:tc>
        <w:tc>
          <w:tcPr>
            <w:tcW w:w="1277"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进场道路</w:t>
            </w:r>
          </w:p>
        </w:tc>
        <w:tc>
          <w:tcPr>
            <w:tcW w:w="1133"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0.03</w:t>
            </w:r>
          </w:p>
        </w:tc>
        <w:tc>
          <w:tcPr>
            <w:tcW w:w="850"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0.03</w:t>
            </w:r>
          </w:p>
        </w:tc>
        <w:tc>
          <w:tcPr>
            <w:tcW w:w="1134" w:type="dxa"/>
            <w:gridSpan w:val="2"/>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0.03</w:t>
            </w:r>
          </w:p>
        </w:tc>
        <w:tc>
          <w:tcPr>
            <w:tcW w:w="852"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40"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55"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1105"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814" w:type="dxa"/>
            <w:vMerge w:val="continue"/>
            <w:vAlign w:val="center"/>
          </w:tcPr>
          <w:p>
            <w:pPr>
              <w:pStyle w:val="84"/>
              <w:jc w:val="center"/>
              <w:rPr>
                <w:rFonts w:hint="default" w:ascii="Times New Roman" w:hAnsi="Times New Roman" w:cs="Times New Roman"/>
                <w:color w:val="auto"/>
                <w:highlight w:val="none"/>
              </w:rPr>
            </w:pPr>
          </w:p>
        </w:tc>
        <w:tc>
          <w:tcPr>
            <w:tcW w:w="1277"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场内道路</w:t>
            </w:r>
          </w:p>
        </w:tc>
        <w:tc>
          <w:tcPr>
            <w:tcW w:w="1133"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1.92</w:t>
            </w:r>
          </w:p>
        </w:tc>
        <w:tc>
          <w:tcPr>
            <w:tcW w:w="850"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1.92</w:t>
            </w:r>
          </w:p>
        </w:tc>
        <w:tc>
          <w:tcPr>
            <w:tcW w:w="1134" w:type="dxa"/>
            <w:gridSpan w:val="2"/>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852"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40"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55"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1.90</w:t>
            </w:r>
          </w:p>
        </w:tc>
        <w:tc>
          <w:tcPr>
            <w:tcW w:w="1105"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1.90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2091" w:type="dxa"/>
            <w:gridSpan w:val="2"/>
            <w:shd w:val="clear" w:color="auto" w:fill="auto"/>
            <w:vAlign w:val="center"/>
          </w:tcPr>
          <w:p>
            <w:pPr>
              <w:pStyle w:val="84"/>
              <w:jc w:val="center"/>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运行管理区</w:t>
            </w:r>
          </w:p>
        </w:tc>
        <w:tc>
          <w:tcPr>
            <w:tcW w:w="1133"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0.</w:t>
            </w:r>
            <w:r>
              <w:rPr>
                <w:rFonts w:hint="eastAsia" w:eastAsia="仿宋_GB2312" w:cs="Times New Roman"/>
                <w:color w:val="auto"/>
                <w:spacing w:val="-2"/>
                <w:kern w:val="0"/>
                <w:sz w:val="21"/>
                <w:szCs w:val="21"/>
                <w:highlight w:val="none"/>
                <w:lang w:val="en-US" w:eastAsia="zh-CN" w:bidi="ar-SA"/>
              </w:rPr>
              <w:t>83</w:t>
            </w:r>
          </w:p>
        </w:tc>
        <w:tc>
          <w:tcPr>
            <w:tcW w:w="850"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0.</w:t>
            </w:r>
            <w:r>
              <w:rPr>
                <w:rFonts w:hint="eastAsia" w:eastAsia="仿宋_GB2312" w:cs="Times New Roman"/>
                <w:color w:val="auto"/>
                <w:spacing w:val="-2"/>
                <w:kern w:val="0"/>
                <w:sz w:val="21"/>
                <w:szCs w:val="21"/>
                <w:highlight w:val="none"/>
                <w:lang w:val="en-US" w:eastAsia="zh-CN" w:bidi="ar-SA"/>
              </w:rPr>
              <w:t>83</w:t>
            </w:r>
          </w:p>
        </w:tc>
        <w:tc>
          <w:tcPr>
            <w:tcW w:w="1134" w:type="dxa"/>
            <w:gridSpan w:val="2"/>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0.</w:t>
            </w:r>
            <w:r>
              <w:rPr>
                <w:rFonts w:hint="eastAsia" w:eastAsia="仿宋_GB2312" w:cs="Times New Roman"/>
                <w:color w:val="auto"/>
                <w:spacing w:val="-2"/>
                <w:kern w:val="0"/>
                <w:sz w:val="21"/>
                <w:szCs w:val="21"/>
                <w:highlight w:val="none"/>
                <w:lang w:val="en-US" w:eastAsia="zh-CN" w:bidi="ar-SA"/>
              </w:rPr>
              <w:t>42</w:t>
            </w:r>
          </w:p>
        </w:tc>
        <w:tc>
          <w:tcPr>
            <w:tcW w:w="852"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40"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55"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0.39</w:t>
            </w:r>
          </w:p>
        </w:tc>
        <w:tc>
          <w:tcPr>
            <w:tcW w:w="1105"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0.39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2091" w:type="dxa"/>
            <w:gridSpan w:val="2"/>
            <w:shd w:val="clear" w:color="auto" w:fill="auto"/>
            <w:vAlign w:val="center"/>
          </w:tcPr>
          <w:p>
            <w:pPr>
              <w:pStyle w:val="84"/>
              <w:jc w:val="center"/>
              <w:rPr>
                <w:rFonts w:hint="default" w:ascii="Times New Roman" w:hAnsi="Times New Roman" w:eastAsia="仿宋_GB2312" w:cs="Times New Roman"/>
                <w:color w:val="auto"/>
                <w:highlight w:val="none"/>
                <w:lang w:eastAsia="zh-CN"/>
              </w:rPr>
            </w:pPr>
            <w:r>
              <w:rPr>
                <w:rFonts w:hint="eastAsia" w:cs="Times New Roman"/>
                <w:color w:val="auto"/>
                <w:highlight w:val="none"/>
                <w:lang w:eastAsia="zh-CN"/>
              </w:rPr>
              <w:t>施工生产生活区</w:t>
            </w:r>
          </w:p>
        </w:tc>
        <w:tc>
          <w:tcPr>
            <w:tcW w:w="1133"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0.</w:t>
            </w:r>
            <w:r>
              <w:rPr>
                <w:rFonts w:hint="eastAsia" w:eastAsia="仿宋_GB2312" w:cs="Times New Roman"/>
                <w:color w:val="auto"/>
                <w:spacing w:val="-2"/>
                <w:kern w:val="0"/>
                <w:sz w:val="21"/>
                <w:szCs w:val="21"/>
                <w:highlight w:val="none"/>
                <w:lang w:val="en-US" w:eastAsia="zh-CN" w:bidi="ar-SA"/>
              </w:rPr>
              <w:t>46</w:t>
            </w:r>
          </w:p>
        </w:tc>
        <w:tc>
          <w:tcPr>
            <w:tcW w:w="850"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0.</w:t>
            </w:r>
            <w:r>
              <w:rPr>
                <w:rFonts w:hint="eastAsia" w:eastAsia="仿宋_GB2312" w:cs="Times New Roman"/>
                <w:color w:val="auto"/>
                <w:spacing w:val="-2"/>
                <w:kern w:val="0"/>
                <w:sz w:val="21"/>
                <w:szCs w:val="21"/>
                <w:highlight w:val="none"/>
                <w:lang w:val="en-US" w:eastAsia="zh-CN" w:bidi="ar-SA"/>
              </w:rPr>
              <w:t>46</w:t>
            </w:r>
          </w:p>
        </w:tc>
        <w:tc>
          <w:tcPr>
            <w:tcW w:w="1134" w:type="dxa"/>
            <w:gridSpan w:val="2"/>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852"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40"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p>
        </w:tc>
        <w:tc>
          <w:tcPr>
            <w:tcW w:w="955"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0.43</w:t>
            </w:r>
          </w:p>
        </w:tc>
        <w:tc>
          <w:tcPr>
            <w:tcW w:w="1105"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0.43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091" w:type="dxa"/>
            <w:gridSpan w:val="2"/>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合计</w:t>
            </w:r>
          </w:p>
        </w:tc>
        <w:tc>
          <w:tcPr>
            <w:tcW w:w="1133"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4</w:t>
            </w:r>
            <w:r>
              <w:rPr>
                <w:rFonts w:hint="eastAsia" w:eastAsia="仿宋_GB2312" w:cs="Times New Roman"/>
                <w:color w:val="auto"/>
                <w:spacing w:val="-2"/>
                <w:kern w:val="0"/>
                <w:sz w:val="21"/>
                <w:szCs w:val="21"/>
                <w:highlight w:val="none"/>
                <w:lang w:val="en-US" w:eastAsia="zh-CN" w:bidi="ar-SA"/>
              </w:rPr>
              <w:t>9.46</w:t>
            </w:r>
          </w:p>
        </w:tc>
        <w:tc>
          <w:tcPr>
            <w:tcW w:w="850"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4</w:t>
            </w:r>
            <w:r>
              <w:rPr>
                <w:rFonts w:hint="eastAsia" w:eastAsia="仿宋_GB2312" w:cs="Times New Roman"/>
                <w:color w:val="auto"/>
                <w:spacing w:val="-2"/>
                <w:kern w:val="0"/>
                <w:sz w:val="21"/>
                <w:szCs w:val="21"/>
                <w:highlight w:val="none"/>
                <w:lang w:val="en-US" w:eastAsia="zh-CN" w:bidi="ar-SA"/>
              </w:rPr>
              <w:t>9.46</w:t>
            </w:r>
          </w:p>
        </w:tc>
        <w:tc>
          <w:tcPr>
            <w:tcW w:w="1134" w:type="dxa"/>
            <w:gridSpan w:val="2"/>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0.56</w:t>
            </w:r>
          </w:p>
        </w:tc>
        <w:tc>
          <w:tcPr>
            <w:tcW w:w="852"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0.00</w:t>
            </w:r>
          </w:p>
        </w:tc>
        <w:tc>
          <w:tcPr>
            <w:tcW w:w="940"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spacing w:val="-2"/>
                <w:kern w:val="0"/>
                <w:sz w:val="21"/>
                <w:szCs w:val="21"/>
                <w:highlight w:val="none"/>
                <w:lang w:val="en-US" w:eastAsia="zh-CN" w:bidi="ar-SA"/>
              </w:rPr>
              <w:t>0.00</w:t>
            </w:r>
          </w:p>
        </w:tc>
        <w:tc>
          <w:tcPr>
            <w:tcW w:w="955"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48.41</w:t>
            </w:r>
          </w:p>
        </w:tc>
        <w:tc>
          <w:tcPr>
            <w:tcW w:w="1105" w:type="dxa"/>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eastAsia="仿宋_GB2312" w:cs="Times New Roman"/>
                <w:color w:val="auto"/>
                <w:spacing w:val="-2"/>
                <w:kern w:val="0"/>
                <w:sz w:val="21"/>
                <w:szCs w:val="21"/>
                <w:highlight w:val="none"/>
                <w:lang w:val="en-US" w:eastAsia="zh-CN" w:bidi="ar-SA"/>
              </w:rPr>
              <w:t>48.41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jc w:val="center"/>
        </w:trPr>
        <w:tc>
          <w:tcPr>
            <w:tcW w:w="9060" w:type="dxa"/>
            <w:gridSpan w:val="10"/>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备注：项目区永久建筑物及硬化面积与工程措施面积重复部分只计列永久建筑物及硬化面积，计算水土保持措施面积时植物措施面积与工程措施面积重复部分已扣除。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204" w:type="dxa"/>
            <w:gridSpan w:val="5"/>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计算公式</w:t>
            </w:r>
          </w:p>
        </w:tc>
        <w:tc>
          <w:tcPr>
            <w:tcW w:w="1856" w:type="dxa"/>
            <w:gridSpan w:val="2"/>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计算</w:t>
            </w:r>
          </w:p>
        </w:tc>
        <w:tc>
          <w:tcPr>
            <w:tcW w:w="940"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目标值</w:t>
            </w:r>
          </w:p>
        </w:tc>
        <w:tc>
          <w:tcPr>
            <w:tcW w:w="955"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实际值</w:t>
            </w:r>
          </w:p>
        </w:tc>
        <w:tc>
          <w:tcPr>
            <w:tcW w:w="1105"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5" w:hRule="atLeast"/>
          <w:jc w:val="center"/>
        </w:trPr>
        <w:tc>
          <w:tcPr>
            <w:tcW w:w="4204" w:type="dxa"/>
            <w:gridSpan w:val="5"/>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水土流失治理度（％）：（水土保持措施面积+永久建筑物及硬化面积）/（项目建设区总面积）×100％</w:t>
            </w:r>
          </w:p>
        </w:tc>
        <w:tc>
          <w:tcPr>
            <w:tcW w:w="1856" w:type="dxa"/>
            <w:gridSpan w:val="2"/>
            <w:shd w:val="clear" w:color="auto" w:fill="auto"/>
            <w:vAlign w:val="center"/>
          </w:tcPr>
          <w:p>
            <w:pPr>
              <w:widowControl/>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default" w:ascii="Times New Roman" w:hAnsi="Times New Roman" w:eastAsia="仿宋_GB2312" w:cs="Times New Roman"/>
                <w:color w:val="auto"/>
                <w:spacing w:val="-2"/>
                <w:kern w:val="0"/>
                <w:sz w:val="21"/>
                <w:szCs w:val="21"/>
                <w:highlight w:val="none"/>
              </w:rPr>
              <w:t>（0.</w:t>
            </w:r>
            <w:r>
              <w:rPr>
                <w:rFonts w:hint="eastAsia" w:eastAsia="仿宋_GB2312" w:cs="Times New Roman"/>
                <w:color w:val="auto"/>
                <w:spacing w:val="-2"/>
                <w:kern w:val="0"/>
                <w:sz w:val="21"/>
                <w:szCs w:val="21"/>
                <w:highlight w:val="none"/>
                <w:lang w:val="en-US" w:eastAsia="zh-CN"/>
              </w:rPr>
              <w:t>56</w:t>
            </w:r>
            <w:r>
              <w:rPr>
                <w:rFonts w:hint="default" w:ascii="Times New Roman" w:hAnsi="Times New Roman" w:eastAsia="仿宋_GB2312" w:cs="Times New Roman"/>
                <w:color w:val="auto"/>
                <w:spacing w:val="-2"/>
                <w:kern w:val="0"/>
                <w:sz w:val="21"/>
                <w:szCs w:val="21"/>
                <w:highlight w:val="none"/>
              </w:rPr>
              <w:t>+4</w:t>
            </w:r>
            <w:r>
              <w:rPr>
                <w:rFonts w:hint="eastAsia" w:eastAsia="仿宋_GB2312" w:cs="Times New Roman"/>
                <w:color w:val="auto"/>
                <w:spacing w:val="-2"/>
                <w:kern w:val="0"/>
                <w:sz w:val="21"/>
                <w:szCs w:val="21"/>
                <w:highlight w:val="none"/>
                <w:lang w:val="en-US" w:eastAsia="zh-CN"/>
              </w:rPr>
              <w:t>8.41</w:t>
            </w:r>
            <w:r>
              <w:rPr>
                <w:rFonts w:hint="default" w:ascii="Times New Roman" w:hAnsi="Times New Roman" w:eastAsia="仿宋_GB2312" w:cs="Times New Roman"/>
                <w:color w:val="auto"/>
                <w:spacing w:val="-2"/>
                <w:kern w:val="0"/>
                <w:sz w:val="21"/>
                <w:szCs w:val="21"/>
                <w:highlight w:val="none"/>
              </w:rPr>
              <w:t>）/</w:t>
            </w:r>
            <w:r>
              <w:rPr>
                <w:rFonts w:hint="eastAsia" w:eastAsia="仿宋_GB2312" w:cs="Times New Roman"/>
                <w:color w:val="auto"/>
                <w:spacing w:val="-2"/>
                <w:kern w:val="0"/>
                <w:sz w:val="21"/>
                <w:szCs w:val="21"/>
                <w:highlight w:val="none"/>
                <w:lang w:val="en-US" w:eastAsia="zh-CN"/>
              </w:rPr>
              <w:t>49.46</w:t>
            </w:r>
            <w:r>
              <w:rPr>
                <w:rFonts w:hint="default" w:ascii="Times New Roman" w:hAnsi="Times New Roman" w:eastAsia="仿宋_GB2312" w:cs="Times New Roman"/>
                <w:color w:val="auto"/>
                <w:spacing w:val="-2"/>
                <w:kern w:val="0"/>
                <w:sz w:val="21"/>
                <w:szCs w:val="21"/>
                <w:highlight w:val="none"/>
              </w:rPr>
              <w:t>×100%</w:t>
            </w:r>
          </w:p>
        </w:tc>
        <w:tc>
          <w:tcPr>
            <w:tcW w:w="940" w:type="dxa"/>
            <w:shd w:val="clear" w:color="auto" w:fill="auto"/>
            <w:vAlign w:val="center"/>
          </w:tcPr>
          <w:p>
            <w:pPr>
              <w:widowControl/>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default" w:ascii="Times New Roman" w:hAnsi="Times New Roman" w:eastAsia="仿宋_GB2312" w:cs="Times New Roman"/>
                <w:color w:val="auto"/>
                <w:spacing w:val="-2"/>
                <w:kern w:val="0"/>
                <w:sz w:val="21"/>
                <w:szCs w:val="21"/>
                <w:highlight w:val="none"/>
              </w:rPr>
              <w:t>85</w:t>
            </w:r>
          </w:p>
        </w:tc>
        <w:tc>
          <w:tcPr>
            <w:tcW w:w="955" w:type="dxa"/>
            <w:shd w:val="clear" w:color="auto" w:fill="auto"/>
            <w:vAlign w:val="center"/>
          </w:tcPr>
          <w:p>
            <w:pPr>
              <w:widowControl/>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default" w:ascii="Times New Roman" w:hAnsi="Times New Roman" w:eastAsia="仿宋_GB2312" w:cs="Times New Roman"/>
                <w:color w:val="auto"/>
                <w:spacing w:val="-2"/>
                <w:kern w:val="0"/>
                <w:sz w:val="21"/>
                <w:szCs w:val="21"/>
                <w:highlight w:val="none"/>
              </w:rPr>
              <w:t>99.</w:t>
            </w:r>
            <w:r>
              <w:rPr>
                <w:rFonts w:hint="eastAsia" w:eastAsia="仿宋_GB2312" w:cs="Times New Roman"/>
                <w:color w:val="auto"/>
                <w:spacing w:val="-2"/>
                <w:kern w:val="0"/>
                <w:sz w:val="21"/>
                <w:szCs w:val="21"/>
                <w:highlight w:val="none"/>
                <w:lang w:val="en-US" w:eastAsia="zh-CN"/>
              </w:rPr>
              <w:t>0</w:t>
            </w:r>
          </w:p>
        </w:tc>
        <w:tc>
          <w:tcPr>
            <w:tcW w:w="1105"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0" w:hRule="atLeast"/>
          <w:jc w:val="center"/>
        </w:trPr>
        <w:tc>
          <w:tcPr>
            <w:tcW w:w="4204" w:type="dxa"/>
            <w:gridSpan w:val="5"/>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土壤流失控制比：项目区容许土壤流失量/方案实施后每平方公里年平均土壤侵蚀强度</w:t>
            </w:r>
          </w:p>
        </w:tc>
        <w:tc>
          <w:tcPr>
            <w:tcW w:w="1856" w:type="dxa"/>
            <w:gridSpan w:val="2"/>
            <w:shd w:val="clear" w:color="auto" w:fill="auto"/>
            <w:vAlign w:val="center"/>
          </w:tcPr>
          <w:p>
            <w:pPr>
              <w:widowControl/>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default" w:ascii="Times New Roman" w:hAnsi="Times New Roman" w:eastAsia="仿宋_GB2312" w:cs="Times New Roman"/>
                <w:color w:val="auto"/>
                <w:spacing w:val="-2"/>
                <w:kern w:val="0"/>
                <w:sz w:val="21"/>
                <w:szCs w:val="21"/>
                <w:highlight w:val="none"/>
              </w:rPr>
              <w:t>1</w:t>
            </w:r>
            <w:r>
              <w:rPr>
                <w:rFonts w:hint="eastAsia" w:eastAsia="仿宋_GB2312" w:cs="Times New Roman"/>
                <w:color w:val="auto"/>
                <w:spacing w:val="-2"/>
                <w:kern w:val="0"/>
                <w:sz w:val="21"/>
                <w:szCs w:val="21"/>
                <w:highlight w:val="none"/>
                <w:lang w:val="en-US" w:eastAsia="zh-CN"/>
              </w:rPr>
              <w:t>5</w:t>
            </w:r>
            <w:r>
              <w:rPr>
                <w:rFonts w:hint="default" w:ascii="Times New Roman" w:hAnsi="Times New Roman" w:eastAsia="仿宋_GB2312" w:cs="Times New Roman"/>
                <w:color w:val="auto"/>
                <w:spacing w:val="-2"/>
                <w:kern w:val="0"/>
                <w:sz w:val="21"/>
                <w:szCs w:val="21"/>
                <w:highlight w:val="none"/>
              </w:rPr>
              <w:t>00/1</w:t>
            </w:r>
            <w:r>
              <w:rPr>
                <w:rFonts w:hint="eastAsia" w:eastAsia="仿宋_GB2312" w:cs="Times New Roman"/>
                <w:color w:val="auto"/>
                <w:spacing w:val="-2"/>
                <w:kern w:val="0"/>
                <w:sz w:val="21"/>
                <w:szCs w:val="21"/>
                <w:highlight w:val="none"/>
                <w:lang w:val="en-US" w:eastAsia="zh-CN"/>
              </w:rPr>
              <w:t>5</w:t>
            </w:r>
            <w:r>
              <w:rPr>
                <w:rFonts w:hint="default" w:ascii="Times New Roman" w:hAnsi="Times New Roman" w:eastAsia="仿宋_GB2312" w:cs="Times New Roman"/>
                <w:color w:val="auto"/>
                <w:spacing w:val="-2"/>
                <w:kern w:val="0"/>
                <w:sz w:val="21"/>
                <w:szCs w:val="21"/>
                <w:highlight w:val="none"/>
              </w:rPr>
              <w:t>00</w:t>
            </w:r>
          </w:p>
        </w:tc>
        <w:tc>
          <w:tcPr>
            <w:tcW w:w="940" w:type="dxa"/>
            <w:shd w:val="clear" w:color="auto" w:fill="auto"/>
            <w:vAlign w:val="center"/>
          </w:tcPr>
          <w:p>
            <w:pPr>
              <w:widowControl/>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default" w:ascii="Times New Roman" w:hAnsi="Times New Roman" w:eastAsia="仿宋_GB2312" w:cs="Times New Roman"/>
                <w:color w:val="auto"/>
                <w:spacing w:val="-2"/>
                <w:kern w:val="0"/>
                <w:sz w:val="21"/>
                <w:szCs w:val="21"/>
                <w:highlight w:val="none"/>
              </w:rPr>
              <w:t>1</w:t>
            </w:r>
          </w:p>
        </w:tc>
        <w:tc>
          <w:tcPr>
            <w:tcW w:w="955" w:type="dxa"/>
            <w:shd w:val="clear" w:color="auto" w:fill="auto"/>
            <w:vAlign w:val="center"/>
          </w:tcPr>
          <w:p>
            <w:pPr>
              <w:widowControl/>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default" w:ascii="Times New Roman" w:hAnsi="Times New Roman" w:eastAsia="仿宋_GB2312" w:cs="Times New Roman"/>
                <w:color w:val="auto"/>
                <w:spacing w:val="-2"/>
                <w:kern w:val="0"/>
                <w:sz w:val="21"/>
                <w:szCs w:val="21"/>
                <w:highlight w:val="none"/>
              </w:rPr>
              <w:t>1.00</w:t>
            </w:r>
          </w:p>
        </w:tc>
        <w:tc>
          <w:tcPr>
            <w:tcW w:w="1105"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5" w:hRule="atLeast"/>
          <w:jc w:val="center"/>
        </w:trPr>
        <w:tc>
          <w:tcPr>
            <w:tcW w:w="4204" w:type="dxa"/>
            <w:gridSpan w:val="5"/>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渣土防护率：（采取措施实际挡护的永久弃渣、临时堆土数量）/总弃渣量×100％</w:t>
            </w:r>
          </w:p>
        </w:tc>
        <w:tc>
          <w:tcPr>
            <w:tcW w:w="1856" w:type="dxa"/>
            <w:gridSpan w:val="2"/>
            <w:shd w:val="clear" w:color="auto" w:fill="auto"/>
            <w:vAlign w:val="center"/>
          </w:tcPr>
          <w:p>
            <w:pPr>
              <w:widowControl/>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color w:val="auto"/>
                <w:spacing w:val="-2"/>
                <w:kern w:val="0"/>
                <w:sz w:val="21"/>
                <w:szCs w:val="21"/>
                <w:highlight w:val="none"/>
                <w:lang w:val="en-US" w:eastAsia="zh-CN"/>
              </w:rPr>
              <w:t>4.918/4.968</w:t>
            </w:r>
            <w:r>
              <w:rPr>
                <w:rFonts w:hint="default" w:ascii="Times New Roman" w:hAnsi="Times New Roman" w:eastAsia="仿宋_GB2312" w:cs="Times New Roman"/>
                <w:color w:val="auto"/>
                <w:spacing w:val="-2"/>
                <w:kern w:val="0"/>
                <w:sz w:val="21"/>
                <w:szCs w:val="21"/>
                <w:highlight w:val="none"/>
              </w:rPr>
              <w:t>×100%</w:t>
            </w:r>
          </w:p>
        </w:tc>
        <w:tc>
          <w:tcPr>
            <w:tcW w:w="940" w:type="dxa"/>
            <w:shd w:val="clear" w:color="auto" w:fill="auto"/>
            <w:vAlign w:val="center"/>
          </w:tcPr>
          <w:p>
            <w:pPr>
              <w:widowControl/>
              <w:ind w:firstLine="0" w:firstLineChars="0"/>
              <w:jc w:val="center"/>
              <w:textAlignment w:val="center"/>
              <w:rPr>
                <w:rFonts w:hint="default" w:ascii="Times New Roman" w:hAnsi="Times New Roman" w:eastAsia="仿宋_GB2312" w:cs="Times New Roman"/>
                <w:color w:val="auto"/>
                <w:spacing w:val="-2"/>
                <w:kern w:val="0"/>
                <w:sz w:val="21"/>
                <w:szCs w:val="21"/>
                <w:highlight w:val="none"/>
              </w:rPr>
            </w:pPr>
            <w:r>
              <w:rPr>
                <w:rFonts w:hint="default" w:ascii="Times New Roman" w:hAnsi="Times New Roman" w:eastAsia="仿宋_GB2312" w:cs="Times New Roman"/>
                <w:color w:val="auto"/>
                <w:spacing w:val="-2"/>
                <w:kern w:val="0"/>
                <w:sz w:val="21"/>
                <w:szCs w:val="21"/>
                <w:highlight w:val="none"/>
              </w:rPr>
              <w:t>87</w:t>
            </w:r>
          </w:p>
        </w:tc>
        <w:tc>
          <w:tcPr>
            <w:tcW w:w="955" w:type="dxa"/>
            <w:shd w:val="clear" w:color="auto" w:fill="auto"/>
            <w:vAlign w:val="center"/>
          </w:tcPr>
          <w:p>
            <w:pPr>
              <w:widowControl/>
              <w:ind w:firstLine="0" w:firstLineChars="0"/>
              <w:jc w:val="center"/>
              <w:textAlignment w:val="center"/>
              <w:rPr>
                <w:rFonts w:hint="default" w:ascii="Times New Roman" w:hAnsi="Times New Roman" w:eastAsia="仿宋_GB2312" w:cs="Times New Roman"/>
                <w:color w:val="auto"/>
                <w:spacing w:val="-2"/>
                <w:kern w:val="0"/>
                <w:sz w:val="21"/>
                <w:szCs w:val="21"/>
                <w:highlight w:val="none"/>
                <w:lang w:val="en-US" w:eastAsia="zh-CN"/>
              </w:rPr>
            </w:pPr>
            <w:r>
              <w:rPr>
                <w:rFonts w:hint="default" w:ascii="Times New Roman" w:hAnsi="Times New Roman" w:eastAsia="仿宋_GB2312" w:cs="Times New Roman"/>
                <w:color w:val="auto"/>
                <w:spacing w:val="-2"/>
                <w:kern w:val="0"/>
                <w:sz w:val="21"/>
                <w:szCs w:val="21"/>
                <w:highlight w:val="none"/>
              </w:rPr>
              <w:t>99.</w:t>
            </w:r>
            <w:r>
              <w:rPr>
                <w:rFonts w:hint="eastAsia" w:eastAsia="仿宋_GB2312" w:cs="Times New Roman"/>
                <w:color w:val="auto"/>
                <w:spacing w:val="-2"/>
                <w:kern w:val="0"/>
                <w:sz w:val="21"/>
                <w:szCs w:val="21"/>
                <w:highlight w:val="none"/>
                <w:lang w:val="en-US" w:eastAsia="zh-CN"/>
              </w:rPr>
              <w:t>0</w:t>
            </w:r>
          </w:p>
        </w:tc>
        <w:tc>
          <w:tcPr>
            <w:tcW w:w="1105"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5" w:hRule="atLeast"/>
          <w:jc w:val="center"/>
        </w:trPr>
        <w:tc>
          <w:tcPr>
            <w:tcW w:w="4204" w:type="dxa"/>
            <w:gridSpan w:val="5"/>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表土保护率：保护的表土数量/可剥离表土总量×100％</w:t>
            </w:r>
          </w:p>
        </w:tc>
        <w:tc>
          <w:tcPr>
            <w:tcW w:w="1856" w:type="dxa"/>
            <w:gridSpan w:val="2"/>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940"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955"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105"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5" w:hRule="atLeast"/>
          <w:jc w:val="center"/>
        </w:trPr>
        <w:tc>
          <w:tcPr>
            <w:tcW w:w="4204" w:type="dxa"/>
            <w:gridSpan w:val="5"/>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林草植被恢复率：（林草类植被面积/可绿化面积）×100％</w:t>
            </w:r>
          </w:p>
        </w:tc>
        <w:tc>
          <w:tcPr>
            <w:tcW w:w="1856" w:type="dxa"/>
            <w:gridSpan w:val="2"/>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940"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955"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105"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0" w:hRule="atLeast"/>
          <w:jc w:val="center"/>
        </w:trPr>
        <w:tc>
          <w:tcPr>
            <w:tcW w:w="4204" w:type="dxa"/>
            <w:gridSpan w:val="5"/>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林草植被覆盖率：（林草类植被面积/项目建设区总面积）×100％</w:t>
            </w:r>
          </w:p>
        </w:tc>
        <w:tc>
          <w:tcPr>
            <w:tcW w:w="1856" w:type="dxa"/>
            <w:gridSpan w:val="2"/>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940"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955"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105" w:type="dxa"/>
            <w:shd w:val="clear" w:color="auto" w:fill="auto"/>
            <w:vAlign w:val="center"/>
          </w:tcPr>
          <w:p>
            <w:pPr>
              <w:pStyle w:val="8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不做要求</w:t>
            </w:r>
          </w:p>
        </w:tc>
      </w:tr>
    </w:tbl>
    <w:p>
      <w:pPr>
        <w:pStyle w:val="69"/>
        <w:rPr>
          <w:rFonts w:hint="default" w:ascii="Times New Roman" w:hAnsi="Times New Roman" w:cs="Times New Roman"/>
          <w:color w:val="auto"/>
          <w:highlight w:val="none"/>
        </w:rPr>
      </w:pPr>
      <w:r>
        <w:rPr>
          <w:rFonts w:hint="default" w:ascii="Times New Roman" w:hAnsi="Times New Roman" w:cs="Times New Roman"/>
          <w:color w:val="auto"/>
          <w:highlight w:val="none"/>
        </w:rPr>
        <w:t>7.2.4 综合效益分析</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本水土保持方案对水土保持综合治理措施的计算与评价的方法是：在实地调查的基础上采用中华人民共和国国家标准《《生产建设项目水土保持技术标准》(GB50433-2018)进行分析计算。</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（1）水土保持效益</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通过主体设计的水土保持措施及方案新增水土保持措得到落实后，工程建设区内水土流失可以得到基本治理，其中水土流失治理度达到99.</w:t>
      </w:r>
      <w:r>
        <w:rPr>
          <w:rFonts w:hint="eastAsia" w:cs="Times New Roman"/>
          <w:color w:val="auto"/>
          <w:highlight w:val="none"/>
          <w:lang w:val="en-US" w:eastAsia="zh-CN"/>
        </w:rPr>
        <w:t>0</w:t>
      </w:r>
      <w:r>
        <w:rPr>
          <w:rFonts w:hint="default" w:ascii="Times New Roman" w:hAnsi="Times New Roman" w:cs="Times New Roman"/>
          <w:color w:val="auto"/>
          <w:highlight w:val="none"/>
        </w:rPr>
        <w:t>%，土壤流失控制比达到1.0，渣土防护率达到99.</w:t>
      </w:r>
      <w:r>
        <w:rPr>
          <w:rFonts w:hint="eastAsia" w:cs="Times New Roman"/>
          <w:color w:val="auto"/>
          <w:highlight w:val="none"/>
          <w:lang w:val="en-US" w:eastAsia="zh-CN"/>
        </w:rPr>
        <w:t>0</w:t>
      </w:r>
      <w:r>
        <w:rPr>
          <w:rFonts w:hint="default" w:ascii="Times New Roman" w:hAnsi="Times New Roman" w:cs="Times New Roman"/>
          <w:color w:val="auto"/>
          <w:highlight w:val="none"/>
        </w:rPr>
        <w:t>%。除表土保护率、林草植被恢复率和林草覆盖率不做要求外，其余各项指标均达到目标值。项目建设造成的新增水土流失得到有效控制，水土流失得到治理。</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（2）生态效益</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经预测分析表明，水土保持措施实施后，防治责任范围内易发生水土流失的区域得到治理，原有水土流失程度得到有效控制，因工程建设而产生的扰动及裸露地表也将得到有效防护，减轻因工程建设等人为活动对周边环境的影响。</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（3）社会效益</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随着本项目水土保持措施的全方位实施，不仅使项目区内的水土流失得到有效控制，项目区生态环境得到改善，而且有利于促进土地利用结构调整。本项目绿化的实施可改善场区环境，项目建设有利于促进区域经济发展。</w:t>
      </w:r>
    </w:p>
    <w:p>
      <w:pPr>
        <w:pStyle w:val="56"/>
        <w:ind w:firstLine="480"/>
        <w:rPr>
          <w:rFonts w:hint="default" w:ascii="Times New Roman" w:hAnsi="Times New Roman" w:cs="Times New Roman"/>
          <w:bCs/>
          <w:color w:val="auto"/>
          <w:highlight w:val="none"/>
        </w:rPr>
        <w:sectPr>
          <w:headerReference r:id="rId24"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p>
      <w:pPr>
        <w:pStyle w:val="65"/>
        <w:rPr>
          <w:rFonts w:hint="default" w:ascii="Times New Roman" w:hAnsi="Times New Roman" w:cs="Times New Roman"/>
          <w:color w:val="auto"/>
          <w:highlight w:val="none"/>
        </w:rPr>
      </w:pPr>
      <w:bookmarkStart w:id="167" w:name="_Toc20797"/>
      <w:r>
        <w:rPr>
          <w:rFonts w:hint="default" w:ascii="Times New Roman" w:hAnsi="Times New Roman" w:cs="Times New Roman"/>
          <w:color w:val="auto"/>
          <w:highlight w:val="none"/>
        </w:rPr>
        <w:t>8 水土保持管理</w:t>
      </w:r>
      <w:bookmarkEnd w:id="167"/>
    </w:p>
    <w:p>
      <w:pPr>
        <w:pStyle w:val="66"/>
        <w:ind w:firstLine="148"/>
        <w:rPr>
          <w:rFonts w:hint="default" w:ascii="Times New Roman" w:hAnsi="Times New Roman" w:cs="Times New Roman"/>
          <w:color w:val="auto"/>
          <w:highlight w:val="none"/>
        </w:rPr>
      </w:pPr>
      <w:bookmarkStart w:id="168" w:name="_Toc30732"/>
      <w:r>
        <w:rPr>
          <w:rFonts w:hint="default" w:ascii="Times New Roman" w:hAnsi="Times New Roman" w:cs="Times New Roman"/>
          <w:color w:val="auto"/>
          <w:highlight w:val="none"/>
        </w:rPr>
        <w:t>8.1 组织管理</w:t>
      </w:r>
      <w:bookmarkEnd w:id="168"/>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了保证该工程水土保持方案提出的各项水土保持措施的实施和落实，本方案采取建设单位治理的方式。建设单位应当建立健全水土保持组织领导体系，成立以主要领导为组长的水土保持领导小组，负责水土保持工作组织领导和协调，积极配合各级水行政主管部门对水土保持工作的监督检查和管理。建立健全水土保持管理的规章制度、建立水土保持工程档案，工程开工时应向水行政主管部门备案。同时，必须明确水土保持工作的日常管理部门，以便于相关工作的协调和沟通。</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应当制定详细的、可操作的水土保持管理制度和奖惩办法，认真落实和组织实施水土保持方案，加强对施工单位的管理约束；认真组织学习和宣传水土保持有关法律法规，提高管理者和建设者的水土保持意识；经常深入现场组织监督和检查，发现问题及时处理。</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方案实施过程中，建设单位应当积极主动地与水行政主管部门加强合作，自觉接受水行政主管部门的监督管理，并认真落实监督检查的意见和建议，定期向当地水行政主管部门报告水土保持工作进展情况，包括方案落实计划、进度安排、资金落实、监理监测开展情况等。</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建设单位对水行政主管部门监督检查中发现的问题应及时处理。工程措施施工时，应对施工质量实施检查，对不符合设计要求的工程，责令其重建，直到满足要求为止。</w:t>
      </w:r>
    </w:p>
    <w:p>
      <w:pPr>
        <w:pStyle w:val="66"/>
        <w:ind w:firstLine="148"/>
        <w:rPr>
          <w:rFonts w:hint="default" w:ascii="Times New Roman" w:hAnsi="Times New Roman" w:cs="Times New Roman"/>
          <w:color w:val="auto"/>
          <w:highlight w:val="none"/>
        </w:rPr>
      </w:pPr>
      <w:bookmarkStart w:id="169" w:name="_Toc6827"/>
      <w:r>
        <w:rPr>
          <w:rFonts w:hint="default" w:ascii="Times New Roman" w:hAnsi="Times New Roman" w:cs="Times New Roman"/>
          <w:color w:val="auto"/>
          <w:highlight w:val="none"/>
        </w:rPr>
        <w:t>8.2 后续设计</w:t>
      </w:r>
      <w:bookmarkEnd w:id="169"/>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本项目计划20</w:t>
      </w:r>
      <w:r>
        <w:rPr>
          <w:rFonts w:hint="eastAsia" w:cs="Times New Roman"/>
          <w:color w:val="auto"/>
          <w:highlight w:val="none"/>
          <w:lang w:val="en-US" w:eastAsia="zh-CN"/>
        </w:rPr>
        <w:t>12</w:t>
      </w:r>
      <w:r>
        <w:rPr>
          <w:rFonts w:hint="default" w:ascii="Times New Roman" w:hAnsi="Times New Roman" w:cs="Times New Roman"/>
          <w:color w:val="auto"/>
          <w:highlight w:val="none"/>
        </w:rPr>
        <w:t>年</w:t>
      </w:r>
      <w:r>
        <w:rPr>
          <w:rFonts w:hint="eastAsia" w:cs="Times New Roman"/>
          <w:color w:val="auto"/>
          <w:highlight w:val="none"/>
          <w:lang w:val="en-US" w:eastAsia="zh-CN"/>
        </w:rPr>
        <w:t>12</w:t>
      </w:r>
      <w:r>
        <w:rPr>
          <w:rFonts w:hint="default" w:ascii="Times New Roman" w:hAnsi="Times New Roman" w:cs="Times New Roman"/>
          <w:color w:val="auto"/>
          <w:highlight w:val="none"/>
        </w:rPr>
        <w:t>月1日开工建设，于20</w:t>
      </w:r>
      <w:r>
        <w:rPr>
          <w:rFonts w:hint="eastAsia" w:cs="Times New Roman"/>
          <w:color w:val="auto"/>
          <w:highlight w:val="none"/>
          <w:lang w:val="en-US" w:eastAsia="zh-CN"/>
        </w:rPr>
        <w:t>13</w:t>
      </w:r>
      <w:r>
        <w:rPr>
          <w:rFonts w:hint="default" w:ascii="Times New Roman" w:hAnsi="Times New Roman" w:cs="Times New Roman"/>
          <w:color w:val="auto"/>
          <w:highlight w:val="none"/>
        </w:rPr>
        <w:t>年12月</w:t>
      </w:r>
      <w:r>
        <w:rPr>
          <w:rFonts w:hint="eastAsia" w:cs="Times New Roman"/>
          <w:color w:val="auto"/>
          <w:highlight w:val="none"/>
          <w:lang w:val="en-US" w:eastAsia="zh-CN"/>
        </w:rPr>
        <w:t>10</w:t>
      </w:r>
      <w:r>
        <w:rPr>
          <w:rFonts w:hint="default" w:ascii="Times New Roman" w:hAnsi="Times New Roman" w:cs="Times New Roman"/>
          <w:color w:val="auto"/>
          <w:highlight w:val="none"/>
        </w:rPr>
        <w:t>日建设完成，水土保持方案经水行政主管部门批复后，建设单位应委托设计单位做好后续设计工作，在施工图设计中应有专门的水土保持章节，并与水土保持方案相衔接，对设计变更实施严格的管理审批制度，在制定本工程的施工技术要求和操作规范时，应有专门的水土保持内容。</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方案经批准后，在项目建设过程中，若出现因主体工程施工布置、施工工艺以及施工占地面积等变化而导致水土保持措施数量、类型等发生较大变化的情况，建设单位需进行该项目水土保持设施变更报告书，并上报原水土保持方案报告书审批机关进行审查。</w:t>
      </w:r>
    </w:p>
    <w:p>
      <w:pPr>
        <w:pStyle w:val="66"/>
        <w:ind w:firstLine="148"/>
        <w:rPr>
          <w:rFonts w:hint="default" w:ascii="Times New Roman" w:hAnsi="Times New Roman" w:cs="Times New Roman"/>
          <w:color w:val="auto"/>
          <w:highlight w:val="none"/>
        </w:rPr>
      </w:pPr>
      <w:bookmarkStart w:id="170" w:name="_Toc31644"/>
      <w:r>
        <w:rPr>
          <w:rFonts w:hint="default" w:ascii="Times New Roman" w:hAnsi="Times New Roman" w:cs="Times New Roman"/>
          <w:color w:val="auto"/>
          <w:highlight w:val="none"/>
        </w:rPr>
        <w:t>8.3 水土保持监测</w:t>
      </w:r>
      <w:bookmarkEnd w:id="170"/>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根据《生产建设项目水土保持技术标准》（GB 50433-2018）、《生产建设项目水土保持监测与评价标准》（GB/T 1240-2018）的要求，建设单位应严格开展本项目水土保持监测工作，监测单位主要通过对项目区原地貌水土流失状况进行调查监测，对项目建设过程中已经实施的水土保持措施量进行调查统计、对已实施水土保持措施效果进行调查监测；对工程后续建设过程中的水土保持措施落实及项目建设造成的水土流失情况等水土保持监测技术规范要求进行监测，监测成果定期向建设单位和水行政主管部门汇报，在水土保持设施竣工验收时提交水土保持监测总结报告，为水土保持设施专项验收提供依据。</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水保[2019]160号文相关规定，编制水土保持方案报告书的项目，应当依法开展水土保持监测工作。实行水土保持监测“绿黄红”三色评价，水土保持监测单位根据监测情况，在监测季报和总结报告等监测成果中提出“绿黄红”三色评价结论。监测成果应当公开，生产建设单位应当在工程建设期间将水土保持监测季报在其官方网站公开，同时在业主项目部和施工项目部公开。水行政主管部门要将监测评价结论为“红”色的项目，纳入重点监管对象。</w:t>
      </w:r>
    </w:p>
    <w:p>
      <w:pPr>
        <w:pStyle w:val="66"/>
        <w:ind w:firstLine="148"/>
        <w:rPr>
          <w:rFonts w:hint="default" w:ascii="Times New Roman" w:hAnsi="Times New Roman" w:cs="Times New Roman"/>
          <w:color w:val="auto"/>
          <w:highlight w:val="none"/>
        </w:rPr>
      </w:pPr>
      <w:bookmarkStart w:id="171" w:name="_Toc5257"/>
      <w:r>
        <w:rPr>
          <w:rFonts w:hint="default" w:ascii="Times New Roman" w:hAnsi="Times New Roman" w:cs="Times New Roman"/>
          <w:color w:val="auto"/>
          <w:highlight w:val="none"/>
        </w:rPr>
        <w:t>8.4 水土保持监理</w:t>
      </w:r>
      <w:bookmarkEnd w:id="171"/>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水保〔2019〕160号《水利部关于进一步深化“放管服”改革全面加强水土保持监管的意见》的要求，凡主体工程开展监理工作的项目，应当按照水土保持监理标准和规范开展水土保持工程施工监理。本项目征占地面积为</w:t>
      </w:r>
      <w:r>
        <w:rPr>
          <w:rFonts w:hint="default" w:ascii="Times New Roman" w:hAnsi="Times New Roman" w:cs="Times New Roman"/>
          <w:color w:val="auto"/>
          <w:highlight w:val="none"/>
          <w:lang w:val="en-US" w:eastAsia="zh-CN"/>
        </w:rPr>
        <w:t>47.80</w:t>
      </w:r>
      <w:r>
        <w:rPr>
          <w:rFonts w:hint="default" w:ascii="Times New Roman" w:hAnsi="Times New Roman" w:cs="Times New Roman"/>
          <w:color w:val="auto"/>
          <w:highlight w:val="none"/>
        </w:rPr>
        <w:t>hm²，在监理实施过程中应当配备具有水土保持专业监理资格的工程师监理任务。</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监理任务主要包括：</w:t>
      </w:r>
    </w:p>
    <w:p>
      <w:pPr>
        <w:pStyle w:val="56"/>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①</w:t>
      </w:r>
      <w:r>
        <w:rPr>
          <w:rFonts w:hint="default" w:ascii="Times New Roman" w:hAnsi="Times New Roman" w:cs="Times New Roman"/>
          <w:color w:val="auto"/>
          <w:highlight w:val="none"/>
        </w:rPr>
        <w:t>根据有关法律、法规及工程承包合同中的水土保持要求，对施工单位的水土保持工作采取检查、旁站和指令文件等监理方式进行现场监督检查，监理工程建设的各项施工活动的水土保持措施是否与工程建设同步实施，通过质量控制、进度控制和投资控制，保证水土保持设施的如期建设和功能的正常发挥，结合现场巡查，提出要求限期完成的有关水土保持工作。</w:t>
      </w:r>
    </w:p>
    <w:p>
      <w:pPr>
        <w:pStyle w:val="56"/>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②</w:t>
      </w:r>
      <w:r>
        <w:rPr>
          <w:rFonts w:hint="default" w:ascii="Times New Roman" w:hAnsi="Times New Roman" w:cs="Times New Roman"/>
          <w:color w:val="auto"/>
          <w:highlight w:val="none"/>
        </w:rPr>
        <w:t>在施工的各个阶段随时进行质量监督，提交监理日志、监理月报，及时向建设单位汇报施工中出现的问题。</w:t>
      </w:r>
    </w:p>
    <w:p>
      <w:pPr>
        <w:pStyle w:val="56"/>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③</w:t>
      </w:r>
      <w:r>
        <w:rPr>
          <w:rFonts w:hint="default" w:ascii="Times New Roman" w:hAnsi="Times New Roman" w:cs="Times New Roman"/>
          <w:color w:val="auto"/>
          <w:highlight w:val="none"/>
        </w:rPr>
        <w:t>对施工单位的水土保持月报、年报进行审查，提出审查、修改意见。</w:t>
      </w:r>
    </w:p>
    <w:p>
      <w:pPr>
        <w:pStyle w:val="56"/>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④</w:t>
      </w:r>
      <w:r>
        <w:rPr>
          <w:rFonts w:hint="default" w:ascii="Times New Roman" w:hAnsi="Times New Roman" w:cs="Times New Roman"/>
          <w:color w:val="auto"/>
          <w:highlight w:val="none"/>
        </w:rPr>
        <w:t>依据有关法律、法规及工程承包合同、协助处理各种水土保持纠纷。</w:t>
      </w:r>
    </w:p>
    <w:p>
      <w:pPr>
        <w:pStyle w:val="56"/>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⑤</w:t>
      </w:r>
      <w:r>
        <w:rPr>
          <w:rFonts w:hint="default" w:ascii="Times New Roman" w:hAnsi="Times New Roman" w:cs="Times New Roman"/>
          <w:color w:val="auto"/>
          <w:highlight w:val="none"/>
        </w:rPr>
        <w:t>编制水土保持监理工作报告(季报、年报)，作为开发建设项目水土保持设施验收的基础和水土保持验收报告的专项报告；工作报告主要对水土保持监理工作进行总结，提出存在的重大水土保持问题和解决问题的方法，以及水土保持监理工作计划安排和工作重点；定期归档监理成果。</w:t>
      </w:r>
    </w:p>
    <w:p>
      <w:pPr>
        <w:pStyle w:val="66"/>
        <w:ind w:firstLine="148"/>
        <w:rPr>
          <w:rFonts w:hint="default" w:ascii="Times New Roman" w:hAnsi="Times New Roman" w:cs="Times New Roman"/>
          <w:color w:val="auto"/>
          <w:highlight w:val="none"/>
        </w:rPr>
      </w:pPr>
      <w:bookmarkStart w:id="172" w:name="_Toc5106"/>
      <w:r>
        <w:rPr>
          <w:rFonts w:hint="default" w:ascii="Times New Roman" w:hAnsi="Times New Roman" w:cs="Times New Roman"/>
          <w:color w:val="auto"/>
          <w:highlight w:val="none"/>
        </w:rPr>
        <w:t>8.5 水土保持施工</w:t>
      </w:r>
      <w:bookmarkEnd w:id="172"/>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（1）招标管理：水土保持方案在实施过程中应实行项目管理制、工程招投标制和工程监理制，以保证水土保持方案的顺利实施，并达到预期目标。</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（2）工程开工建设时应向各级水行政主管部门备案，在招标文件中明确建设单位在施工招标条款中应对水土保持监测设施提出保护的要求，以保证防护效果。</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在主体工程施工中，中标的施工单位必须按照水土保持方案设计实施水土保持措施，以保证水土保持效益的充分发挥。施工单位在实施本方案时，如确需对设计内容进行变更，应会同设计单位按有关规定向本方案批复单位实施报批程序。</w:t>
      </w:r>
    </w:p>
    <w:p>
      <w:pPr>
        <w:pStyle w:val="66"/>
        <w:ind w:firstLine="148"/>
        <w:rPr>
          <w:rFonts w:hint="default" w:ascii="Times New Roman" w:hAnsi="Times New Roman" w:cs="Times New Roman"/>
          <w:color w:val="auto"/>
          <w:highlight w:val="none"/>
        </w:rPr>
      </w:pPr>
      <w:bookmarkStart w:id="173" w:name="_Toc32477"/>
      <w:r>
        <w:rPr>
          <w:rFonts w:hint="default" w:ascii="Times New Roman" w:hAnsi="Times New Roman" w:cs="Times New Roman"/>
          <w:color w:val="auto"/>
          <w:highlight w:val="none"/>
        </w:rPr>
        <w:t>8.6 水土保持设施验收</w:t>
      </w:r>
      <w:bookmarkEnd w:id="173"/>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水利部关于加强事中事后监管规范生产建设项目水土保持设施自主验收的通知》（水保[2017]365号）、水利部关于进一步深化“放管服”改革，全面加强水土保持监管的意见（水保〔2019〕160号）、新疆维吾尔自治区水利厅文件转发水利部关于进一步深化“放管服”改革，全面加强水土保持监管意见的通知（新水水保〔2019〕29号）以及水利部办公厅关于印发生产建设项目水土保持监督管理办法的通知（办水保〔2019〕172号）的有关规定，本工程投产使用前，建设单位应当按照上述文件规定要求，组织水土保持设施验收工作。</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主体工程投入运行前建设单位对项目水土保持工程自查验收，在建设单位自查验收合格的基础上，根据水土保持方案及其审批决定等，组织第三方机构编制水土保持设施验收报告，并按照水土保持法律法规、标准规范、水土保持方案及其审批决定、水土保持后续设计等，组织水土保持设施验收工作，形成水土保持设施验收鉴定书，明确水土保持设施验收合格的结论。</w:t>
      </w:r>
    </w:p>
    <w:p>
      <w:pPr>
        <w:pStyle w:val="5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应当在水土保持设施验收合格后，通过其官方网站或者其他便于公众熟知的方式向社会公开水土保持设施验收材料，验收材料包括水土保持设施验收鉴定书、水土保持设施验收报告和水土保持监测总结报告，公示时间不少于20个工作日。对于公众反映的主要问题和意见，建设单位应当及时给予处理或者回应。建设单位应当在水土保持设施验收通过3个月内，向审批水土保持方案的水行政主管部门或者水土保持方案审批机关的同级水行政主管部门报备水土保持设施验收材料。</w:t>
      </w:r>
    </w:p>
    <w:p>
      <w:pPr>
        <w:pStyle w:val="56"/>
        <w:ind w:firstLine="480"/>
        <w:rPr>
          <w:rFonts w:hint="default" w:ascii="Times New Roman" w:hAnsi="Times New Roman" w:cs="Times New Roman"/>
          <w:color w:val="auto"/>
          <w:highlight w:val="none"/>
        </w:rPr>
      </w:pPr>
    </w:p>
    <w:p>
      <w:pPr>
        <w:pStyle w:val="56"/>
        <w:ind w:firstLine="480"/>
        <w:rPr>
          <w:rFonts w:hint="default" w:ascii="Times New Roman" w:hAnsi="Times New Roman" w:cs="Times New Roman"/>
          <w:color w:val="auto"/>
          <w:highlight w:val="none"/>
        </w:rPr>
      </w:pPr>
    </w:p>
    <w:p/>
    <w:p/>
    <w:p/>
    <w:p/>
    <w:p/>
    <w:p/>
    <w:p/>
    <w:p/>
    <w:p/>
    <w:p/>
    <w:p/>
    <w:p/>
    <w:p/>
    <w:sectPr>
      <w:headerReference r:id="rId25"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PC" w:date="2020-08-02T18:12:00Z" w:initials="P">
    <w:p w14:paraId="6515480C">
      <w:pPr>
        <w:pStyle w:val="12"/>
        <w:ind w:firstLine="420"/>
      </w:pPr>
    </w:p>
  </w:comment>
  <w:comment w:id="1" w:author="PC" w:date="2020-08-02T18:12:00Z" w:initials="P">
    <w:p w14:paraId="302A2230">
      <w:pPr>
        <w:pStyle w:val="12"/>
        <w:ind w:firstLine="420"/>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515480C" w15:done="0"/>
  <w15:commentEx w15:paraId="302A223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MingLiU">
    <w:panose1 w:val="02020509000000000000"/>
    <w:charset w:val="88"/>
    <w:family w:val="modern"/>
    <w:pitch w:val="default"/>
    <w:sig w:usb0="A00002FF" w:usb1="28CFFCFA" w:usb2="00000016" w:usb3="00000000" w:csb0="00100001" w:csb1="00000000"/>
  </w:font>
  <w:font w:name="TimesNewRomanPSMT">
    <w:altName w:val="Times New Roman"/>
    <w:panose1 w:val="00000000000000000000"/>
    <w:charset w:val="00"/>
    <w:family w:val="roma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新宋体">
    <w:panose1 w:val="02010609030101010101"/>
    <w:charset w:val="86"/>
    <w:family w:val="auto"/>
    <w:pitch w:val="default"/>
    <w:sig w:usb0="00000003" w:usb1="288F0000" w:usb2="00000006" w:usb3="00000000" w:csb0="00040001" w:csb1="00000000"/>
  </w:font>
  <w:font w:name="MS Mincho">
    <w:panose1 w:val="02020609040205080304"/>
    <w:charset w:val="80"/>
    <w:family w:val="modern"/>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647"/>
      </w:tabs>
      <w:ind w:firstLine="420"/>
      <w:jc w:val="cente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jc w:val="center"/>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rPr>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top w:val="single" w:color="auto" w:sz="4" w:space="1"/>
      </w:pBdr>
      <w:spacing w:line="480" w:lineRule="auto"/>
      <w:ind w:firstLine="0" w:firstLineChars="0"/>
      <w:rPr>
        <w:rFonts w:ascii="仿宋_GB2312" w:eastAsia="仿宋_GB2312"/>
      </w:rPr>
    </w:pPr>
    <w:r>
      <w:rPr>
        <w:rFonts w:hint="eastAsia" w:ascii="仿宋_GB2312" w:eastAsia="仿宋_GB2312"/>
      </w:rPr>
      <w:t>新疆万汇工程项目管理有限公司</w:t>
    </w:r>
    <w:r>
      <w:rPr>
        <w:rFonts w:ascii="仿宋_GB2312" w:eastAsia="仿宋_GB2312"/>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pacing w:line="240" w:lineRule="auto"/>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88</w:t>
                          </w:r>
                          <w:r>
                            <w:rPr>
                              <w:rFonts w:hint="eastAsia"/>
                              <w:sz w:val="18"/>
                            </w:rPr>
                            <w:fldChar w:fldCharType="end"/>
                          </w:r>
                        </w:p>
                      </w:txbxContent>
                    </wps:txbx>
                    <wps:bodyPr wrap="none" lIns="0" tIns="0" rIns="0" bIns="0" upright="1">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44j8tyQEAAJoDAAAOAAAAAAAAAAEAIAAAAB4BAABkcnMvZTJvRG9j&#10;LnhtbFBLBQYAAAAABgAGAFkBAABZBQAAAAA=&#10;">
              <v:fill on="f" focussize="0,0"/>
              <v:stroke on="f"/>
              <v:imagedata o:title=""/>
              <o:lock v:ext="edit" aspectratio="f"/>
              <v:textbox inset="0mm,0mm,0mm,0mm" style="mso-fit-shape-to-text:t;">
                <w:txbxContent>
                  <w:p>
                    <w:pPr>
                      <w:spacing w:line="240" w:lineRule="auto"/>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hAnsi="宋体" w:eastAsia="仿宋_GB2312"/>
        <w:sz w:val="21"/>
        <w:szCs w:val="21"/>
      </w:rPr>
    </w:pPr>
    <w:r>
      <w:rPr>
        <w:rFonts w:hint="eastAsia"/>
      </w:rPr>
      <w:t xml:space="preserve">4 </w:t>
    </w:r>
    <w:r>
      <w:rPr>
        <w:rFonts w:hint="eastAsia" w:ascii="仿宋_GB2312" w:eastAsia="仿宋_GB2312"/>
      </w:rPr>
      <w:t>水土流失分析与预测</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hAnsi="宋体" w:eastAsia="仿宋_GB2312"/>
        <w:sz w:val="21"/>
        <w:szCs w:val="21"/>
      </w:rPr>
    </w:pPr>
    <w:r>
      <w:rPr>
        <w:rFonts w:hint="eastAsia"/>
      </w:rPr>
      <w:t xml:space="preserve">5 </w:t>
    </w:r>
    <w:r>
      <w:rPr>
        <w:rFonts w:hint="eastAsia" w:ascii="仿宋_GB2312" w:eastAsia="仿宋_GB2312"/>
      </w:rPr>
      <w:t>水土保持措施</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hAnsi="宋体" w:eastAsia="仿宋_GB2312"/>
        <w:sz w:val="21"/>
        <w:szCs w:val="21"/>
      </w:rPr>
    </w:pPr>
    <w:r>
      <w:rPr>
        <w:rFonts w:hint="eastAsia"/>
      </w:rPr>
      <w:t xml:space="preserve">6 </w:t>
    </w:r>
    <w:r>
      <w:rPr>
        <w:rFonts w:hint="eastAsia" w:ascii="仿宋_GB2312" w:eastAsia="仿宋_GB2312"/>
      </w:rPr>
      <w:t>水土保持监测</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eastAsia="仿宋_GB2312"/>
      </w:rPr>
    </w:pPr>
    <w:r>
      <w:rPr>
        <w:rFonts w:hint="eastAsia" w:ascii="仿宋_GB2312" w:eastAsia="仿宋_GB2312"/>
      </w:rPr>
      <w:t>7 水土保持投资</w:t>
    </w:r>
    <w:r>
      <w:rPr>
        <w:rFonts w:hint="eastAsia" w:ascii="仿宋_GB2312" w:eastAsia="仿宋_GB2312"/>
        <w:lang w:eastAsia="zh-CN"/>
      </w:rPr>
      <w:t>概算</w:t>
    </w:r>
    <w:r>
      <w:rPr>
        <w:rFonts w:hint="eastAsia" w:ascii="仿宋_GB2312" w:eastAsia="仿宋_GB2312"/>
      </w:rPr>
      <w:t>及效益分析</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eastAsia="仿宋_GB2312"/>
      </w:rPr>
    </w:pPr>
    <w:r>
      <w:rPr>
        <w:rFonts w:hint="eastAsia" w:ascii="仿宋_GB2312" w:eastAsia="仿宋_GB2312"/>
      </w:rPr>
      <w:t>8 水土保持管理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1"/>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hAnsi="宋体" w:eastAsia="仿宋_GB2312"/>
        <w:sz w:val="21"/>
        <w:szCs w:val="21"/>
      </w:rPr>
    </w:pPr>
    <w:r>
      <w:rPr>
        <w:rFonts w:hint="eastAsia" w:ascii="仿宋_GB2312" w:eastAsia="仿宋_GB2312"/>
      </w:rPr>
      <w:t>1 综合说明</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hAnsi="宋体" w:eastAsia="仿宋_GB2312"/>
        <w:sz w:val="21"/>
        <w:szCs w:val="21"/>
      </w:rPr>
    </w:pPr>
    <w:r>
      <w:rPr>
        <w:rFonts w:hint="eastAsia" w:ascii="仿宋_GB2312" w:eastAsia="仿宋_GB2312"/>
      </w:rPr>
      <w:t>2 项目概况</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eastAsia="仿宋_GB2312"/>
      </w:rPr>
    </w:pPr>
    <w:r>
      <w:rPr>
        <w:rFonts w:ascii="仿宋_GB2312" w:eastAsia="仿宋_GB2312"/>
      </w:rPr>
      <w:t>3 项目水土保持评价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3715D1"/>
    <w:multiLevelType w:val="singleLevel"/>
    <w:tmpl w:val="823715D1"/>
    <w:lvl w:ilvl="0" w:tentative="0">
      <w:start w:val="1"/>
      <w:numFmt w:val="decimal"/>
      <w:suff w:val="nothing"/>
      <w:lvlText w:val="%1）"/>
      <w:lvlJc w:val="left"/>
    </w:lvl>
  </w:abstractNum>
  <w:abstractNum w:abstractNumId="1">
    <w:nsid w:val="886A8E5E"/>
    <w:multiLevelType w:val="singleLevel"/>
    <w:tmpl w:val="886A8E5E"/>
    <w:lvl w:ilvl="0" w:tentative="0">
      <w:start w:val="3"/>
      <w:numFmt w:val="decimal"/>
      <w:suff w:val="nothing"/>
      <w:lvlText w:val="（%1）"/>
      <w:lvlJc w:val="left"/>
    </w:lvl>
  </w:abstractNum>
  <w:abstractNum w:abstractNumId="2">
    <w:nsid w:val="D6C217D3"/>
    <w:multiLevelType w:val="singleLevel"/>
    <w:tmpl w:val="D6C217D3"/>
    <w:lvl w:ilvl="0" w:tentative="0">
      <w:start w:val="1"/>
      <w:numFmt w:val="decimal"/>
      <w:suff w:val="nothing"/>
      <w:lvlText w:val="%1）"/>
      <w:lvlJc w:val="left"/>
    </w:lvl>
  </w:abstractNum>
  <w:abstractNum w:abstractNumId="3">
    <w:nsid w:val="DE713C3E"/>
    <w:multiLevelType w:val="singleLevel"/>
    <w:tmpl w:val="DE713C3E"/>
    <w:lvl w:ilvl="0" w:tentative="0">
      <w:start w:val="1"/>
      <w:numFmt w:val="decimal"/>
      <w:suff w:val="nothing"/>
      <w:lvlText w:val="%1）"/>
      <w:lvlJc w:val="left"/>
    </w:lvl>
  </w:abstractNum>
  <w:abstractNum w:abstractNumId="4">
    <w:nsid w:val="14122750"/>
    <w:multiLevelType w:val="multilevel"/>
    <w:tmpl w:val="14122750"/>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14EA0E3B"/>
    <w:multiLevelType w:val="multilevel"/>
    <w:tmpl w:val="14EA0E3B"/>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2D81C174"/>
    <w:multiLevelType w:val="singleLevel"/>
    <w:tmpl w:val="2D81C174"/>
    <w:lvl w:ilvl="0" w:tentative="0">
      <w:start w:val="1"/>
      <w:numFmt w:val="decimal"/>
      <w:suff w:val="nothing"/>
      <w:lvlText w:val="%1）"/>
      <w:lvlJc w:val="left"/>
    </w:lvl>
  </w:abstractNum>
  <w:abstractNum w:abstractNumId="7">
    <w:nsid w:val="2EB9DA5F"/>
    <w:multiLevelType w:val="singleLevel"/>
    <w:tmpl w:val="2EB9DA5F"/>
    <w:lvl w:ilvl="0" w:tentative="0">
      <w:start w:val="1"/>
      <w:numFmt w:val="decimal"/>
      <w:suff w:val="nothing"/>
      <w:lvlText w:val="（%1）"/>
      <w:lvlJc w:val="left"/>
    </w:lvl>
  </w:abstractNum>
  <w:abstractNum w:abstractNumId="8">
    <w:nsid w:val="36F7706D"/>
    <w:multiLevelType w:val="multilevel"/>
    <w:tmpl w:val="36F7706D"/>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3A080DE0"/>
    <w:multiLevelType w:val="multilevel"/>
    <w:tmpl w:val="3A080DE0"/>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4D3AFEE3"/>
    <w:multiLevelType w:val="singleLevel"/>
    <w:tmpl w:val="4D3AFEE3"/>
    <w:lvl w:ilvl="0" w:tentative="0">
      <w:start w:val="1"/>
      <w:numFmt w:val="decimal"/>
      <w:suff w:val="nothing"/>
      <w:lvlText w:val="%1）"/>
      <w:lvlJc w:val="left"/>
    </w:lvl>
  </w:abstractNum>
  <w:abstractNum w:abstractNumId="11">
    <w:nsid w:val="4DE45857"/>
    <w:multiLevelType w:val="multilevel"/>
    <w:tmpl w:val="4DE45857"/>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638B1C81"/>
    <w:multiLevelType w:val="multilevel"/>
    <w:tmpl w:val="638B1C81"/>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C3039C5"/>
    <w:multiLevelType w:val="multilevel"/>
    <w:tmpl w:val="6C3039C5"/>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73496B39"/>
    <w:multiLevelType w:val="singleLevel"/>
    <w:tmpl w:val="73496B39"/>
    <w:lvl w:ilvl="0" w:tentative="0">
      <w:start w:val="1"/>
      <w:numFmt w:val="decimal"/>
      <w:suff w:val="nothing"/>
      <w:lvlText w:val="%1）"/>
      <w:lvlJc w:val="left"/>
    </w:lvl>
  </w:abstractNum>
  <w:abstractNum w:abstractNumId="15">
    <w:nsid w:val="7B92645D"/>
    <w:multiLevelType w:val="multilevel"/>
    <w:tmpl w:val="7B92645D"/>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5"/>
  </w:num>
  <w:num w:numId="3">
    <w:abstractNumId w:val="11"/>
  </w:num>
  <w:num w:numId="4">
    <w:abstractNumId w:val="8"/>
  </w:num>
  <w:num w:numId="5">
    <w:abstractNumId w:val="12"/>
  </w:num>
  <w:num w:numId="6">
    <w:abstractNumId w:val="13"/>
  </w:num>
  <w:num w:numId="7">
    <w:abstractNumId w:val="6"/>
  </w:num>
  <w:num w:numId="8">
    <w:abstractNumId w:val="0"/>
  </w:num>
  <w:num w:numId="9">
    <w:abstractNumId w:val="14"/>
  </w:num>
  <w:num w:numId="10">
    <w:abstractNumId w:val="3"/>
  </w:num>
  <w:num w:numId="11">
    <w:abstractNumId w:val="2"/>
  </w:num>
  <w:num w:numId="12">
    <w:abstractNumId w:val="10"/>
  </w:num>
  <w:num w:numId="13">
    <w:abstractNumId w:val="7"/>
  </w:num>
  <w:num w:numId="14">
    <w:abstractNumId w:val="9"/>
  </w:num>
  <w:num w:numId="15">
    <w:abstractNumId w:val="4"/>
  </w:num>
  <w:num w:numId="16">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CEA"/>
    <w:rsid w:val="0000018F"/>
    <w:rsid w:val="00001940"/>
    <w:rsid w:val="00002A41"/>
    <w:rsid w:val="0000337F"/>
    <w:rsid w:val="000034EB"/>
    <w:rsid w:val="00003F49"/>
    <w:rsid w:val="00005208"/>
    <w:rsid w:val="0000764C"/>
    <w:rsid w:val="00010282"/>
    <w:rsid w:val="00010734"/>
    <w:rsid w:val="00010FF0"/>
    <w:rsid w:val="0001167E"/>
    <w:rsid w:val="00011B6C"/>
    <w:rsid w:val="00011FAC"/>
    <w:rsid w:val="00012E22"/>
    <w:rsid w:val="00013384"/>
    <w:rsid w:val="00013EFE"/>
    <w:rsid w:val="0001431D"/>
    <w:rsid w:val="00015668"/>
    <w:rsid w:val="0001580E"/>
    <w:rsid w:val="00015DB8"/>
    <w:rsid w:val="00015F91"/>
    <w:rsid w:val="00016EED"/>
    <w:rsid w:val="00017C12"/>
    <w:rsid w:val="00017DA7"/>
    <w:rsid w:val="00017EE8"/>
    <w:rsid w:val="000218A5"/>
    <w:rsid w:val="00023426"/>
    <w:rsid w:val="0002356C"/>
    <w:rsid w:val="00023979"/>
    <w:rsid w:val="00023EE7"/>
    <w:rsid w:val="0002436F"/>
    <w:rsid w:val="000255A8"/>
    <w:rsid w:val="00025EB6"/>
    <w:rsid w:val="00026496"/>
    <w:rsid w:val="00027777"/>
    <w:rsid w:val="000301A6"/>
    <w:rsid w:val="000302F5"/>
    <w:rsid w:val="000303A3"/>
    <w:rsid w:val="00030908"/>
    <w:rsid w:val="0003171F"/>
    <w:rsid w:val="00031B95"/>
    <w:rsid w:val="00031EC9"/>
    <w:rsid w:val="00032DF0"/>
    <w:rsid w:val="00032F53"/>
    <w:rsid w:val="00033A87"/>
    <w:rsid w:val="0003596C"/>
    <w:rsid w:val="00035B4A"/>
    <w:rsid w:val="000366BD"/>
    <w:rsid w:val="00036E28"/>
    <w:rsid w:val="000371BF"/>
    <w:rsid w:val="0004072D"/>
    <w:rsid w:val="00040A28"/>
    <w:rsid w:val="00041358"/>
    <w:rsid w:val="0004182F"/>
    <w:rsid w:val="000418C0"/>
    <w:rsid w:val="00041A91"/>
    <w:rsid w:val="00042421"/>
    <w:rsid w:val="000434D9"/>
    <w:rsid w:val="0004422F"/>
    <w:rsid w:val="000457C1"/>
    <w:rsid w:val="00045980"/>
    <w:rsid w:val="00045C2C"/>
    <w:rsid w:val="00046F26"/>
    <w:rsid w:val="00047804"/>
    <w:rsid w:val="00050CEC"/>
    <w:rsid w:val="00052993"/>
    <w:rsid w:val="000532C9"/>
    <w:rsid w:val="00053775"/>
    <w:rsid w:val="000544FE"/>
    <w:rsid w:val="0005533E"/>
    <w:rsid w:val="00055AEB"/>
    <w:rsid w:val="00056D57"/>
    <w:rsid w:val="000573C7"/>
    <w:rsid w:val="00057981"/>
    <w:rsid w:val="00057C95"/>
    <w:rsid w:val="00060635"/>
    <w:rsid w:val="00060B9B"/>
    <w:rsid w:val="00060F63"/>
    <w:rsid w:val="00060F88"/>
    <w:rsid w:val="0006149C"/>
    <w:rsid w:val="00063734"/>
    <w:rsid w:val="00063A61"/>
    <w:rsid w:val="00063FEB"/>
    <w:rsid w:val="00064000"/>
    <w:rsid w:val="00064091"/>
    <w:rsid w:val="00064567"/>
    <w:rsid w:val="00065987"/>
    <w:rsid w:val="00065A11"/>
    <w:rsid w:val="00065E20"/>
    <w:rsid w:val="00066AC6"/>
    <w:rsid w:val="00070A2F"/>
    <w:rsid w:val="00071A89"/>
    <w:rsid w:val="00071CD1"/>
    <w:rsid w:val="0007267F"/>
    <w:rsid w:val="00073501"/>
    <w:rsid w:val="00075B01"/>
    <w:rsid w:val="00075D58"/>
    <w:rsid w:val="00075EA7"/>
    <w:rsid w:val="00076BF6"/>
    <w:rsid w:val="00077072"/>
    <w:rsid w:val="00077EE8"/>
    <w:rsid w:val="00077FE3"/>
    <w:rsid w:val="000806F0"/>
    <w:rsid w:val="00082B9D"/>
    <w:rsid w:val="000834AA"/>
    <w:rsid w:val="00084057"/>
    <w:rsid w:val="0008420C"/>
    <w:rsid w:val="00084967"/>
    <w:rsid w:val="00084F07"/>
    <w:rsid w:val="00084F5A"/>
    <w:rsid w:val="000858DE"/>
    <w:rsid w:val="000862A8"/>
    <w:rsid w:val="00086BBD"/>
    <w:rsid w:val="0008782E"/>
    <w:rsid w:val="00091562"/>
    <w:rsid w:val="0009178D"/>
    <w:rsid w:val="00091EA2"/>
    <w:rsid w:val="00092CBC"/>
    <w:rsid w:val="0009414A"/>
    <w:rsid w:val="00097053"/>
    <w:rsid w:val="00097307"/>
    <w:rsid w:val="00097800"/>
    <w:rsid w:val="00097BA4"/>
    <w:rsid w:val="000A14F1"/>
    <w:rsid w:val="000A1F82"/>
    <w:rsid w:val="000A33AD"/>
    <w:rsid w:val="000A53CC"/>
    <w:rsid w:val="000A58A2"/>
    <w:rsid w:val="000A6234"/>
    <w:rsid w:val="000A6AF8"/>
    <w:rsid w:val="000A6F11"/>
    <w:rsid w:val="000A7626"/>
    <w:rsid w:val="000A7670"/>
    <w:rsid w:val="000A7758"/>
    <w:rsid w:val="000B0628"/>
    <w:rsid w:val="000B0D70"/>
    <w:rsid w:val="000B13F5"/>
    <w:rsid w:val="000B1E57"/>
    <w:rsid w:val="000B448B"/>
    <w:rsid w:val="000B49E1"/>
    <w:rsid w:val="000B4A63"/>
    <w:rsid w:val="000B5631"/>
    <w:rsid w:val="000B615C"/>
    <w:rsid w:val="000B63D9"/>
    <w:rsid w:val="000B672B"/>
    <w:rsid w:val="000B6BC8"/>
    <w:rsid w:val="000B6C64"/>
    <w:rsid w:val="000B7FED"/>
    <w:rsid w:val="000C01CF"/>
    <w:rsid w:val="000C1832"/>
    <w:rsid w:val="000C28C7"/>
    <w:rsid w:val="000C2B04"/>
    <w:rsid w:val="000C3679"/>
    <w:rsid w:val="000C3AFB"/>
    <w:rsid w:val="000C3DF3"/>
    <w:rsid w:val="000C40C1"/>
    <w:rsid w:val="000C4271"/>
    <w:rsid w:val="000C4CC4"/>
    <w:rsid w:val="000C54F6"/>
    <w:rsid w:val="000C588D"/>
    <w:rsid w:val="000C5C43"/>
    <w:rsid w:val="000C6B80"/>
    <w:rsid w:val="000D01C9"/>
    <w:rsid w:val="000D1B2F"/>
    <w:rsid w:val="000D208F"/>
    <w:rsid w:val="000D2161"/>
    <w:rsid w:val="000D2E5F"/>
    <w:rsid w:val="000D3326"/>
    <w:rsid w:val="000D3458"/>
    <w:rsid w:val="000D3CB2"/>
    <w:rsid w:val="000D45E1"/>
    <w:rsid w:val="000D4979"/>
    <w:rsid w:val="000D5391"/>
    <w:rsid w:val="000D64FD"/>
    <w:rsid w:val="000D6A91"/>
    <w:rsid w:val="000D75B2"/>
    <w:rsid w:val="000E0530"/>
    <w:rsid w:val="000E0ECD"/>
    <w:rsid w:val="000E25A6"/>
    <w:rsid w:val="000E4024"/>
    <w:rsid w:val="000E5E4D"/>
    <w:rsid w:val="000F0922"/>
    <w:rsid w:val="000F181C"/>
    <w:rsid w:val="000F1A61"/>
    <w:rsid w:val="000F1D19"/>
    <w:rsid w:val="000F1E23"/>
    <w:rsid w:val="000F2C20"/>
    <w:rsid w:val="000F2D8D"/>
    <w:rsid w:val="000F41B1"/>
    <w:rsid w:val="000F59D4"/>
    <w:rsid w:val="000F6A2E"/>
    <w:rsid w:val="000F6E92"/>
    <w:rsid w:val="000F790F"/>
    <w:rsid w:val="00100800"/>
    <w:rsid w:val="001029F8"/>
    <w:rsid w:val="00102DC8"/>
    <w:rsid w:val="00103CD3"/>
    <w:rsid w:val="00104067"/>
    <w:rsid w:val="0010458F"/>
    <w:rsid w:val="00105076"/>
    <w:rsid w:val="00105EDC"/>
    <w:rsid w:val="001075FB"/>
    <w:rsid w:val="0011001A"/>
    <w:rsid w:val="001111A9"/>
    <w:rsid w:val="00111E39"/>
    <w:rsid w:val="001120BB"/>
    <w:rsid w:val="001125D2"/>
    <w:rsid w:val="00112C33"/>
    <w:rsid w:val="001136F2"/>
    <w:rsid w:val="001139D2"/>
    <w:rsid w:val="001147F3"/>
    <w:rsid w:val="001148CF"/>
    <w:rsid w:val="001163FC"/>
    <w:rsid w:val="001165A4"/>
    <w:rsid w:val="001172C8"/>
    <w:rsid w:val="00120359"/>
    <w:rsid w:val="00120F53"/>
    <w:rsid w:val="00121284"/>
    <w:rsid w:val="00121324"/>
    <w:rsid w:val="00121FDC"/>
    <w:rsid w:val="0012220D"/>
    <w:rsid w:val="00122480"/>
    <w:rsid w:val="001232FE"/>
    <w:rsid w:val="00124207"/>
    <w:rsid w:val="00124F89"/>
    <w:rsid w:val="001258DE"/>
    <w:rsid w:val="001259D3"/>
    <w:rsid w:val="00125B92"/>
    <w:rsid w:val="00125DF0"/>
    <w:rsid w:val="00126F45"/>
    <w:rsid w:val="001273DD"/>
    <w:rsid w:val="001318CC"/>
    <w:rsid w:val="00132396"/>
    <w:rsid w:val="001323DB"/>
    <w:rsid w:val="00133CFE"/>
    <w:rsid w:val="00134178"/>
    <w:rsid w:val="001346CC"/>
    <w:rsid w:val="00134E24"/>
    <w:rsid w:val="001359E8"/>
    <w:rsid w:val="00136B40"/>
    <w:rsid w:val="00136D12"/>
    <w:rsid w:val="0013720C"/>
    <w:rsid w:val="0014158E"/>
    <w:rsid w:val="00141E6A"/>
    <w:rsid w:val="00141E9A"/>
    <w:rsid w:val="00142EBB"/>
    <w:rsid w:val="001433AB"/>
    <w:rsid w:val="00143B30"/>
    <w:rsid w:val="001442D4"/>
    <w:rsid w:val="00144C37"/>
    <w:rsid w:val="00144E53"/>
    <w:rsid w:val="00144F66"/>
    <w:rsid w:val="001454B8"/>
    <w:rsid w:val="00147748"/>
    <w:rsid w:val="0015236F"/>
    <w:rsid w:val="00152714"/>
    <w:rsid w:val="00152B1B"/>
    <w:rsid w:val="0015347E"/>
    <w:rsid w:val="00153CF8"/>
    <w:rsid w:val="0015437C"/>
    <w:rsid w:val="0015481E"/>
    <w:rsid w:val="00154BE5"/>
    <w:rsid w:val="0015511B"/>
    <w:rsid w:val="00155880"/>
    <w:rsid w:val="00155973"/>
    <w:rsid w:val="00157CD7"/>
    <w:rsid w:val="00160D23"/>
    <w:rsid w:val="00160DEB"/>
    <w:rsid w:val="00161287"/>
    <w:rsid w:val="00161E43"/>
    <w:rsid w:val="001630D8"/>
    <w:rsid w:val="0016394F"/>
    <w:rsid w:val="001642EB"/>
    <w:rsid w:val="0016437E"/>
    <w:rsid w:val="001643F4"/>
    <w:rsid w:val="00164FBB"/>
    <w:rsid w:val="001667AD"/>
    <w:rsid w:val="00166FE2"/>
    <w:rsid w:val="001675FB"/>
    <w:rsid w:val="00170951"/>
    <w:rsid w:val="00170985"/>
    <w:rsid w:val="0017117C"/>
    <w:rsid w:val="00171CFD"/>
    <w:rsid w:val="00171DCB"/>
    <w:rsid w:val="00171FC7"/>
    <w:rsid w:val="00172BFA"/>
    <w:rsid w:val="00173692"/>
    <w:rsid w:val="001739C0"/>
    <w:rsid w:val="00174AA9"/>
    <w:rsid w:val="001751D9"/>
    <w:rsid w:val="00175A2D"/>
    <w:rsid w:val="00177CB3"/>
    <w:rsid w:val="00180849"/>
    <w:rsid w:val="001816CF"/>
    <w:rsid w:val="00182AA9"/>
    <w:rsid w:val="00183C9A"/>
    <w:rsid w:val="0018482B"/>
    <w:rsid w:val="00185252"/>
    <w:rsid w:val="00185B00"/>
    <w:rsid w:val="00185C91"/>
    <w:rsid w:val="00186553"/>
    <w:rsid w:val="00187452"/>
    <w:rsid w:val="00187675"/>
    <w:rsid w:val="0019092A"/>
    <w:rsid w:val="00190B6E"/>
    <w:rsid w:val="00190E44"/>
    <w:rsid w:val="0019203F"/>
    <w:rsid w:val="00193083"/>
    <w:rsid w:val="0019532A"/>
    <w:rsid w:val="0019611E"/>
    <w:rsid w:val="00197A51"/>
    <w:rsid w:val="001A04A5"/>
    <w:rsid w:val="001A0ACF"/>
    <w:rsid w:val="001A0C79"/>
    <w:rsid w:val="001A1A8E"/>
    <w:rsid w:val="001A2331"/>
    <w:rsid w:val="001A4130"/>
    <w:rsid w:val="001A4569"/>
    <w:rsid w:val="001A5059"/>
    <w:rsid w:val="001A536C"/>
    <w:rsid w:val="001A56D7"/>
    <w:rsid w:val="001A787F"/>
    <w:rsid w:val="001B096F"/>
    <w:rsid w:val="001B0AB0"/>
    <w:rsid w:val="001B0AC5"/>
    <w:rsid w:val="001B0EC7"/>
    <w:rsid w:val="001B1198"/>
    <w:rsid w:val="001B1830"/>
    <w:rsid w:val="001B272D"/>
    <w:rsid w:val="001B2775"/>
    <w:rsid w:val="001B3373"/>
    <w:rsid w:val="001B42F6"/>
    <w:rsid w:val="001B4AB6"/>
    <w:rsid w:val="001B4B33"/>
    <w:rsid w:val="001B5102"/>
    <w:rsid w:val="001B587B"/>
    <w:rsid w:val="001B58E5"/>
    <w:rsid w:val="001C03E4"/>
    <w:rsid w:val="001C1845"/>
    <w:rsid w:val="001C1C22"/>
    <w:rsid w:val="001C23EB"/>
    <w:rsid w:val="001C290C"/>
    <w:rsid w:val="001C2969"/>
    <w:rsid w:val="001C2B64"/>
    <w:rsid w:val="001C327A"/>
    <w:rsid w:val="001C34AD"/>
    <w:rsid w:val="001C3C81"/>
    <w:rsid w:val="001C47BD"/>
    <w:rsid w:val="001C4873"/>
    <w:rsid w:val="001C5B92"/>
    <w:rsid w:val="001C7021"/>
    <w:rsid w:val="001C73B2"/>
    <w:rsid w:val="001C7E3F"/>
    <w:rsid w:val="001D07FC"/>
    <w:rsid w:val="001D1209"/>
    <w:rsid w:val="001D1D71"/>
    <w:rsid w:val="001D20F8"/>
    <w:rsid w:val="001D269C"/>
    <w:rsid w:val="001D2A0E"/>
    <w:rsid w:val="001D3002"/>
    <w:rsid w:val="001D406B"/>
    <w:rsid w:val="001D4305"/>
    <w:rsid w:val="001D451B"/>
    <w:rsid w:val="001D4B39"/>
    <w:rsid w:val="001D57B2"/>
    <w:rsid w:val="001D585C"/>
    <w:rsid w:val="001D5A75"/>
    <w:rsid w:val="001D7FE5"/>
    <w:rsid w:val="001E0B59"/>
    <w:rsid w:val="001E0E1F"/>
    <w:rsid w:val="001E15DB"/>
    <w:rsid w:val="001E15EA"/>
    <w:rsid w:val="001E38A6"/>
    <w:rsid w:val="001E3E81"/>
    <w:rsid w:val="001E452C"/>
    <w:rsid w:val="001E4C72"/>
    <w:rsid w:val="001E56C4"/>
    <w:rsid w:val="001E5CD6"/>
    <w:rsid w:val="001E64DC"/>
    <w:rsid w:val="001E7043"/>
    <w:rsid w:val="001E712F"/>
    <w:rsid w:val="001E777E"/>
    <w:rsid w:val="001E7F90"/>
    <w:rsid w:val="001F0154"/>
    <w:rsid w:val="001F08A9"/>
    <w:rsid w:val="001F09E1"/>
    <w:rsid w:val="001F1298"/>
    <w:rsid w:val="001F17C2"/>
    <w:rsid w:val="001F1CCF"/>
    <w:rsid w:val="001F28E2"/>
    <w:rsid w:val="001F3CBD"/>
    <w:rsid w:val="001F45BB"/>
    <w:rsid w:val="001F57B8"/>
    <w:rsid w:val="001F5E52"/>
    <w:rsid w:val="001F73BF"/>
    <w:rsid w:val="001F77CA"/>
    <w:rsid w:val="001F79A2"/>
    <w:rsid w:val="0020129A"/>
    <w:rsid w:val="00201C52"/>
    <w:rsid w:val="00201D0B"/>
    <w:rsid w:val="00202215"/>
    <w:rsid w:val="00202F1E"/>
    <w:rsid w:val="002030F8"/>
    <w:rsid w:val="0020389E"/>
    <w:rsid w:val="002050D7"/>
    <w:rsid w:val="0020533F"/>
    <w:rsid w:val="00205B1E"/>
    <w:rsid w:val="00206139"/>
    <w:rsid w:val="00207FDE"/>
    <w:rsid w:val="002109E8"/>
    <w:rsid w:val="00211184"/>
    <w:rsid w:val="002133AC"/>
    <w:rsid w:val="002134C6"/>
    <w:rsid w:val="00213D16"/>
    <w:rsid w:val="00214AB4"/>
    <w:rsid w:val="00214E09"/>
    <w:rsid w:val="00215883"/>
    <w:rsid w:val="00216832"/>
    <w:rsid w:val="00222228"/>
    <w:rsid w:val="00222D0F"/>
    <w:rsid w:val="00222DE3"/>
    <w:rsid w:val="00222EAC"/>
    <w:rsid w:val="00222F31"/>
    <w:rsid w:val="0022382B"/>
    <w:rsid w:val="00223A2B"/>
    <w:rsid w:val="00224650"/>
    <w:rsid w:val="00224AC9"/>
    <w:rsid w:val="00225B2A"/>
    <w:rsid w:val="00225E2D"/>
    <w:rsid w:val="00226863"/>
    <w:rsid w:val="0022774B"/>
    <w:rsid w:val="00231988"/>
    <w:rsid w:val="0023213A"/>
    <w:rsid w:val="00232206"/>
    <w:rsid w:val="00232E54"/>
    <w:rsid w:val="00232FDB"/>
    <w:rsid w:val="002331FE"/>
    <w:rsid w:val="00233BA6"/>
    <w:rsid w:val="00233F00"/>
    <w:rsid w:val="00234944"/>
    <w:rsid w:val="002349D9"/>
    <w:rsid w:val="00234D4F"/>
    <w:rsid w:val="00234EB3"/>
    <w:rsid w:val="0023718A"/>
    <w:rsid w:val="002376F2"/>
    <w:rsid w:val="00237CCE"/>
    <w:rsid w:val="00237ED4"/>
    <w:rsid w:val="0024046D"/>
    <w:rsid w:val="002406EF"/>
    <w:rsid w:val="00240982"/>
    <w:rsid w:val="00240A45"/>
    <w:rsid w:val="00241BB2"/>
    <w:rsid w:val="00241F74"/>
    <w:rsid w:val="00242AEF"/>
    <w:rsid w:val="00244E39"/>
    <w:rsid w:val="00245A0C"/>
    <w:rsid w:val="00245AF3"/>
    <w:rsid w:val="00245CCC"/>
    <w:rsid w:val="00246050"/>
    <w:rsid w:val="0024613B"/>
    <w:rsid w:val="002467A8"/>
    <w:rsid w:val="0025014A"/>
    <w:rsid w:val="002503EF"/>
    <w:rsid w:val="002504B3"/>
    <w:rsid w:val="002505A7"/>
    <w:rsid w:val="00252524"/>
    <w:rsid w:val="0025275E"/>
    <w:rsid w:val="002527F0"/>
    <w:rsid w:val="00252837"/>
    <w:rsid w:val="0025385F"/>
    <w:rsid w:val="00253BD2"/>
    <w:rsid w:val="00254CF3"/>
    <w:rsid w:val="0025570F"/>
    <w:rsid w:val="00255FDC"/>
    <w:rsid w:val="002569BB"/>
    <w:rsid w:val="002602A5"/>
    <w:rsid w:val="002604CA"/>
    <w:rsid w:val="00260964"/>
    <w:rsid w:val="0026198F"/>
    <w:rsid w:val="00263B30"/>
    <w:rsid w:val="00265500"/>
    <w:rsid w:val="00266191"/>
    <w:rsid w:val="002666BD"/>
    <w:rsid w:val="002669B8"/>
    <w:rsid w:val="00266F90"/>
    <w:rsid w:val="002675D3"/>
    <w:rsid w:val="0026776C"/>
    <w:rsid w:val="00270077"/>
    <w:rsid w:val="002704F3"/>
    <w:rsid w:val="00270C22"/>
    <w:rsid w:val="002712CE"/>
    <w:rsid w:val="00273752"/>
    <w:rsid w:val="002767C8"/>
    <w:rsid w:val="00277288"/>
    <w:rsid w:val="0028067C"/>
    <w:rsid w:val="00280B11"/>
    <w:rsid w:val="00280C0B"/>
    <w:rsid w:val="00280DB6"/>
    <w:rsid w:val="00281734"/>
    <w:rsid w:val="00281AF3"/>
    <w:rsid w:val="002824AE"/>
    <w:rsid w:val="002824FF"/>
    <w:rsid w:val="002825E6"/>
    <w:rsid w:val="00282B5F"/>
    <w:rsid w:val="00283986"/>
    <w:rsid w:val="00284C7D"/>
    <w:rsid w:val="00286406"/>
    <w:rsid w:val="002879A5"/>
    <w:rsid w:val="00287EAA"/>
    <w:rsid w:val="0029091A"/>
    <w:rsid w:val="00290A4A"/>
    <w:rsid w:val="002925D4"/>
    <w:rsid w:val="00292772"/>
    <w:rsid w:val="00293BD8"/>
    <w:rsid w:val="00294DBB"/>
    <w:rsid w:val="002953E6"/>
    <w:rsid w:val="00295D08"/>
    <w:rsid w:val="0029679E"/>
    <w:rsid w:val="00296BEF"/>
    <w:rsid w:val="00297180"/>
    <w:rsid w:val="002A1CCB"/>
    <w:rsid w:val="002A1D2B"/>
    <w:rsid w:val="002A3482"/>
    <w:rsid w:val="002A3D60"/>
    <w:rsid w:val="002A4A6E"/>
    <w:rsid w:val="002A4DB5"/>
    <w:rsid w:val="002A521D"/>
    <w:rsid w:val="002A5C2E"/>
    <w:rsid w:val="002A6888"/>
    <w:rsid w:val="002B0C9E"/>
    <w:rsid w:val="002B25FB"/>
    <w:rsid w:val="002B2C32"/>
    <w:rsid w:val="002B3051"/>
    <w:rsid w:val="002B378A"/>
    <w:rsid w:val="002B4288"/>
    <w:rsid w:val="002B5A87"/>
    <w:rsid w:val="002B6500"/>
    <w:rsid w:val="002B668C"/>
    <w:rsid w:val="002B6AB7"/>
    <w:rsid w:val="002B7D15"/>
    <w:rsid w:val="002C0324"/>
    <w:rsid w:val="002C0A56"/>
    <w:rsid w:val="002C12F6"/>
    <w:rsid w:val="002C1D68"/>
    <w:rsid w:val="002C243E"/>
    <w:rsid w:val="002C3483"/>
    <w:rsid w:val="002C357F"/>
    <w:rsid w:val="002C4138"/>
    <w:rsid w:val="002C5E48"/>
    <w:rsid w:val="002C7C03"/>
    <w:rsid w:val="002C7EFA"/>
    <w:rsid w:val="002C7FCA"/>
    <w:rsid w:val="002D0177"/>
    <w:rsid w:val="002D0545"/>
    <w:rsid w:val="002D0A57"/>
    <w:rsid w:val="002D21AA"/>
    <w:rsid w:val="002D2526"/>
    <w:rsid w:val="002D25E1"/>
    <w:rsid w:val="002D2B40"/>
    <w:rsid w:val="002D3782"/>
    <w:rsid w:val="002D3D62"/>
    <w:rsid w:val="002D3EFD"/>
    <w:rsid w:val="002D42E1"/>
    <w:rsid w:val="002D4FC7"/>
    <w:rsid w:val="002D53F2"/>
    <w:rsid w:val="002D688D"/>
    <w:rsid w:val="002D71B2"/>
    <w:rsid w:val="002E0EFC"/>
    <w:rsid w:val="002E1984"/>
    <w:rsid w:val="002E1D23"/>
    <w:rsid w:val="002E2151"/>
    <w:rsid w:val="002E3436"/>
    <w:rsid w:val="002E3BA9"/>
    <w:rsid w:val="002E4475"/>
    <w:rsid w:val="002E571D"/>
    <w:rsid w:val="002E5FC4"/>
    <w:rsid w:val="002E6942"/>
    <w:rsid w:val="002E6DF4"/>
    <w:rsid w:val="002F0241"/>
    <w:rsid w:val="002F03DF"/>
    <w:rsid w:val="002F074A"/>
    <w:rsid w:val="002F0F13"/>
    <w:rsid w:val="002F1BF4"/>
    <w:rsid w:val="002F1E7E"/>
    <w:rsid w:val="002F2442"/>
    <w:rsid w:val="002F42B2"/>
    <w:rsid w:val="002F4D3E"/>
    <w:rsid w:val="002F4F96"/>
    <w:rsid w:val="002F5120"/>
    <w:rsid w:val="002F58F5"/>
    <w:rsid w:val="002F5940"/>
    <w:rsid w:val="002F6653"/>
    <w:rsid w:val="002F6741"/>
    <w:rsid w:val="002F6819"/>
    <w:rsid w:val="002F69D2"/>
    <w:rsid w:val="002F6D7E"/>
    <w:rsid w:val="002F74EA"/>
    <w:rsid w:val="002F78C8"/>
    <w:rsid w:val="00300D5D"/>
    <w:rsid w:val="00301C2C"/>
    <w:rsid w:val="00302379"/>
    <w:rsid w:val="00302A63"/>
    <w:rsid w:val="00302CA9"/>
    <w:rsid w:val="00302D5B"/>
    <w:rsid w:val="00302D7E"/>
    <w:rsid w:val="00303898"/>
    <w:rsid w:val="003039E9"/>
    <w:rsid w:val="00303EEB"/>
    <w:rsid w:val="00305A60"/>
    <w:rsid w:val="0030619E"/>
    <w:rsid w:val="00306426"/>
    <w:rsid w:val="0030676D"/>
    <w:rsid w:val="0031060A"/>
    <w:rsid w:val="00310ADA"/>
    <w:rsid w:val="00310FB8"/>
    <w:rsid w:val="00311643"/>
    <w:rsid w:val="0031171B"/>
    <w:rsid w:val="00311F7A"/>
    <w:rsid w:val="003131AE"/>
    <w:rsid w:val="003134F4"/>
    <w:rsid w:val="003135CA"/>
    <w:rsid w:val="0031381E"/>
    <w:rsid w:val="0031382E"/>
    <w:rsid w:val="00313B75"/>
    <w:rsid w:val="00316783"/>
    <w:rsid w:val="00316974"/>
    <w:rsid w:val="003176B4"/>
    <w:rsid w:val="00317E41"/>
    <w:rsid w:val="0032014E"/>
    <w:rsid w:val="0032023C"/>
    <w:rsid w:val="003220E9"/>
    <w:rsid w:val="00322772"/>
    <w:rsid w:val="0032407E"/>
    <w:rsid w:val="003254BF"/>
    <w:rsid w:val="00325543"/>
    <w:rsid w:val="003258BD"/>
    <w:rsid w:val="003262C4"/>
    <w:rsid w:val="003262F7"/>
    <w:rsid w:val="00326954"/>
    <w:rsid w:val="0032749D"/>
    <w:rsid w:val="00327669"/>
    <w:rsid w:val="00327C2C"/>
    <w:rsid w:val="00332682"/>
    <w:rsid w:val="00332FE8"/>
    <w:rsid w:val="00333489"/>
    <w:rsid w:val="00333DC1"/>
    <w:rsid w:val="003349C5"/>
    <w:rsid w:val="00337311"/>
    <w:rsid w:val="003374B7"/>
    <w:rsid w:val="00341667"/>
    <w:rsid w:val="003421AE"/>
    <w:rsid w:val="003425AA"/>
    <w:rsid w:val="00342B61"/>
    <w:rsid w:val="0034449E"/>
    <w:rsid w:val="00344509"/>
    <w:rsid w:val="00344E44"/>
    <w:rsid w:val="00344F07"/>
    <w:rsid w:val="0034565F"/>
    <w:rsid w:val="00345D03"/>
    <w:rsid w:val="003466AD"/>
    <w:rsid w:val="0034713B"/>
    <w:rsid w:val="00347449"/>
    <w:rsid w:val="00350E8F"/>
    <w:rsid w:val="00351B7F"/>
    <w:rsid w:val="00351B8C"/>
    <w:rsid w:val="003540C8"/>
    <w:rsid w:val="00354268"/>
    <w:rsid w:val="00355516"/>
    <w:rsid w:val="00355655"/>
    <w:rsid w:val="00355E99"/>
    <w:rsid w:val="00356546"/>
    <w:rsid w:val="003566D1"/>
    <w:rsid w:val="00356E16"/>
    <w:rsid w:val="00356F25"/>
    <w:rsid w:val="003571E3"/>
    <w:rsid w:val="00357C6D"/>
    <w:rsid w:val="003604F1"/>
    <w:rsid w:val="00360717"/>
    <w:rsid w:val="003620DC"/>
    <w:rsid w:val="003625D5"/>
    <w:rsid w:val="0036268B"/>
    <w:rsid w:val="00363BF9"/>
    <w:rsid w:val="003657F2"/>
    <w:rsid w:val="00365BD4"/>
    <w:rsid w:val="00365F7A"/>
    <w:rsid w:val="00365FDB"/>
    <w:rsid w:val="00367150"/>
    <w:rsid w:val="00367759"/>
    <w:rsid w:val="00367A93"/>
    <w:rsid w:val="00367C3C"/>
    <w:rsid w:val="00367E69"/>
    <w:rsid w:val="0037053B"/>
    <w:rsid w:val="003716B7"/>
    <w:rsid w:val="00371AB1"/>
    <w:rsid w:val="00372547"/>
    <w:rsid w:val="003730D8"/>
    <w:rsid w:val="003734FE"/>
    <w:rsid w:val="003739ED"/>
    <w:rsid w:val="00374EA2"/>
    <w:rsid w:val="00375910"/>
    <w:rsid w:val="00376439"/>
    <w:rsid w:val="00376613"/>
    <w:rsid w:val="003766B6"/>
    <w:rsid w:val="00376C3F"/>
    <w:rsid w:val="00377027"/>
    <w:rsid w:val="003771DE"/>
    <w:rsid w:val="00377C61"/>
    <w:rsid w:val="00380C97"/>
    <w:rsid w:val="00380D68"/>
    <w:rsid w:val="003817F8"/>
    <w:rsid w:val="00381D1D"/>
    <w:rsid w:val="003822D1"/>
    <w:rsid w:val="00383322"/>
    <w:rsid w:val="00384264"/>
    <w:rsid w:val="00384BA5"/>
    <w:rsid w:val="00384C2E"/>
    <w:rsid w:val="0038585F"/>
    <w:rsid w:val="0038632D"/>
    <w:rsid w:val="003865DC"/>
    <w:rsid w:val="00386B9F"/>
    <w:rsid w:val="0038718A"/>
    <w:rsid w:val="00387542"/>
    <w:rsid w:val="003875A4"/>
    <w:rsid w:val="00387882"/>
    <w:rsid w:val="00387E7B"/>
    <w:rsid w:val="00387EA4"/>
    <w:rsid w:val="00387FAF"/>
    <w:rsid w:val="00387FB4"/>
    <w:rsid w:val="0039057D"/>
    <w:rsid w:val="003911F7"/>
    <w:rsid w:val="0039174C"/>
    <w:rsid w:val="00393284"/>
    <w:rsid w:val="00393B12"/>
    <w:rsid w:val="00393E67"/>
    <w:rsid w:val="00394304"/>
    <w:rsid w:val="003956B9"/>
    <w:rsid w:val="00395AF8"/>
    <w:rsid w:val="00396105"/>
    <w:rsid w:val="003966E8"/>
    <w:rsid w:val="00396E56"/>
    <w:rsid w:val="00396EA2"/>
    <w:rsid w:val="003A03C7"/>
    <w:rsid w:val="003A0987"/>
    <w:rsid w:val="003A0F79"/>
    <w:rsid w:val="003A1329"/>
    <w:rsid w:val="003A1C76"/>
    <w:rsid w:val="003A2582"/>
    <w:rsid w:val="003A2695"/>
    <w:rsid w:val="003A2899"/>
    <w:rsid w:val="003A3505"/>
    <w:rsid w:val="003A6434"/>
    <w:rsid w:val="003A669D"/>
    <w:rsid w:val="003A75B3"/>
    <w:rsid w:val="003A784F"/>
    <w:rsid w:val="003A7877"/>
    <w:rsid w:val="003B009D"/>
    <w:rsid w:val="003B0166"/>
    <w:rsid w:val="003B0634"/>
    <w:rsid w:val="003B1293"/>
    <w:rsid w:val="003B1ED2"/>
    <w:rsid w:val="003B2234"/>
    <w:rsid w:val="003B3642"/>
    <w:rsid w:val="003B37E0"/>
    <w:rsid w:val="003B39A8"/>
    <w:rsid w:val="003B42CA"/>
    <w:rsid w:val="003B519F"/>
    <w:rsid w:val="003B57E2"/>
    <w:rsid w:val="003B6CF8"/>
    <w:rsid w:val="003B6D49"/>
    <w:rsid w:val="003B6E37"/>
    <w:rsid w:val="003B7387"/>
    <w:rsid w:val="003B78D1"/>
    <w:rsid w:val="003B7CDE"/>
    <w:rsid w:val="003C078D"/>
    <w:rsid w:val="003C0C4B"/>
    <w:rsid w:val="003C1329"/>
    <w:rsid w:val="003C2837"/>
    <w:rsid w:val="003C2A20"/>
    <w:rsid w:val="003C305B"/>
    <w:rsid w:val="003C4068"/>
    <w:rsid w:val="003C5A56"/>
    <w:rsid w:val="003C5ED6"/>
    <w:rsid w:val="003C6158"/>
    <w:rsid w:val="003C6478"/>
    <w:rsid w:val="003C6C9D"/>
    <w:rsid w:val="003C767A"/>
    <w:rsid w:val="003D00C0"/>
    <w:rsid w:val="003D0CC8"/>
    <w:rsid w:val="003D1689"/>
    <w:rsid w:val="003D1DEB"/>
    <w:rsid w:val="003D27E4"/>
    <w:rsid w:val="003D2FEE"/>
    <w:rsid w:val="003D34CC"/>
    <w:rsid w:val="003D55AF"/>
    <w:rsid w:val="003D6D15"/>
    <w:rsid w:val="003D7ED1"/>
    <w:rsid w:val="003E0441"/>
    <w:rsid w:val="003E04DD"/>
    <w:rsid w:val="003E2F61"/>
    <w:rsid w:val="003E319B"/>
    <w:rsid w:val="003E5BB0"/>
    <w:rsid w:val="003E6D48"/>
    <w:rsid w:val="003E79CA"/>
    <w:rsid w:val="003F0235"/>
    <w:rsid w:val="003F1923"/>
    <w:rsid w:val="003F1995"/>
    <w:rsid w:val="003F1F3B"/>
    <w:rsid w:val="003F36A7"/>
    <w:rsid w:val="003F4272"/>
    <w:rsid w:val="003F6BE5"/>
    <w:rsid w:val="003F7E35"/>
    <w:rsid w:val="00401DDD"/>
    <w:rsid w:val="00401F13"/>
    <w:rsid w:val="00401F66"/>
    <w:rsid w:val="00402040"/>
    <w:rsid w:val="00403518"/>
    <w:rsid w:val="004035C3"/>
    <w:rsid w:val="004044BA"/>
    <w:rsid w:val="00405F5D"/>
    <w:rsid w:val="004068BA"/>
    <w:rsid w:val="00407D1D"/>
    <w:rsid w:val="00407D2C"/>
    <w:rsid w:val="00411D8C"/>
    <w:rsid w:val="004127D6"/>
    <w:rsid w:val="004139EC"/>
    <w:rsid w:val="00414F59"/>
    <w:rsid w:val="00415647"/>
    <w:rsid w:val="0041565A"/>
    <w:rsid w:val="00415CD3"/>
    <w:rsid w:val="004164E5"/>
    <w:rsid w:val="004176BD"/>
    <w:rsid w:val="00417C8D"/>
    <w:rsid w:val="00420A86"/>
    <w:rsid w:val="00421231"/>
    <w:rsid w:val="00423831"/>
    <w:rsid w:val="00423BBB"/>
    <w:rsid w:val="00423D85"/>
    <w:rsid w:val="00425843"/>
    <w:rsid w:val="0042632D"/>
    <w:rsid w:val="00427625"/>
    <w:rsid w:val="004276C0"/>
    <w:rsid w:val="00427EDF"/>
    <w:rsid w:val="00430622"/>
    <w:rsid w:val="00430A04"/>
    <w:rsid w:val="0043159C"/>
    <w:rsid w:val="00431AA4"/>
    <w:rsid w:val="00431E56"/>
    <w:rsid w:val="00433F33"/>
    <w:rsid w:val="004341AF"/>
    <w:rsid w:val="0043421F"/>
    <w:rsid w:val="004364BA"/>
    <w:rsid w:val="00436CD9"/>
    <w:rsid w:val="00436EDE"/>
    <w:rsid w:val="004406B6"/>
    <w:rsid w:val="004413BE"/>
    <w:rsid w:val="0044162D"/>
    <w:rsid w:val="00443176"/>
    <w:rsid w:val="00443567"/>
    <w:rsid w:val="00443697"/>
    <w:rsid w:val="00444C8F"/>
    <w:rsid w:val="004459A8"/>
    <w:rsid w:val="00446E78"/>
    <w:rsid w:val="00447753"/>
    <w:rsid w:val="00451E43"/>
    <w:rsid w:val="004540E8"/>
    <w:rsid w:val="0045418D"/>
    <w:rsid w:val="00454949"/>
    <w:rsid w:val="004555AE"/>
    <w:rsid w:val="0045561C"/>
    <w:rsid w:val="00455A96"/>
    <w:rsid w:val="0045610C"/>
    <w:rsid w:val="00456210"/>
    <w:rsid w:val="004573EA"/>
    <w:rsid w:val="00460D75"/>
    <w:rsid w:val="00460F5F"/>
    <w:rsid w:val="00461601"/>
    <w:rsid w:val="00461A7F"/>
    <w:rsid w:val="00461A8D"/>
    <w:rsid w:val="00461DE1"/>
    <w:rsid w:val="00461DE4"/>
    <w:rsid w:val="00462B15"/>
    <w:rsid w:val="00462B48"/>
    <w:rsid w:val="00462D76"/>
    <w:rsid w:val="00462E41"/>
    <w:rsid w:val="00465336"/>
    <w:rsid w:val="00465757"/>
    <w:rsid w:val="00465A25"/>
    <w:rsid w:val="00465E7D"/>
    <w:rsid w:val="004673A9"/>
    <w:rsid w:val="00470003"/>
    <w:rsid w:val="004706EC"/>
    <w:rsid w:val="00470E90"/>
    <w:rsid w:val="0047150C"/>
    <w:rsid w:val="00471A3A"/>
    <w:rsid w:val="004740EC"/>
    <w:rsid w:val="00474778"/>
    <w:rsid w:val="00475A58"/>
    <w:rsid w:val="00475CCA"/>
    <w:rsid w:val="00475EF6"/>
    <w:rsid w:val="004760F0"/>
    <w:rsid w:val="00476FC5"/>
    <w:rsid w:val="00477D83"/>
    <w:rsid w:val="004800DE"/>
    <w:rsid w:val="0048070F"/>
    <w:rsid w:val="004825F5"/>
    <w:rsid w:val="004834D2"/>
    <w:rsid w:val="0048393C"/>
    <w:rsid w:val="004840ED"/>
    <w:rsid w:val="004849BF"/>
    <w:rsid w:val="00484A89"/>
    <w:rsid w:val="00485083"/>
    <w:rsid w:val="004852B2"/>
    <w:rsid w:val="0048646B"/>
    <w:rsid w:val="0048767B"/>
    <w:rsid w:val="004876A7"/>
    <w:rsid w:val="00487B9C"/>
    <w:rsid w:val="0049040B"/>
    <w:rsid w:val="004908A1"/>
    <w:rsid w:val="00490A94"/>
    <w:rsid w:val="004910A1"/>
    <w:rsid w:val="00492413"/>
    <w:rsid w:val="00492704"/>
    <w:rsid w:val="00492FD5"/>
    <w:rsid w:val="00493691"/>
    <w:rsid w:val="00493BB7"/>
    <w:rsid w:val="00493FF0"/>
    <w:rsid w:val="004949BE"/>
    <w:rsid w:val="00495885"/>
    <w:rsid w:val="00495CC5"/>
    <w:rsid w:val="004969CD"/>
    <w:rsid w:val="00497224"/>
    <w:rsid w:val="00497255"/>
    <w:rsid w:val="004976D5"/>
    <w:rsid w:val="004A10EC"/>
    <w:rsid w:val="004A1AC6"/>
    <w:rsid w:val="004A1F63"/>
    <w:rsid w:val="004A36E6"/>
    <w:rsid w:val="004A37AD"/>
    <w:rsid w:val="004A4EB7"/>
    <w:rsid w:val="004A5435"/>
    <w:rsid w:val="004A55CC"/>
    <w:rsid w:val="004A600F"/>
    <w:rsid w:val="004A626D"/>
    <w:rsid w:val="004A75C0"/>
    <w:rsid w:val="004A7977"/>
    <w:rsid w:val="004A7E68"/>
    <w:rsid w:val="004B0552"/>
    <w:rsid w:val="004B0B9C"/>
    <w:rsid w:val="004B0F15"/>
    <w:rsid w:val="004B1DFE"/>
    <w:rsid w:val="004B2170"/>
    <w:rsid w:val="004B2360"/>
    <w:rsid w:val="004B258E"/>
    <w:rsid w:val="004B2897"/>
    <w:rsid w:val="004B3D3D"/>
    <w:rsid w:val="004B4B3C"/>
    <w:rsid w:val="004B4E23"/>
    <w:rsid w:val="004B4E54"/>
    <w:rsid w:val="004B637A"/>
    <w:rsid w:val="004B6713"/>
    <w:rsid w:val="004B77CC"/>
    <w:rsid w:val="004B7A72"/>
    <w:rsid w:val="004C1374"/>
    <w:rsid w:val="004C1601"/>
    <w:rsid w:val="004C1DA8"/>
    <w:rsid w:val="004C315D"/>
    <w:rsid w:val="004C48BC"/>
    <w:rsid w:val="004C50A6"/>
    <w:rsid w:val="004C53B2"/>
    <w:rsid w:val="004C578B"/>
    <w:rsid w:val="004C7368"/>
    <w:rsid w:val="004D02ED"/>
    <w:rsid w:val="004D0B18"/>
    <w:rsid w:val="004D1DF6"/>
    <w:rsid w:val="004D2155"/>
    <w:rsid w:val="004D22F3"/>
    <w:rsid w:val="004D4275"/>
    <w:rsid w:val="004D4A5B"/>
    <w:rsid w:val="004D644A"/>
    <w:rsid w:val="004D67F7"/>
    <w:rsid w:val="004D6823"/>
    <w:rsid w:val="004D6955"/>
    <w:rsid w:val="004E0F90"/>
    <w:rsid w:val="004E1252"/>
    <w:rsid w:val="004E28F4"/>
    <w:rsid w:val="004E3CEF"/>
    <w:rsid w:val="004E406B"/>
    <w:rsid w:val="004E4537"/>
    <w:rsid w:val="004E483C"/>
    <w:rsid w:val="004E5012"/>
    <w:rsid w:val="004E6FCD"/>
    <w:rsid w:val="004F01AF"/>
    <w:rsid w:val="004F01FE"/>
    <w:rsid w:val="004F08AE"/>
    <w:rsid w:val="004F09ED"/>
    <w:rsid w:val="004F1979"/>
    <w:rsid w:val="004F1A33"/>
    <w:rsid w:val="004F1CB6"/>
    <w:rsid w:val="004F202D"/>
    <w:rsid w:val="004F2ED5"/>
    <w:rsid w:val="004F2FF2"/>
    <w:rsid w:val="004F3471"/>
    <w:rsid w:val="004F4590"/>
    <w:rsid w:val="004F4D85"/>
    <w:rsid w:val="004F6AFA"/>
    <w:rsid w:val="004F6BBB"/>
    <w:rsid w:val="004F73D1"/>
    <w:rsid w:val="005013DB"/>
    <w:rsid w:val="00501701"/>
    <w:rsid w:val="00502730"/>
    <w:rsid w:val="0050318B"/>
    <w:rsid w:val="005031D2"/>
    <w:rsid w:val="00504852"/>
    <w:rsid w:val="00504925"/>
    <w:rsid w:val="00505547"/>
    <w:rsid w:val="005055EB"/>
    <w:rsid w:val="00506112"/>
    <w:rsid w:val="00507B2D"/>
    <w:rsid w:val="00507CEA"/>
    <w:rsid w:val="00510043"/>
    <w:rsid w:val="005107B1"/>
    <w:rsid w:val="00510EB1"/>
    <w:rsid w:val="005117F0"/>
    <w:rsid w:val="00512D26"/>
    <w:rsid w:val="0051315F"/>
    <w:rsid w:val="0051381F"/>
    <w:rsid w:val="00514C66"/>
    <w:rsid w:val="00517A1C"/>
    <w:rsid w:val="00517A89"/>
    <w:rsid w:val="00517D7E"/>
    <w:rsid w:val="00520184"/>
    <w:rsid w:val="005205C1"/>
    <w:rsid w:val="005208FD"/>
    <w:rsid w:val="00520F14"/>
    <w:rsid w:val="00521363"/>
    <w:rsid w:val="0052162B"/>
    <w:rsid w:val="00521DE0"/>
    <w:rsid w:val="0052259B"/>
    <w:rsid w:val="005232CC"/>
    <w:rsid w:val="005238AD"/>
    <w:rsid w:val="00523FDA"/>
    <w:rsid w:val="005252CA"/>
    <w:rsid w:val="00525731"/>
    <w:rsid w:val="00525827"/>
    <w:rsid w:val="005266F0"/>
    <w:rsid w:val="005270B3"/>
    <w:rsid w:val="00527323"/>
    <w:rsid w:val="005279A2"/>
    <w:rsid w:val="00527A73"/>
    <w:rsid w:val="00527E07"/>
    <w:rsid w:val="00530492"/>
    <w:rsid w:val="0053049A"/>
    <w:rsid w:val="00530A5F"/>
    <w:rsid w:val="00530E50"/>
    <w:rsid w:val="0053103D"/>
    <w:rsid w:val="00531DE9"/>
    <w:rsid w:val="00532160"/>
    <w:rsid w:val="00532B29"/>
    <w:rsid w:val="00532DC7"/>
    <w:rsid w:val="0053388A"/>
    <w:rsid w:val="005340A5"/>
    <w:rsid w:val="005347B7"/>
    <w:rsid w:val="00535C39"/>
    <w:rsid w:val="005367C1"/>
    <w:rsid w:val="00537459"/>
    <w:rsid w:val="005379AD"/>
    <w:rsid w:val="00537D14"/>
    <w:rsid w:val="00540407"/>
    <w:rsid w:val="0054054E"/>
    <w:rsid w:val="0054074C"/>
    <w:rsid w:val="00540BE2"/>
    <w:rsid w:val="00540E73"/>
    <w:rsid w:val="0054143D"/>
    <w:rsid w:val="00541C01"/>
    <w:rsid w:val="00541C6B"/>
    <w:rsid w:val="00541EE9"/>
    <w:rsid w:val="005420F2"/>
    <w:rsid w:val="00542147"/>
    <w:rsid w:val="0054286C"/>
    <w:rsid w:val="005431B0"/>
    <w:rsid w:val="00543791"/>
    <w:rsid w:val="005437DD"/>
    <w:rsid w:val="00543CDE"/>
    <w:rsid w:val="00544319"/>
    <w:rsid w:val="00544685"/>
    <w:rsid w:val="00544E99"/>
    <w:rsid w:val="00545A71"/>
    <w:rsid w:val="00545B29"/>
    <w:rsid w:val="00545F07"/>
    <w:rsid w:val="00546BBA"/>
    <w:rsid w:val="00546C99"/>
    <w:rsid w:val="005508E1"/>
    <w:rsid w:val="005519B2"/>
    <w:rsid w:val="00551D75"/>
    <w:rsid w:val="00552181"/>
    <w:rsid w:val="005525DF"/>
    <w:rsid w:val="005527CC"/>
    <w:rsid w:val="00553D78"/>
    <w:rsid w:val="00554131"/>
    <w:rsid w:val="0055454E"/>
    <w:rsid w:val="005546A8"/>
    <w:rsid w:val="005549A4"/>
    <w:rsid w:val="00560170"/>
    <w:rsid w:val="0056068D"/>
    <w:rsid w:val="00560B8C"/>
    <w:rsid w:val="00561B56"/>
    <w:rsid w:val="00561C42"/>
    <w:rsid w:val="005620C9"/>
    <w:rsid w:val="00562377"/>
    <w:rsid w:val="0056304D"/>
    <w:rsid w:val="00563A93"/>
    <w:rsid w:val="0056652F"/>
    <w:rsid w:val="00567A31"/>
    <w:rsid w:val="005705D1"/>
    <w:rsid w:val="005707A2"/>
    <w:rsid w:val="00570983"/>
    <w:rsid w:val="00571844"/>
    <w:rsid w:val="00571865"/>
    <w:rsid w:val="00571F66"/>
    <w:rsid w:val="00572458"/>
    <w:rsid w:val="005731C4"/>
    <w:rsid w:val="00574861"/>
    <w:rsid w:val="0057497E"/>
    <w:rsid w:val="00574B59"/>
    <w:rsid w:val="00575815"/>
    <w:rsid w:val="00575DFD"/>
    <w:rsid w:val="00575E40"/>
    <w:rsid w:val="00576133"/>
    <w:rsid w:val="00577663"/>
    <w:rsid w:val="00580368"/>
    <w:rsid w:val="00580A16"/>
    <w:rsid w:val="005816E3"/>
    <w:rsid w:val="005820C4"/>
    <w:rsid w:val="00582200"/>
    <w:rsid w:val="005835A1"/>
    <w:rsid w:val="005836E6"/>
    <w:rsid w:val="00583763"/>
    <w:rsid w:val="00583CA6"/>
    <w:rsid w:val="00584776"/>
    <w:rsid w:val="0058487B"/>
    <w:rsid w:val="00584BEB"/>
    <w:rsid w:val="00585DFF"/>
    <w:rsid w:val="00586461"/>
    <w:rsid w:val="00586656"/>
    <w:rsid w:val="005868A1"/>
    <w:rsid w:val="005874E3"/>
    <w:rsid w:val="0058774A"/>
    <w:rsid w:val="0058790B"/>
    <w:rsid w:val="005901F2"/>
    <w:rsid w:val="00590668"/>
    <w:rsid w:val="0059151C"/>
    <w:rsid w:val="005917D6"/>
    <w:rsid w:val="0059221A"/>
    <w:rsid w:val="005929F7"/>
    <w:rsid w:val="00593060"/>
    <w:rsid w:val="00595833"/>
    <w:rsid w:val="00595D08"/>
    <w:rsid w:val="00596222"/>
    <w:rsid w:val="005969AF"/>
    <w:rsid w:val="00597B97"/>
    <w:rsid w:val="00597E44"/>
    <w:rsid w:val="005A057E"/>
    <w:rsid w:val="005A0685"/>
    <w:rsid w:val="005A0DA1"/>
    <w:rsid w:val="005A14A0"/>
    <w:rsid w:val="005A15AD"/>
    <w:rsid w:val="005A1812"/>
    <w:rsid w:val="005A19FB"/>
    <w:rsid w:val="005A21EB"/>
    <w:rsid w:val="005A2400"/>
    <w:rsid w:val="005A256F"/>
    <w:rsid w:val="005A261D"/>
    <w:rsid w:val="005A5BAC"/>
    <w:rsid w:val="005A671D"/>
    <w:rsid w:val="005A7241"/>
    <w:rsid w:val="005A7557"/>
    <w:rsid w:val="005B188D"/>
    <w:rsid w:val="005B1E75"/>
    <w:rsid w:val="005B2A5B"/>
    <w:rsid w:val="005B2E4E"/>
    <w:rsid w:val="005B2F2D"/>
    <w:rsid w:val="005B2FB6"/>
    <w:rsid w:val="005B3852"/>
    <w:rsid w:val="005B3C02"/>
    <w:rsid w:val="005B3C49"/>
    <w:rsid w:val="005B405C"/>
    <w:rsid w:val="005B42D5"/>
    <w:rsid w:val="005B56F3"/>
    <w:rsid w:val="005B5902"/>
    <w:rsid w:val="005B6C6F"/>
    <w:rsid w:val="005B6F25"/>
    <w:rsid w:val="005B7398"/>
    <w:rsid w:val="005B7EF0"/>
    <w:rsid w:val="005C0996"/>
    <w:rsid w:val="005C1762"/>
    <w:rsid w:val="005C24FD"/>
    <w:rsid w:val="005C2E16"/>
    <w:rsid w:val="005C3651"/>
    <w:rsid w:val="005C3AD1"/>
    <w:rsid w:val="005C5082"/>
    <w:rsid w:val="005C5FFC"/>
    <w:rsid w:val="005C6AB7"/>
    <w:rsid w:val="005C7CD5"/>
    <w:rsid w:val="005D16A5"/>
    <w:rsid w:val="005D1978"/>
    <w:rsid w:val="005D1D0D"/>
    <w:rsid w:val="005D272C"/>
    <w:rsid w:val="005D3FC0"/>
    <w:rsid w:val="005D5D2C"/>
    <w:rsid w:val="005D5EBE"/>
    <w:rsid w:val="005D6162"/>
    <w:rsid w:val="005D7764"/>
    <w:rsid w:val="005D776B"/>
    <w:rsid w:val="005D7B28"/>
    <w:rsid w:val="005E1483"/>
    <w:rsid w:val="005E172A"/>
    <w:rsid w:val="005E271E"/>
    <w:rsid w:val="005E290D"/>
    <w:rsid w:val="005E4101"/>
    <w:rsid w:val="005E41A5"/>
    <w:rsid w:val="005E4957"/>
    <w:rsid w:val="005E50F4"/>
    <w:rsid w:val="005E705F"/>
    <w:rsid w:val="005F041E"/>
    <w:rsid w:val="005F0469"/>
    <w:rsid w:val="005F100D"/>
    <w:rsid w:val="005F17FC"/>
    <w:rsid w:val="005F1AC2"/>
    <w:rsid w:val="005F1B96"/>
    <w:rsid w:val="005F1B9C"/>
    <w:rsid w:val="005F1F06"/>
    <w:rsid w:val="005F2B34"/>
    <w:rsid w:val="005F493A"/>
    <w:rsid w:val="005F4B54"/>
    <w:rsid w:val="005F5387"/>
    <w:rsid w:val="005F6277"/>
    <w:rsid w:val="005F6A0D"/>
    <w:rsid w:val="005F6CF1"/>
    <w:rsid w:val="005F6E8F"/>
    <w:rsid w:val="005F70C9"/>
    <w:rsid w:val="005F77DD"/>
    <w:rsid w:val="00600E3C"/>
    <w:rsid w:val="006013D7"/>
    <w:rsid w:val="00601CEF"/>
    <w:rsid w:val="006020AB"/>
    <w:rsid w:val="006029B6"/>
    <w:rsid w:val="00603B61"/>
    <w:rsid w:val="00603D0C"/>
    <w:rsid w:val="00605C1F"/>
    <w:rsid w:val="006063C5"/>
    <w:rsid w:val="00606C2E"/>
    <w:rsid w:val="00606FF9"/>
    <w:rsid w:val="006104BD"/>
    <w:rsid w:val="00611205"/>
    <w:rsid w:val="0061147A"/>
    <w:rsid w:val="0061154E"/>
    <w:rsid w:val="00611661"/>
    <w:rsid w:val="00612255"/>
    <w:rsid w:val="00612D35"/>
    <w:rsid w:val="006133A4"/>
    <w:rsid w:val="00614683"/>
    <w:rsid w:val="00614A17"/>
    <w:rsid w:val="00614EBB"/>
    <w:rsid w:val="00615AEC"/>
    <w:rsid w:val="00615D3D"/>
    <w:rsid w:val="00615E4C"/>
    <w:rsid w:val="006163D7"/>
    <w:rsid w:val="0061694D"/>
    <w:rsid w:val="00616CAA"/>
    <w:rsid w:val="00617427"/>
    <w:rsid w:val="00621701"/>
    <w:rsid w:val="00622917"/>
    <w:rsid w:val="00622A4E"/>
    <w:rsid w:val="00623358"/>
    <w:rsid w:val="00623785"/>
    <w:rsid w:val="00623871"/>
    <w:rsid w:val="006245F7"/>
    <w:rsid w:val="00625AF3"/>
    <w:rsid w:val="00626E66"/>
    <w:rsid w:val="00627ED2"/>
    <w:rsid w:val="006301F6"/>
    <w:rsid w:val="00630EDC"/>
    <w:rsid w:val="00631B20"/>
    <w:rsid w:val="006339A6"/>
    <w:rsid w:val="006343DB"/>
    <w:rsid w:val="00634E89"/>
    <w:rsid w:val="00635358"/>
    <w:rsid w:val="00635B95"/>
    <w:rsid w:val="00636024"/>
    <w:rsid w:val="00636985"/>
    <w:rsid w:val="00636D16"/>
    <w:rsid w:val="0063703B"/>
    <w:rsid w:val="0063715A"/>
    <w:rsid w:val="00640421"/>
    <w:rsid w:val="0064097A"/>
    <w:rsid w:val="0064387E"/>
    <w:rsid w:val="00643A3A"/>
    <w:rsid w:val="00644B6F"/>
    <w:rsid w:val="00644CF0"/>
    <w:rsid w:val="006452AF"/>
    <w:rsid w:val="0064567F"/>
    <w:rsid w:val="00645A92"/>
    <w:rsid w:val="00646CD6"/>
    <w:rsid w:val="0064783A"/>
    <w:rsid w:val="006479C9"/>
    <w:rsid w:val="00652191"/>
    <w:rsid w:val="00652229"/>
    <w:rsid w:val="006542D6"/>
    <w:rsid w:val="00654608"/>
    <w:rsid w:val="00655399"/>
    <w:rsid w:val="00655614"/>
    <w:rsid w:val="00655C3F"/>
    <w:rsid w:val="00657D78"/>
    <w:rsid w:val="00660CD9"/>
    <w:rsid w:val="006611BB"/>
    <w:rsid w:val="006611D4"/>
    <w:rsid w:val="00661241"/>
    <w:rsid w:val="00661735"/>
    <w:rsid w:val="006618AF"/>
    <w:rsid w:val="00661C4D"/>
    <w:rsid w:val="00661D7A"/>
    <w:rsid w:val="0066259D"/>
    <w:rsid w:val="0066267A"/>
    <w:rsid w:val="00663105"/>
    <w:rsid w:val="00665C0A"/>
    <w:rsid w:val="00666150"/>
    <w:rsid w:val="0066653E"/>
    <w:rsid w:val="00666A36"/>
    <w:rsid w:val="00666BAB"/>
    <w:rsid w:val="00666CBA"/>
    <w:rsid w:val="00667D01"/>
    <w:rsid w:val="006705EA"/>
    <w:rsid w:val="00670F5C"/>
    <w:rsid w:val="00671260"/>
    <w:rsid w:val="00671E68"/>
    <w:rsid w:val="00672B3B"/>
    <w:rsid w:val="00672BAD"/>
    <w:rsid w:val="00672DAE"/>
    <w:rsid w:val="00673A88"/>
    <w:rsid w:val="00673C42"/>
    <w:rsid w:val="00674B78"/>
    <w:rsid w:val="0067513F"/>
    <w:rsid w:val="00675D95"/>
    <w:rsid w:val="00676A73"/>
    <w:rsid w:val="0067771A"/>
    <w:rsid w:val="00677BCC"/>
    <w:rsid w:val="00677CC9"/>
    <w:rsid w:val="00681887"/>
    <w:rsid w:val="00681912"/>
    <w:rsid w:val="0068285E"/>
    <w:rsid w:val="00683A7C"/>
    <w:rsid w:val="00683D55"/>
    <w:rsid w:val="00683F3F"/>
    <w:rsid w:val="0068482F"/>
    <w:rsid w:val="00685315"/>
    <w:rsid w:val="00685A34"/>
    <w:rsid w:val="006861E2"/>
    <w:rsid w:val="006863D8"/>
    <w:rsid w:val="00686A30"/>
    <w:rsid w:val="00691D7E"/>
    <w:rsid w:val="006926B7"/>
    <w:rsid w:val="0069321F"/>
    <w:rsid w:val="00693435"/>
    <w:rsid w:val="00693813"/>
    <w:rsid w:val="00695A4E"/>
    <w:rsid w:val="00695F47"/>
    <w:rsid w:val="006967B9"/>
    <w:rsid w:val="006A00AE"/>
    <w:rsid w:val="006A0CE5"/>
    <w:rsid w:val="006A1124"/>
    <w:rsid w:val="006A30C3"/>
    <w:rsid w:val="006A33CD"/>
    <w:rsid w:val="006A34D6"/>
    <w:rsid w:val="006A3C6F"/>
    <w:rsid w:val="006A44AD"/>
    <w:rsid w:val="006A47E1"/>
    <w:rsid w:val="006A4869"/>
    <w:rsid w:val="006A4B03"/>
    <w:rsid w:val="006A5288"/>
    <w:rsid w:val="006A5A7F"/>
    <w:rsid w:val="006A6408"/>
    <w:rsid w:val="006A6654"/>
    <w:rsid w:val="006A679E"/>
    <w:rsid w:val="006B03BB"/>
    <w:rsid w:val="006B052F"/>
    <w:rsid w:val="006B06D5"/>
    <w:rsid w:val="006B1350"/>
    <w:rsid w:val="006B240E"/>
    <w:rsid w:val="006B2431"/>
    <w:rsid w:val="006B2526"/>
    <w:rsid w:val="006B2825"/>
    <w:rsid w:val="006B296C"/>
    <w:rsid w:val="006B2DC7"/>
    <w:rsid w:val="006B30AA"/>
    <w:rsid w:val="006B377A"/>
    <w:rsid w:val="006B37D1"/>
    <w:rsid w:val="006B3EC5"/>
    <w:rsid w:val="006B444F"/>
    <w:rsid w:val="006B4BBE"/>
    <w:rsid w:val="006B4DB9"/>
    <w:rsid w:val="006B6B2C"/>
    <w:rsid w:val="006B739A"/>
    <w:rsid w:val="006C02FA"/>
    <w:rsid w:val="006C04BD"/>
    <w:rsid w:val="006C08D7"/>
    <w:rsid w:val="006C0E72"/>
    <w:rsid w:val="006C1AE7"/>
    <w:rsid w:val="006C20BA"/>
    <w:rsid w:val="006C3033"/>
    <w:rsid w:val="006C49E1"/>
    <w:rsid w:val="006C5802"/>
    <w:rsid w:val="006C59DE"/>
    <w:rsid w:val="006C5B52"/>
    <w:rsid w:val="006C7548"/>
    <w:rsid w:val="006C776F"/>
    <w:rsid w:val="006D0304"/>
    <w:rsid w:val="006D0F90"/>
    <w:rsid w:val="006D1B14"/>
    <w:rsid w:val="006D296E"/>
    <w:rsid w:val="006D3400"/>
    <w:rsid w:val="006D4024"/>
    <w:rsid w:val="006D45A5"/>
    <w:rsid w:val="006D531B"/>
    <w:rsid w:val="006D6055"/>
    <w:rsid w:val="006D6BA3"/>
    <w:rsid w:val="006E0179"/>
    <w:rsid w:val="006E1D18"/>
    <w:rsid w:val="006E2071"/>
    <w:rsid w:val="006E28ED"/>
    <w:rsid w:val="006E2C3D"/>
    <w:rsid w:val="006E2E4B"/>
    <w:rsid w:val="006E5550"/>
    <w:rsid w:val="006E56A7"/>
    <w:rsid w:val="006E5912"/>
    <w:rsid w:val="006E614C"/>
    <w:rsid w:val="006E616F"/>
    <w:rsid w:val="006E6979"/>
    <w:rsid w:val="006E6B32"/>
    <w:rsid w:val="006E6ECD"/>
    <w:rsid w:val="006E7587"/>
    <w:rsid w:val="006E7D9F"/>
    <w:rsid w:val="006F0696"/>
    <w:rsid w:val="006F1431"/>
    <w:rsid w:val="006F1771"/>
    <w:rsid w:val="006F1CDF"/>
    <w:rsid w:val="006F1E53"/>
    <w:rsid w:val="006F1FED"/>
    <w:rsid w:val="006F2042"/>
    <w:rsid w:val="006F2C6A"/>
    <w:rsid w:val="006F2FB3"/>
    <w:rsid w:val="006F30E6"/>
    <w:rsid w:val="006F3971"/>
    <w:rsid w:val="006F3C01"/>
    <w:rsid w:val="006F5B87"/>
    <w:rsid w:val="006F6EED"/>
    <w:rsid w:val="006F7046"/>
    <w:rsid w:val="006F7B15"/>
    <w:rsid w:val="006F7D29"/>
    <w:rsid w:val="006F7E9D"/>
    <w:rsid w:val="00700158"/>
    <w:rsid w:val="00700206"/>
    <w:rsid w:val="00700804"/>
    <w:rsid w:val="00700F81"/>
    <w:rsid w:val="00700FF6"/>
    <w:rsid w:val="0070163D"/>
    <w:rsid w:val="00701C4D"/>
    <w:rsid w:val="00702D0A"/>
    <w:rsid w:val="0070322E"/>
    <w:rsid w:val="0070680A"/>
    <w:rsid w:val="0070693E"/>
    <w:rsid w:val="00706CF9"/>
    <w:rsid w:val="0070733B"/>
    <w:rsid w:val="00707622"/>
    <w:rsid w:val="00707B03"/>
    <w:rsid w:val="00710D0A"/>
    <w:rsid w:val="007111F7"/>
    <w:rsid w:val="0071124F"/>
    <w:rsid w:val="0071181C"/>
    <w:rsid w:val="007121D1"/>
    <w:rsid w:val="00712F23"/>
    <w:rsid w:val="00713C60"/>
    <w:rsid w:val="00714343"/>
    <w:rsid w:val="00714C94"/>
    <w:rsid w:val="00714D0F"/>
    <w:rsid w:val="00715755"/>
    <w:rsid w:val="00715C44"/>
    <w:rsid w:val="00715E0C"/>
    <w:rsid w:val="00716215"/>
    <w:rsid w:val="00716F44"/>
    <w:rsid w:val="0071711F"/>
    <w:rsid w:val="007176FB"/>
    <w:rsid w:val="00720C54"/>
    <w:rsid w:val="00721103"/>
    <w:rsid w:val="007226CF"/>
    <w:rsid w:val="007227E1"/>
    <w:rsid w:val="00723489"/>
    <w:rsid w:val="007236F0"/>
    <w:rsid w:val="0072530B"/>
    <w:rsid w:val="007254D8"/>
    <w:rsid w:val="007259FB"/>
    <w:rsid w:val="00726DFD"/>
    <w:rsid w:val="007301D6"/>
    <w:rsid w:val="00730A52"/>
    <w:rsid w:val="00731B25"/>
    <w:rsid w:val="00731FD2"/>
    <w:rsid w:val="00732347"/>
    <w:rsid w:val="0073473A"/>
    <w:rsid w:val="00734929"/>
    <w:rsid w:val="00734B85"/>
    <w:rsid w:val="007355E9"/>
    <w:rsid w:val="00737E8D"/>
    <w:rsid w:val="00740740"/>
    <w:rsid w:val="007408DF"/>
    <w:rsid w:val="00741515"/>
    <w:rsid w:val="007415F4"/>
    <w:rsid w:val="00741A4D"/>
    <w:rsid w:val="007426CE"/>
    <w:rsid w:val="00743382"/>
    <w:rsid w:val="0074486A"/>
    <w:rsid w:val="00744C08"/>
    <w:rsid w:val="007456F8"/>
    <w:rsid w:val="00745D14"/>
    <w:rsid w:val="007470C8"/>
    <w:rsid w:val="00751909"/>
    <w:rsid w:val="00752A83"/>
    <w:rsid w:val="007530C2"/>
    <w:rsid w:val="00753DAA"/>
    <w:rsid w:val="0075571B"/>
    <w:rsid w:val="00756DD5"/>
    <w:rsid w:val="00760AD6"/>
    <w:rsid w:val="00760DA9"/>
    <w:rsid w:val="00761887"/>
    <w:rsid w:val="007629A7"/>
    <w:rsid w:val="00763491"/>
    <w:rsid w:val="00763AA0"/>
    <w:rsid w:val="007646F1"/>
    <w:rsid w:val="00765287"/>
    <w:rsid w:val="00765B0B"/>
    <w:rsid w:val="0076606C"/>
    <w:rsid w:val="00766A67"/>
    <w:rsid w:val="00766B6F"/>
    <w:rsid w:val="00766CDE"/>
    <w:rsid w:val="007700FF"/>
    <w:rsid w:val="00770AF8"/>
    <w:rsid w:val="007727BA"/>
    <w:rsid w:val="00773568"/>
    <w:rsid w:val="00773B9A"/>
    <w:rsid w:val="0077465A"/>
    <w:rsid w:val="00774939"/>
    <w:rsid w:val="00774E7A"/>
    <w:rsid w:val="007751AB"/>
    <w:rsid w:val="0077682A"/>
    <w:rsid w:val="00776CDF"/>
    <w:rsid w:val="00776EEA"/>
    <w:rsid w:val="007770BF"/>
    <w:rsid w:val="0077737D"/>
    <w:rsid w:val="00780E5B"/>
    <w:rsid w:val="007822C0"/>
    <w:rsid w:val="0078318A"/>
    <w:rsid w:val="00783221"/>
    <w:rsid w:val="0078394C"/>
    <w:rsid w:val="00785335"/>
    <w:rsid w:val="00785A95"/>
    <w:rsid w:val="00786E41"/>
    <w:rsid w:val="007871BB"/>
    <w:rsid w:val="00787A58"/>
    <w:rsid w:val="007900A1"/>
    <w:rsid w:val="00790658"/>
    <w:rsid w:val="00790A0A"/>
    <w:rsid w:val="00792650"/>
    <w:rsid w:val="007947F9"/>
    <w:rsid w:val="007950CE"/>
    <w:rsid w:val="007964E4"/>
    <w:rsid w:val="00796645"/>
    <w:rsid w:val="00797424"/>
    <w:rsid w:val="007A0D62"/>
    <w:rsid w:val="007A2A3B"/>
    <w:rsid w:val="007A2EF0"/>
    <w:rsid w:val="007A377A"/>
    <w:rsid w:val="007A38BF"/>
    <w:rsid w:val="007A5685"/>
    <w:rsid w:val="007A6C00"/>
    <w:rsid w:val="007A6CDA"/>
    <w:rsid w:val="007B0113"/>
    <w:rsid w:val="007B1093"/>
    <w:rsid w:val="007B18BB"/>
    <w:rsid w:val="007B19C1"/>
    <w:rsid w:val="007B1C90"/>
    <w:rsid w:val="007B2830"/>
    <w:rsid w:val="007B32C6"/>
    <w:rsid w:val="007B4739"/>
    <w:rsid w:val="007B6104"/>
    <w:rsid w:val="007B7829"/>
    <w:rsid w:val="007B7BAC"/>
    <w:rsid w:val="007C0275"/>
    <w:rsid w:val="007C1EA6"/>
    <w:rsid w:val="007C318B"/>
    <w:rsid w:val="007C34DB"/>
    <w:rsid w:val="007C3FF4"/>
    <w:rsid w:val="007C41DE"/>
    <w:rsid w:val="007C42A4"/>
    <w:rsid w:val="007C5B7F"/>
    <w:rsid w:val="007C60D8"/>
    <w:rsid w:val="007C691F"/>
    <w:rsid w:val="007C6EBA"/>
    <w:rsid w:val="007C7301"/>
    <w:rsid w:val="007D09C5"/>
    <w:rsid w:val="007D0B63"/>
    <w:rsid w:val="007D2660"/>
    <w:rsid w:val="007D29E3"/>
    <w:rsid w:val="007D3944"/>
    <w:rsid w:val="007D4395"/>
    <w:rsid w:val="007D4708"/>
    <w:rsid w:val="007D4A58"/>
    <w:rsid w:val="007D536E"/>
    <w:rsid w:val="007D6A51"/>
    <w:rsid w:val="007D6B51"/>
    <w:rsid w:val="007E027A"/>
    <w:rsid w:val="007E05A6"/>
    <w:rsid w:val="007E0C60"/>
    <w:rsid w:val="007E1B69"/>
    <w:rsid w:val="007E2F4F"/>
    <w:rsid w:val="007E4E8A"/>
    <w:rsid w:val="007E4EA7"/>
    <w:rsid w:val="007E5D89"/>
    <w:rsid w:val="007E636B"/>
    <w:rsid w:val="007E6976"/>
    <w:rsid w:val="007E7104"/>
    <w:rsid w:val="007E7220"/>
    <w:rsid w:val="007F00D7"/>
    <w:rsid w:val="007F01F7"/>
    <w:rsid w:val="007F0943"/>
    <w:rsid w:val="007F0D91"/>
    <w:rsid w:val="007F1EF8"/>
    <w:rsid w:val="007F26A6"/>
    <w:rsid w:val="007F307F"/>
    <w:rsid w:val="007F3B4C"/>
    <w:rsid w:val="007F3D54"/>
    <w:rsid w:val="007F4A49"/>
    <w:rsid w:val="007F4F4D"/>
    <w:rsid w:val="007F6955"/>
    <w:rsid w:val="007F730A"/>
    <w:rsid w:val="007F7885"/>
    <w:rsid w:val="007F7EA0"/>
    <w:rsid w:val="007F7F44"/>
    <w:rsid w:val="008002A9"/>
    <w:rsid w:val="0080101F"/>
    <w:rsid w:val="0080128E"/>
    <w:rsid w:val="00801336"/>
    <w:rsid w:val="0080144A"/>
    <w:rsid w:val="0080198F"/>
    <w:rsid w:val="00803098"/>
    <w:rsid w:val="00803388"/>
    <w:rsid w:val="00803932"/>
    <w:rsid w:val="008043CD"/>
    <w:rsid w:val="00805381"/>
    <w:rsid w:val="00805BEE"/>
    <w:rsid w:val="00805F95"/>
    <w:rsid w:val="0080604D"/>
    <w:rsid w:val="008065BF"/>
    <w:rsid w:val="008066D0"/>
    <w:rsid w:val="008068AE"/>
    <w:rsid w:val="00806A07"/>
    <w:rsid w:val="00806CAE"/>
    <w:rsid w:val="00807619"/>
    <w:rsid w:val="008078E4"/>
    <w:rsid w:val="008110CE"/>
    <w:rsid w:val="0081171B"/>
    <w:rsid w:val="008119DB"/>
    <w:rsid w:val="00812002"/>
    <w:rsid w:val="00812995"/>
    <w:rsid w:val="00813011"/>
    <w:rsid w:val="008132DF"/>
    <w:rsid w:val="00814885"/>
    <w:rsid w:val="00814F94"/>
    <w:rsid w:val="00815F32"/>
    <w:rsid w:val="0081737C"/>
    <w:rsid w:val="00822474"/>
    <w:rsid w:val="00822DD6"/>
    <w:rsid w:val="0082349A"/>
    <w:rsid w:val="00823E86"/>
    <w:rsid w:val="00826301"/>
    <w:rsid w:val="0082724D"/>
    <w:rsid w:val="00827B65"/>
    <w:rsid w:val="00830156"/>
    <w:rsid w:val="008301FD"/>
    <w:rsid w:val="00830EB2"/>
    <w:rsid w:val="00831B7E"/>
    <w:rsid w:val="00831C4F"/>
    <w:rsid w:val="00831E43"/>
    <w:rsid w:val="008329B2"/>
    <w:rsid w:val="00833720"/>
    <w:rsid w:val="00833CD6"/>
    <w:rsid w:val="00833DC3"/>
    <w:rsid w:val="00834B6E"/>
    <w:rsid w:val="00836895"/>
    <w:rsid w:val="008376CC"/>
    <w:rsid w:val="0083784F"/>
    <w:rsid w:val="00837E7B"/>
    <w:rsid w:val="0084297A"/>
    <w:rsid w:val="00842EB1"/>
    <w:rsid w:val="008430A2"/>
    <w:rsid w:val="00844179"/>
    <w:rsid w:val="00844692"/>
    <w:rsid w:val="00844A1D"/>
    <w:rsid w:val="00845B1B"/>
    <w:rsid w:val="00845CCF"/>
    <w:rsid w:val="00845F17"/>
    <w:rsid w:val="00846ADC"/>
    <w:rsid w:val="00846E81"/>
    <w:rsid w:val="00846ECD"/>
    <w:rsid w:val="008471F9"/>
    <w:rsid w:val="0084763A"/>
    <w:rsid w:val="00850029"/>
    <w:rsid w:val="00850E88"/>
    <w:rsid w:val="008524E2"/>
    <w:rsid w:val="00852731"/>
    <w:rsid w:val="00852D72"/>
    <w:rsid w:val="0085320A"/>
    <w:rsid w:val="00855957"/>
    <w:rsid w:val="00856069"/>
    <w:rsid w:val="0086050D"/>
    <w:rsid w:val="00861054"/>
    <w:rsid w:val="0086117F"/>
    <w:rsid w:val="0086119C"/>
    <w:rsid w:val="00863652"/>
    <w:rsid w:val="00863667"/>
    <w:rsid w:val="0086401C"/>
    <w:rsid w:val="008641E2"/>
    <w:rsid w:val="00864979"/>
    <w:rsid w:val="00864AA8"/>
    <w:rsid w:val="00865198"/>
    <w:rsid w:val="00866B4C"/>
    <w:rsid w:val="00866EE3"/>
    <w:rsid w:val="0086713F"/>
    <w:rsid w:val="00867F01"/>
    <w:rsid w:val="008708AB"/>
    <w:rsid w:val="008709D6"/>
    <w:rsid w:val="0087158E"/>
    <w:rsid w:val="0087196A"/>
    <w:rsid w:val="008719AF"/>
    <w:rsid w:val="008720F6"/>
    <w:rsid w:val="00872A9C"/>
    <w:rsid w:val="00872C41"/>
    <w:rsid w:val="0087321F"/>
    <w:rsid w:val="0087397E"/>
    <w:rsid w:val="00873E10"/>
    <w:rsid w:val="00875518"/>
    <w:rsid w:val="00876531"/>
    <w:rsid w:val="0087658E"/>
    <w:rsid w:val="008770D9"/>
    <w:rsid w:val="00877201"/>
    <w:rsid w:val="0087732F"/>
    <w:rsid w:val="00877E83"/>
    <w:rsid w:val="00880486"/>
    <w:rsid w:val="008808AB"/>
    <w:rsid w:val="00880F47"/>
    <w:rsid w:val="00881094"/>
    <w:rsid w:val="00882215"/>
    <w:rsid w:val="00882F86"/>
    <w:rsid w:val="00884C7C"/>
    <w:rsid w:val="008856B4"/>
    <w:rsid w:val="00886F41"/>
    <w:rsid w:val="00890C04"/>
    <w:rsid w:val="00890C8A"/>
    <w:rsid w:val="0089123E"/>
    <w:rsid w:val="0089168D"/>
    <w:rsid w:val="00891AA8"/>
    <w:rsid w:val="00892077"/>
    <w:rsid w:val="008922A4"/>
    <w:rsid w:val="00893115"/>
    <w:rsid w:val="0089462C"/>
    <w:rsid w:val="00894835"/>
    <w:rsid w:val="00895668"/>
    <w:rsid w:val="00896955"/>
    <w:rsid w:val="00896DDF"/>
    <w:rsid w:val="00896EBE"/>
    <w:rsid w:val="008975AF"/>
    <w:rsid w:val="00897B24"/>
    <w:rsid w:val="008A03B8"/>
    <w:rsid w:val="008A10A2"/>
    <w:rsid w:val="008A119B"/>
    <w:rsid w:val="008A22DD"/>
    <w:rsid w:val="008A27F4"/>
    <w:rsid w:val="008A385C"/>
    <w:rsid w:val="008A38BA"/>
    <w:rsid w:val="008A3A79"/>
    <w:rsid w:val="008A4A75"/>
    <w:rsid w:val="008A4B7D"/>
    <w:rsid w:val="008A532E"/>
    <w:rsid w:val="008A581E"/>
    <w:rsid w:val="008A5F06"/>
    <w:rsid w:val="008A6A2D"/>
    <w:rsid w:val="008A7DB6"/>
    <w:rsid w:val="008B1400"/>
    <w:rsid w:val="008B18BD"/>
    <w:rsid w:val="008B2450"/>
    <w:rsid w:val="008B2E86"/>
    <w:rsid w:val="008B3426"/>
    <w:rsid w:val="008B3713"/>
    <w:rsid w:val="008B3734"/>
    <w:rsid w:val="008B3949"/>
    <w:rsid w:val="008B44C7"/>
    <w:rsid w:val="008B5860"/>
    <w:rsid w:val="008B5AB8"/>
    <w:rsid w:val="008B627C"/>
    <w:rsid w:val="008B6739"/>
    <w:rsid w:val="008B6E41"/>
    <w:rsid w:val="008B7550"/>
    <w:rsid w:val="008B7581"/>
    <w:rsid w:val="008B7822"/>
    <w:rsid w:val="008C09A1"/>
    <w:rsid w:val="008C1145"/>
    <w:rsid w:val="008C1750"/>
    <w:rsid w:val="008C17E9"/>
    <w:rsid w:val="008C2E44"/>
    <w:rsid w:val="008C2E53"/>
    <w:rsid w:val="008C3154"/>
    <w:rsid w:val="008C31BD"/>
    <w:rsid w:val="008C34F1"/>
    <w:rsid w:val="008C35F8"/>
    <w:rsid w:val="008C5E5F"/>
    <w:rsid w:val="008C6441"/>
    <w:rsid w:val="008C65F9"/>
    <w:rsid w:val="008D0A83"/>
    <w:rsid w:val="008D0E94"/>
    <w:rsid w:val="008D1E9A"/>
    <w:rsid w:val="008D1E9F"/>
    <w:rsid w:val="008D263F"/>
    <w:rsid w:val="008D3ACE"/>
    <w:rsid w:val="008D41CA"/>
    <w:rsid w:val="008D4222"/>
    <w:rsid w:val="008D770D"/>
    <w:rsid w:val="008D7A78"/>
    <w:rsid w:val="008E0702"/>
    <w:rsid w:val="008E13A1"/>
    <w:rsid w:val="008E19BC"/>
    <w:rsid w:val="008E3280"/>
    <w:rsid w:val="008E37A6"/>
    <w:rsid w:val="008E417C"/>
    <w:rsid w:val="008E4B36"/>
    <w:rsid w:val="008E500B"/>
    <w:rsid w:val="008E50DD"/>
    <w:rsid w:val="008E57CA"/>
    <w:rsid w:val="008E58D7"/>
    <w:rsid w:val="008E5965"/>
    <w:rsid w:val="008E61EF"/>
    <w:rsid w:val="008E73DD"/>
    <w:rsid w:val="008E7EB9"/>
    <w:rsid w:val="008F10A2"/>
    <w:rsid w:val="008F18F9"/>
    <w:rsid w:val="008F2F3F"/>
    <w:rsid w:val="008F3581"/>
    <w:rsid w:val="008F44EC"/>
    <w:rsid w:val="008F4FFB"/>
    <w:rsid w:val="008F5C92"/>
    <w:rsid w:val="008F5F06"/>
    <w:rsid w:val="008F661C"/>
    <w:rsid w:val="008F791D"/>
    <w:rsid w:val="008F79FA"/>
    <w:rsid w:val="008F7A93"/>
    <w:rsid w:val="009001CD"/>
    <w:rsid w:val="00901063"/>
    <w:rsid w:val="009013C4"/>
    <w:rsid w:val="00901660"/>
    <w:rsid w:val="00901C42"/>
    <w:rsid w:val="009032A5"/>
    <w:rsid w:val="00903E05"/>
    <w:rsid w:val="00903FA1"/>
    <w:rsid w:val="00904318"/>
    <w:rsid w:val="009054E8"/>
    <w:rsid w:val="009058F7"/>
    <w:rsid w:val="00905F24"/>
    <w:rsid w:val="009064E9"/>
    <w:rsid w:val="00906C38"/>
    <w:rsid w:val="00911913"/>
    <w:rsid w:val="00912902"/>
    <w:rsid w:val="00912CDC"/>
    <w:rsid w:val="00912DDB"/>
    <w:rsid w:val="00913B0A"/>
    <w:rsid w:val="009145DC"/>
    <w:rsid w:val="0091488E"/>
    <w:rsid w:val="009149DF"/>
    <w:rsid w:val="00914EA0"/>
    <w:rsid w:val="00916062"/>
    <w:rsid w:val="0091628B"/>
    <w:rsid w:val="009164C0"/>
    <w:rsid w:val="0091668D"/>
    <w:rsid w:val="009175FC"/>
    <w:rsid w:val="009206A5"/>
    <w:rsid w:val="00920856"/>
    <w:rsid w:val="00921D5B"/>
    <w:rsid w:val="00923086"/>
    <w:rsid w:val="00923E46"/>
    <w:rsid w:val="009241E9"/>
    <w:rsid w:val="009257D4"/>
    <w:rsid w:val="00926034"/>
    <w:rsid w:val="0092689C"/>
    <w:rsid w:val="009271DD"/>
    <w:rsid w:val="009277AF"/>
    <w:rsid w:val="00927FDD"/>
    <w:rsid w:val="0093029C"/>
    <w:rsid w:val="009307A5"/>
    <w:rsid w:val="00930D95"/>
    <w:rsid w:val="009345A2"/>
    <w:rsid w:val="0093468C"/>
    <w:rsid w:val="00936E37"/>
    <w:rsid w:val="009376C4"/>
    <w:rsid w:val="0094084E"/>
    <w:rsid w:val="00940B10"/>
    <w:rsid w:val="00940DF4"/>
    <w:rsid w:val="0094215F"/>
    <w:rsid w:val="0094290A"/>
    <w:rsid w:val="00942966"/>
    <w:rsid w:val="00942986"/>
    <w:rsid w:val="00944C3D"/>
    <w:rsid w:val="00944C43"/>
    <w:rsid w:val="00944DC2"/>
    <w:rsid w:val="00945EE1"/>
    <w:rsid w:val="00946DBF"/>
    <w:rsid w:val="0094745B"/>
    <w:rsid w:val="00950544"/>
    <w:rsid w:val="00951D3A"/>
    <w:rsid w:val="0095224F"/>
    <w:rsid w:val="009538A7"/>
    <w:rsid w:val="009538F6"/>
    <w:rsid w:val="00953DA8"/>
    <w:rsid w:val="0095463C"/>
    <w:rsid w:val="00955E33"/>
    <w:rsid w:val="009561D1"/>
    <w:rsid w:val="00956670"/>
    <w:rsid w:val="00956F21"/>
    <w:rsid w:val="00956F57"/>
    <w:rsid w:val="0095795D"/>
    <w:rsid w:val="009606D8"/>
    <w:rsid w:val="0096155C"/>
    <w:rsid w:val="00962FDC"/>
    <w:rsid w:val="00963213"/>
    <w:rsid w:val="00963B2E"/>
    <w:rsid w:val="00963C6F"/>
    <w:rsid w:val="0096406D"/>
    <w:rsid w:val="00964092"/>
    <w:rsid w:val="00964431"/>
    <w:rsid w:val="009648F0"/>
    <w:rsid w:val="00964DF4"/>
    <w:rsid w:val="00964EB7"/>
    <w:rsid w:val="00965703"/>
    <w:rsid w:val="00965845"/>
    <w:rsid w:val="00966443"/>
    <w:rsid w:val="00966AFD"/>
    <w:rsid w:val="00966B31"/>
    <w:rsid w:val="009674D3"/>
    <w:rsid w:val="009704D1"/>
    <w:rsid w:val="00970563"/>
    <w:rsid w:val="00971B77"/>
    <w:rsid w:val="0097240E"/>
    <w:rsid w:val="00972482"/>
    <w:rsid w:val="00972C0E"/>
    <w:rsid w:val="00972FA8"/>
    <w:rsid w:val="0097337B"/>
    <w:rsid w:val="00973D6D"/>
    <w:rsid w:val="00973FC9"/>
    <w:rsid w:val="00974104"/>
    <w:rsid w:val="009743BF"/>
    <w:rsid w:val="009755E8"/>
    <w:rsid w:val="009756A4"/>
    <w:rsid w:val="00976B79"/>
    <w:rsid w:val="00977AE6"/>
    <w:rsid w:val="00980480"/>
    <w:rsid w:val="00980F78"/>
    <w:rsid w:val="00981943"/>
    <w:rsid w:val="00981E21"/>
    <w:rsid w:val="009837D5"/>
    <w:rsid w:val="009840CF"/>
    <w:rsid w:val="0098558D"/>
    <w:rsid w:val="00985D31"/>
    <w:rsid w:val="00986210"/>
    <w:rsid w:val="00987574"/>
    <w:rsid w:val="009878C8"/>
    <w:rsid w:val="00990008"/>
    <w:rsid w:val="00990188"/>
    <w:rsid w:val="00991179"/>
    <w:rsid w:val="00994D09"/>
    <w:rsid w:val="0099614C"/>
    <w:rsid w:val="00996151"/>
    <w:rsid w:val="009970F1"/>
    <w:rsid w:val="009978C7"/>
    <w:rsid w:val="009A0045"/>
    <w:rsid w:val="009A0346"/>
    <w:rsid w:val="009A12A9"/>
    <w:rsid w:val="009A1AD8"/>
    <w:rsid w:val="009A22B3"/>
    <w:rsid w:val="009A22B6"/>
    <w:rsid w:val="009A2303"/>
    <w:rsid w:val="009A266A"/>
    <w:rsid w:val="009A359E"/>
    <w:rsid w:val="009A3F72"/>
    <w:rsid w:val="009A50FB"/>
    <w:rsid w:val="009A59AC"/>
    <w:rsid w:val="009A59E3"/>
    <w:rsid w:val="009A5B57"/>
    <w:rsid w:val="009A5D40"/>
    <w:rsid w:val="009A6859"/>
    <w:rsid w:val="009A6981"/>
    <w:rsid w:val="009A71DF"/>
    <w:rsid w:val="009A7266"/>
    <w:rsid w:val="009A7AE6"/>
    <w:rsid w:val="009A7D23"/>
    <w:rsid w:val="009B119B"/>
    <w:rsid w:val="009B1882"/>
    <w:rsid w:val="009B1DD0"/>
    <w:rsid w:val="009B221C"/>
    <w:rsid w:val="009B2594"/>
    <w:rsid w:val="009B3FC8"/>
    <w:rsid w:val="009B4E62"/>
    <w:rsid w:val="009B6564"/>
    <w:rsid w:val="009B6EE4"/>
    <w:rsid w:val="009B7F05"/>
    <w:rsid w:val="009B7FC6"/>
    <w:rsid w:val="009C0CC7"/>
    <w:rsid w:val="009C0E9F"/>
    <w:rsid w:val="009C17BB"/>
    <w:rsid w:val="009C188F"/>
    <w:rsid w:val="009C1977"/>
    <w:rsid w:val="009C25F6"/>
    <w:rsid w:val="009C39C2"/>
    <w:rsid w:val="009C4AC2"/>
    <w:rsid w:val="009C4D36"/>
    <w:rsid w:val="009C5A0E"/>
    <w:rsid w:val="009C5ECE"/>
    <w:rsid w:val="009C5ED3"/>
    <w:rsid w:val="009C69B5"/>
    <w:rsid w:val="009C6FBE"/>
    <w:rsid w:val="009D028A"/>
    <w:rsid w:val="009D0BE3"/>
    <w:rsid w:val="009D0D1D"/>
    <w:rsid w:val="009D18F1"/>
    <w:rsid w:val="009D2FB8"/>
    <w:rsid w:val="009D3752"/>
    <w:rsid w:val="009D402E"/>
    <w:rsid w:val="009D425A"/>
    <w:rsid w:val="009D4B51"/>
    <w:rsid w:val="009D57F2"/>
    <w:rsid w:val="009D5A76"/>
    <w:rsid w:val="009D611E"/>
    <w:rsid w:val="009D65A3"/>
    <w:rsid w:val="009E0069"/>
    <w:rsid w:val="009E0956"/>
    <w:rsid w:val="009E10C2"/>
    <w:rsid w:val="009E1D0C"/>
    <w:rsid w:val="009E2273"/>
    <w:rsid w:val="009E25DA"/>
    <w:rsid w:val="009E2FD1"/>
    <w:rsid w:val="009E5994"/>
    <w:rsid w:val="009E5B7D"/>
    <w:rsid w:val="009E5DD4"/>
    <w:rsid w:val="009E5DE4"/>
    <w:rsid w:val="009E63A4"/>
    <w:rsid w:val="009E697A"/>
    <w:rsid w:val="009F0710"/>
    <w:rsid w:val="009F170C"/>
    <w:rsid w:val="009F2383"/>
    <w:rsid w:val="009F2616"/>
    <w:rsid w:val="009F2644"/>
    <w:rsid w:val="009F2CE4"/>
    <w:rsid w:val="009F3677"/>
    <w:rsid w:val="009F43D1"/>
    <w:rsid w:val="009F4FCF"/>
    <w:rsid w:val="009F5116"/>
    <w:rsid w:val="009F61FD"/>
    <w:rsid w:val="009F6D10"/>
    <w:rsid w:val="009F7020"/>
    <w:rsid w:val="009F7059"/>
    <w:rsid w:val="00A0018A"/>
    <w:rsid w:val="00A00AD0"/>
    <w:rsid w:val="00A00FA5"/>
    <w:rsid w:val="00A02262"/>
    <w:rsid w:val="00A027B2"/>
    <w:rsid w:val="00A02CB5"/>
    <w:rsid w:val="00A03136"/>
    <w:rsid w:val="00A031F0"/>
    <w:rsid w:val="00A0499A"/>
    <w:rsid w:val="00A051E0"/>
    <w:rsid w:val="00A05D12"/>
    <w:rsid w:val="00A05DBA"/>
    <w:rsid w:val="00A075AD"/>
    <w:rsid w:val="00A07FF1"/>
    <w:rsid w:val="00A10230"/>
    <w:rsid w:val="00A10772"/>
    <w:rsid w:val="00A10C72"/>
    <w:rsid w:val="00A119E8"/>
    <w:rsid w:val="00A1602E"/>
    <w:rsid w:val="00A16321"/>
    <w:rsid w:val="00A169F0"/>
    <w:rsid w:val="00A17F44"/>
    <w:rsid w:val="00A204C0"/>
    <w:rsid w:val="00A21613"/>
    <w:rsid w:val="00A2229F"/>
    <w:rsid w:val="00A228E4"/>
    <w:rsid w:val="00A23212"/>
    <w:rsid w:val="00A234BD"/>
    <w:rsid w:val="00A23F03"/>
    <w:rsid w:val="00A257DB"/>
    <w:rsid w:val="00A25C5E"/>
    <w:rsid w:val="00A26CAD"/>
    <w:rsid w:val="00A27B8A"/>
    <w:rsid w:val="00A27C78"/>
    <w:rsid w:val="00A27E22"/>
    <w:rsid w:val="00A32120"/>
    <w:rsid w:val="00A32222"/>
    <w:rsid w:val="00A32906"/>
    <w:rsid w:val="00A32A76"/>
    <w:rsid w:val="00A32EEA"/>
    <w:rsid w:val="00A33041"/>
    <w:rsid w:val="00A3326E"/>
    <w:rsid w:val="00A33F47"/>
    <w:rsid w:val="00A3435C"/>
    <w:rsid w:val="00A347BB"/>
    <w:rsid w:val="00A3594E"/>
    <w:rsid w:val="00A35F1D"/>
    <w:rsid w:val="00A36397"/>
    <w:rsid w:val="00A37772"/>
    <w:rsid w:val="00A37A0E"/>
    <w:rsid w:val="00A4061F"/>
    <w:rsid w:val="00A41923"/>
    <w:rsid w:val="00A421A6"/>
    <w:rsid w:val="00A43B3A"/>
    <w:rsid w:val="00A44CCD"/>
    <w:rsid w:val="00A45025"/>
    <w:rsid w:val="00A45096"/>
    <w:rsid w:val="00A46679"/>
    <w:rsid w:val="00A50194"/>
    <w:rsid w:val="00A50C75"/>
    <w:rsid w:val="00A51730"/>
    <w:rsid w:val="00A51CE0"/>
    <w:rsid w:val="00A52709"/>
    <w:rsid w:val="00A52A04"/>
    <w:rsid w:val="00A536CA"/>
    <w:rsid w:val="00A53BF7"/>
    <w:rsid w:val="00A53ED6"/>
    <w:rsid w:val="00A53EEE"/>
    <w:rsid w:val="00A542C8"/>
    <w:rsid w:val="00A5477A"/>
    <w:rsid w:val="00A54943"/>
    <w:rsid w:val="00A55A16"/>
    <w:rsid w:val="00A55A62"/>
    <w:rsid w:val="00A56046"/>
    <w:rsid w:val="00A57500"/>
    <w:rsid w:val="00A60AC9"/>
    <w:rsid w:val="00A614A4"/>
    <w:rsid w:val="00A618CF"/>
    <w:rsid w:val="00A62362"/>
    <w:rsid w:val="00A63EEC"/>
    <w:rsid w:val="00A6437F"/>
    <w:rsid w:val="00A6442C"/>
    <w:rsid w:val="00A64A5E"/>
    <w:rsid w:val="00A64C17"/>
    <w:rsid w:val="00A64F52"/>
    <w:rsid w:val="00A65E39"/>
    <w:rsid w:val="00A666DE"/>
    <w:rsid w:val="00A66FE7"/>
    <w:rsid w:val="00A67498"/>
    <w:rsid w:val="00A7069D"/>
    <w:rsid w:val="00A70814"/>
    <w:rsid w:val="00A70AC1"/>
    <w:rsid w:val="00A70EAB"/>
    <w:rsid w:val="00A70F4D"/>
    <w:rsid w:val="00A716EC"/>
    <w:rsid w:val="00A71926"/>
    <w:rsid w:val="00A71C2C"/>
    <w:rsid w:val="00A723FB"/>
    <w:rsid w:val="00A72D88"/>
    <w:rsid w:val="00A745DF"/>
    <w:rsid w:val="00A7482D"/>
    <w:rsid w:val="00A750B9"/>
    <w:rsid w:val="00A7661F"/>
    <w:rsid w:val="00A776BC"/>
    <w:rsid w:val="00A77B1B"/>
    <w:rsid w:val="00A803F3"/>
    <w:rsid w:val="00A825A1"/>
    <w:rsid w:val="00A82D90"/>
    <w:rsid w:val="00A84DA6"/>
    <w:rsid w:val="00A853EA"/>
    <w:rsid w:val="00A86F71"/>
    <w:rsid w:val="00A87FFA"/>
    <w:rsid w:val="00A90848"/>
    <w:rsid w:val="00A929BE"/>
    <w:rsid w:val="00A92AB4"/>
    <w:rsid w:val="00A92F0A"/>
    <w:rsid w:val="00A93B74"/>
    <w:rsid w:val="00A94096"/>
    <w:rsid w:val="00A9442B"/>
    <w:rsid w:val="00A94D51"/>
    <w:rsid w:val="00A951FD"/>
    <w:rsid w:val="00A95B8A"/>
    <w:rsid w:val="00A95BC6"/>
    <w:rsid w:val="00A96624"/>
    <w:rsid w:val="00A9733E"/>
    <w:rsid w:val="00A976CE"/>
    <w:rsid w:val="00AA136E"/>
    <w:rsid w:val="00AA272F"/>
    <w:rsid w:val="00AA2951"/>
    <w:rsid w:val="00AA4907"/>
    <w:rsid w:val="00AA6BF7"/>
    <w:rsid w:val="00AA73A2"/>
    <w:rsid w:val="00AA7925"/>
    <w:rsid w:val="00AB042D"/>
    <w:rsid w:val="00AB095C"/>
    <w:rsid w:val="00AB0B8F"/>
    <w:rsid w:val="00AB0CAF"/>
    <w:rsid w:val="00AB0D1D"/>
    <w:rsid w:val="00AB15AA"/>
    <w:rsid w:val="00AB1D3D"/>
    <w:rsid w:val="00AB2548"/>
    <w:rsid w:val="00AB2C13"/>
    <w:rsid w:val="00AB2C40"/>
    <w:rsid w:val="00AB3B1E"/>
    <w:rsid w:val="00AB4A61"/>
    <w:rsid w:val="00AB4C92"/>
    <w:rsid w:val="00AB62B5"/>
    <w:rsid w:val="00AB6331"/>
    <w:rsid w:val="00AB6ACC"/>
    <w:rsid w:val="00AB7B68"/>
    <w:rsid w:val="00AC0D08"/>
    <w:rsid w:val="00AC182F"/>
    <w:rsid w:val="00AC249B"/>
    <w:rsid w:val="00AC2ABC"/>
    <w:rsid w:val="00AC2BCC"/>
    <w:rsid w:val="00AC325E"/>
    <w:rsid w:val="00AC3C7D"/>
    <w:rsid w:val="00AC478F"/>
    <w:rsid w:val="00AC61F9"/>
    <w:rsid w:val="00AC64D6"/>
    <w:rsid w:val="00AC64D7"/>
    <w:rsid w:val="00AC64DC"/>
    <w:rsid w:val="00AC728B"/>
    <w:rsid w:val="00AC731C"/>
    <w:rsid w:val="00AC76B7"/>
    <w:rsid w:val="00AC7E7F"/>
    <w:rsid w:val="00AD09CF"/>
    <w:rsid w:val="00AD0AAC"/>
    <w:rsid w:val="00AD0D23"/>
    <w:rsid w:val="00AD0F76"/>
    <w:rsid w:val="00AD18C9"/>
    <w:rsid w:val="00AD21F9"/>
    <w:rsid w:val="00AD30CD"/>
    <w:rsid w:val="00AD37B1"/>
    <w:rsid w:val="00AD54B1"/>
    <w:rsid w:val="00AD557C"/>
    <w:rsid w:val="00AD57ED"/>
    <w:rsid w:val="00AD5BBB"/>
    <w:rsid w:val="00AD6D2B"/>
    <w:rsid w:val="00AD750D"/>
    <w:rsid w:val="00AD760F"/>
    <w:rsid w:val="00AE0045"/>
    <w:rsid w:val="00AE0ED9"/>
    <w:rsid w:val="00AE1358"/>
    <w:rsid w:val="00AE1579"/>
    <w:rsid w:val="00AE1CA8"/>
    <w:rsid w:val="00AE219A"/>
    <w:rsid w:val="00AE24AD"/>
    <w:rsid w:val="00AE3B38"/>
    <w:rsid w:val="00AE5877"/>
    <w:rsid w:val="00AE5B3B"/>
    <w:rsid w:val="00AE6076"/>
    <w:rsid w:val="00AE6324"/>
    <w:rsid w:val="00AE6B27"/>
    <w:rsid w:val="00AE7647"/>
    <w:rsid w:val="00AE7EBD"/>
    <w:rsid w:val="00AF0013"/>
    <w:rsid w:val="00AF018E"/>
    <w:rsid w:val="00AF14BA"/>
    <w:rsid w:val="00AF199C"/>
    <w:rsid w:val="00AF20C7"/>
    <w:rsid w:val="00AF2FB9"/>
    <w:rsid w:val="00AF361A"/>
    <w:rsid w:val="00AF3D2E"/>
    <w:rsid w:val="00AF3E02"/>
    <w:rsid w:val="00AF3FC5"/>
    <w:rsid w:val="00AF51A5"/>
    <w:rsid w:val="00AF5D8E"/>
    <w:rsid w:val="00B003A0"/>
    <w:rsid w:val="00B00697"/>
    <w:rsid w:val="00B012BB"/>
    <w:rsid w:val="00B0175C"/>
    <w:rsid w:val="00B02F68"/>
    <w:rsid w:val="00B033F4"/>
    <w:rsid w:val="00B03B00"/>
    <w:rsid w:val="00B04262"/>
    <w:rsid w:val="00B049DC"/>
    <w:rsid w:val="00B04FAB"/>
    <w:rsid w:val="00B05E28"/>
    <w:rsid w:val="00B05E7C"/>
    <w:rsid w:val="00B0654D"/>
    <w:rsid w:val="00B066DD"/>
    <w:rsid w:val="00B074C9"/>
    <w:rsid w:val="00B07883"/>
    <w:rsid w:val="00B0793F"/>
    <w:rsid w:val="00B079FA"/>
    <w:rsid w:val="00B07F67"/>
    <w:rsid w:val="00B10259"/>
    <w:rsid w:val="00B112C6"/>
    <w:rsid w:val="00B11838"/>
    <w:rsid w:val="00B11C0E"/>
    <w:rsid w:val="00B12205"/>
    <w:rsid w:val="00B133AD"/>
    <w:rsid w:val="00B1367D"/>
    <w:rsid w:val="00B1438E"/>
    <w:rsid w:val="00B14D6D"/>
    <w:rsid w:val="00B1556C"/>
    <w:rsid w:val="00B157AF"/>
    <w:rsid w:val="00B162E9"/>
    <w:rsid w:val="00B17473"/>
    <w:rsid w:val="00B17745"/>
    <w:rsid w:val="00B20838"/>
    <w:rsid w:val="00B22D91"/>
    <w:rsid w:val="00B2355C"/>
    <w:rsid w:val="00B23DF9"/>
    <w:rsid w:val="00B246F7"/>
    <w:rsid w:val="00B25A0D"/>
    <w:rsid w:val="00B26185"/>
    <w:rsid w:val="00B26688"/>
    <w:rsid w:val="00B27617"/>
    <w:rsid w:val="00B278AB"/>
    <w:rsid w:val="00B27A3F"/>
    <w:rsid w:val="00B313B1"/>
    <w:rsid w:val="00B31785"/>
    <w:rsid w:val="00B317C2"/>
    <w:rsid w:val="00B31EE2"/>
    <w:rsid w:val="00B3262F"/>
    <w:rsid w:val="00B32E82"/>
    <w:rsid w:val="00B3364F"/>
    <w:rsid w:val="00B34897"/>
    <w:rsid w:val="00B41E39"/>
    <w:rsid w:val="00B41E6C"/>
    <w:rsid w:val="00B42E75"/>
    <w:rsid w:val="00B444FB"/>
    <w:rsid w:val="00B44A71"/>
    <w:rsid w:val="00B44CAB"/>
    <w:rsid w:val="00B44CE7"/>
    <w:rsid w:val="00B45185"/>
    <w:rsid w:val="00B45248"/>
    <w:rsid w:val="00B45439"/>
    <w:rsid w:val="00B465EA"/>
    <w:rsid w:val="00B470E1"/>
    <w:rsid w:val="00B4755D"/>
    <w:rsid w:val="00B4774C"/>
    <w:rsid w:val="00B47868"/>
    <w:rsid w:val="00B47BF4"/>
    <w:rsid w:val="00B47D9D"/>
    <w:rsid w:val="00B50ACE"/>
    <w:rsid w:val="00B51887"/>
    <w:rsid w:val="00B51CCC"/>
    <w:rsid w:val="00B51E3D"/>
    <w:rsid w:val="00B51EE8"/>
    <w:rsid w:val="00B53968"/>
    <w:rsid w:val="00B53AC2"/>
    <w:rsid w:val="00B5432E"/>
    <w:rsid w:val="00B543F1"/>
    <w:rsid w:val="00B54F4A"/>
    <w:rsid w:val="00B5639E"/>
    <w:rsid w:val="00B565BB"/>
    <w:rsid w:val="00B56AE9"/>
    <w:rsid w:val="00B56DFE"/>
    <w:rsid w:val="00B56EAC"/>
    <w:rsid w:val="00B574B7"/>
    <w:rsid w:val="00B61137"/>
    <w:rsid w:val="00B6165E"/>
    <w:rsid w:val="00B6173A"/>
    <w:rsid w:val="00B6235C"/>
    <w:rsid w:val="00B62383"/>
    <w:rsid w:val="00B631AA"/>
    <w:rsid w:val="00B63766"/>
    <w:rsid w:val="00B63A84"/>
    <w:rsid w:val="00B64186"/>
    <w:rsid w:val="00B64EF2"/>
    <w:rsid w:val="00B64F28"/>
    <w:rsid w:val="00B65041"/>
    <w:rsid w:val="00B667A3"/>
    <w:rsid w:val="00B66C77"/>
    <w:rsid w:val="00B6705B"/>
    <w:rsid w:val="00B6706E"/>
    <w:rsid w:val="00B67CBF"/>
    <w:rsid w:val="00B67D2C"/>
    <w:rsid w:val="00B70399"/>
    <w:rsid w:val="00B70638"/>
    <w:rsid w:val="00B708C2"/>
    <w:rsid w:val="00B70F99"/>
    <w:rsid w:val="00B721F1"/>
    <w:rsid w:val="00B72205"/>
    <w:rsid w:val="00B7301D"/>
    <w:rsid w:val="00B73510"/>
    <w:rsid w:val="00B74B4F"/>
    <w:rsid w:val="00B74C85"/>
    <w:rsid w:val="00B751A5"/>
    <w:rsid w:val="00B7624D"/>
    <w:rsid w:val="00B773AF"/>
    <w:rsid w:val="00B8184A"/>
    <w:rsid w:val="00B82710"/>
    <w:rsid w:val="00B82927"/>
    <w:rsid w:val="00B84234"/>
    <w:rsid w:val="00B84836"/>
    <w:rsid w:val="00B85294"/>
    <w:rsid w:val="00B86485"/>
    <w:rsid w:val="00B86892"/>
    <w:rsid w:val="00B868F6"/>
    <w:rsid w:val="00B86B1B"/>
    <w:rsid w:val="00B86BA8"/>
    <w:rsid w:val="00B87E11"/>
    <w:rsid w:val="00B90752"/>
    <w:rsid w:val="00B91B0B"/>
    <w:rsid w:val="00B93A22"/>
    <w:rsid w:val="00B93C52"/>
    <w:rsid w:val="00B94213"/>
    <w:rsid w:val="00B94329"/>
    <w:rsid w:val="00B9452B"/>
    <w:rsid w:val="00B95003"/>
    <w:rsid w:val="00B95676"/>
    <w:rsid w:val="00B96D6A"/>
    <w:rsid w:val="00B977A7"/>
    <w:rsid w:val="00B97B9D"/>
    <w:rsid w:val="00B97E88"/>
    <w:rsid w:val="00BA007C"/>
    <w:rsid w:val="00BA0662"/>
    <w:rsid w:val="00BA06EB"/>
    <w:rsid w:val="00BA0D8A"/>
    <w:rsid w:val="00BA1383"/>
    <w:rsid w:val="00BA1CBC"/>
    <w:rsid w:val="00BA1D96"/>
    <w:rsid w:val="00BA2BD4"/>
    <w:rsid w:val="00BA2F9A"/>
    <w:rsid w:val="00BA3274"/>
    <w:rsid w:val="00BA51C9"/>
    <w:rsid w:val="00BA5671"/>
    <w:rsid w:val="00BA601F"/>
    <w:rsid w:val="00BA6ABC"/>
    <w:rsid w:val="00BA6D6A"/>
    <w:rsid w:val="00BB0328"/>
    <w:rsid w:val="00BB11E7"/>
    <w:rsid w:val="00BB411A"/>
    <w:rsid w:val="00BB4B9D"/>
    <w:rsid w:val="00BB4C7F"/>
    <w:rsid w:val="00BB4DD2"/>
    <w:rsid w:val="00BB53B6"/>
    <w:rsid w:val="00BB56B4"/>
    <w:rsid w:val="00BB59B9"/>
    <w:rsid w:val="00BB5D72"/>
    <w:rsid w:val="00BB61EF"/>
    <w:rsid w:val="00BB64A3"/>
    <w:rsid w:val="00BC130B"/>
    <w:rsid w:val="00BC1D53"/>
    <w:rsid w:val="00BC2C71"/>
    <w:rsid w:val="00BC32E3"/>
    <w:rsid w:val="00BC3487"/>
    <w:rsid w:val="00BC3D90"/>
    <w:rsid w:val="00BC5524"/>
    <w:rsid w:val="00BC672E"/>
    <w:rsid w:val="00BC7D05"/>
    <w:rsid w:val="00BD0E34"/>
    <w:rsid w:val="00BD1990"/>
    <w:rsid w:val="00BD1F28"/>
    <w:rsid w:val="00BD1F82"/>
    <w:rsid w:val="00BD2075"/>
    <w:rsid w:val="00BD2A4C"/>
    <w:rsid w:val="00BD2C5F"/>
    <w:rsid w:val="00BD2EB6"/>
    <w:rsid w:val="00BD33DC"/>
    <w:rsid w:val="00BD3B16"/>
    <w:rsid w:val="00BD5112"/>
    <w:rsid w:val="00BD51B7"/>
    <w:rsid w:val="00BD5A8C"/>
    <w:rsid w:val="00BD6407"/>
    <w:rsid w:val="00BD659F"/>
    <w:rsid w:val="00BD6610"/>
    <w:rsid w:val="00BE0072"/>
    <w:rsid w:val="00BE037B"/>
    <w:rsid w:val="00BE07FD"/>
    <w:rsid w:val="00BE1796"/>
    <w:rsid w:val="00BE2AB6"/>
    <w:rsid w:val="00BE2DC3"/>
    <w:rsid w:val="00BE2EC0"/>
    <w:rsid w:val="00BE37AA"/>
    <w:rsid w:val="00BE3B96"/>
    <w:rsid w:val="00BE400E"/>
    <w:rsid w:val="00BE5557"/>
    <w:rsid w:val="00BE5F9B"/>
    <w:rsid w:val="00BE6BCD"/>
    <w:rsid w:val="00BE7067"/>
    <w:rsid w:val="00BE7AE4"/>
    <w:rsid w:val="00BF0FAC"/>
    <w:rsid w:val="00BF1696"/>
    <w:rsid w:val="00BF170B"/>
    <w:rsid w:val="00BF1902"/>
    <w:rsid w:val="00BF2C4E"/>
    <w:rsid w:val="00BF3774"/>
    <w:rsid w:val="00BF4927"/>
    <w:rsid w:val="00BF4DC3"/>
    <w:rsid w:val="00BF526C"/>
    <w:rsid w:val="00BF58FE"/>
    <w:rsid w:val="00BF6677"/>
    <w:rsid w:val="00BF7EAA"/>
    <w:rsid w:val="00C0078B"/>
    <w:rsid w:val="00C00D7E"/>
    <w:rsid w:val="00C0273B"/>
    <w:rsid w:val="00C02E1A"/>
    <w:rsid w:val="00C02F08"/>
    <w:rsid w:val="00C03AE7"/>
    <w:rsid w:val="00C05EA0"/>
    <w:rsid w:val="00C07F75"/>
    <w:rsid w:val="00C1041F"/>
    <w:rsid w:val="00C10813"/>
    <w:rsid w:val="00C10881"/>
    <w:rsid w:val="00C10DC2"/>
    <w:rsid w:val="00C116B9"/>
    <w:rsid w:val="00C11C2B"/>
    <w:rsid w:val="00C12A0D"/>
    <w:rsid w:val="00C13844"/>
    <w:rsid w:val="00C13AD0"/>
    <w:rsid w:val="00C13B2B"/>
    <w:rsid w:val="00C13F6C"/>
    <w:rsid w:val="00C14020"/>
    <w:rsid w:val="00C14029"/>
    <w:rsid w:val="00C140EE"/>
    <w:rsid w:val="00C142D5"/>
    <w:rsid w:val="00C14E2F"/>
    <w:rsid w:val="00C16315"/>
    <w:rsid w:val="00C165CC"/>
    <w:rsid w:val="00C16793"/>
    <w:rsid w:val="00C16B20"/>
    <w:rsid w:val="00C16C5B"/>
    <w:rsid w:val="00C172B9"/>
    <w:rsid w:val="00C17395"/>
    <w:rsid w:val="00C20E16"/>
    <w:rsid w:val="00C22432"/>
    <w:rsid w:val="00C229D4"/>
    <w:rsid w:val="00C22DD7"/>
    <w:rsid w:val="00C23479"/>
    <w:rsid w:val="00C245EA"/>
    <w:rsid w:val="00C24765"/>
    <w:rsid w:val="00C24D55"/>
    <w:rsid w:val="00C25466"/>
    <w:rsid w:val="00C25A02"/>
    <w:rsid w:val="00C27662"/>
    <w:rsid w:val="00C30C46"/>
    <w:rsid w:val="00C31549"/>
    <w:rsid w:val="00C3264D"/>
    <w:rsid w:val="00C33431"/>
    <w:rsid w:val="00C33EDD"/>
    <w:rsid w:val="00C34B00"/>
    <w:rsid w:val="00C35770"/>
    <w:rsid w:val="00C3613B"/>
    <w:rsid w:val="00C3625D"/>
    <w:rsid w:val="00C3640E"/>
    <w:rsid w:val="00C36CF4"/>
    <w:rsid w:val="00C4085E"/>
    <w:rsid w:val="00C4286A"/>
    <w:rsid w:val="00C42CA5"/>
    <w:rsid w:val="00C42D10"/>
    <w:rsid w:val="00C42D22"/>
    <w:rsid w:val="00C43046"/>
    <w:rsid w:val="00C454E1"/>
    <w:rsid w:val="00C4557A"/>
    <w:rsid w:val="00C47459"/>
    <w:rsid w:val="00C47AC6"/>
    <w:rsid w:val="00C47ADC"/>
    <w:rsid w:val="00C5045E"/>
    <w:rsid w:val="00C505F5"/>
    <w:rsid w:val="00C50897"/>
    <w:rsid w:val="00C50CF2"/>
    <w:rsid w:val="00C5138D"/>
    <w:rsid w:val="00C51579"/>
    <w:rsid w:val="00C51794"/>
    <w:rsid w:val="00C51BD6"/>
    <w:rsid w:val="00C540AA"/>
    <w:rsid w:val="00C54A89"/>
    <w:rsid w:val="00C55BF3"/>
    <w:rsid w:val="00C56164"/>
    <w:rsid w:val="00C57267"/>
    <w:rsid w:val="00C57809"/>
    <w:rsid w:val="00C602CD"/>
    <w:rsid w:val="00C617CF"/>
    <w:rsid w:val="00C61C7D"/>
    <w:rsid w:val="00C628E1"/>
    <w:rsid w:val="00C63C23"/>
    <w:rsid w:val="00C63C75"/>
    <w:rsid w:val="00C63D2B"/>
    <w:rsid w:val="00C63F8E"/>
    <w:rsid w:val="00C644C9"/>
    <w:rsid w:val="00C64589"/>
    <w:rsid w:val="00C649CA"/>
    <w:rsid w:val="00C6553B"/>
    <w:rsid w:val="00C666C3"/>
    <w:rsid w:val="00C676DB"/>
    <w:rsid w:val="00C70313"/>
    <w:rsid w:val="00C712BB"/>
    <w:rsid w:val="00C71746"/>
    <w:rsid w:val="00C726A4"/>
    <w:rsid w:val="00C7288B"/>
    <w:rsid w:val="00C72B79"/>
    <w:rsid w:val="00C72FC9"/>
    <w:rsid w:val="00C73335"/>
    <w:rsid w:val="00C73403"/>
    <w:rsid w:val="00C736F0"/>
    <w:rsid w:val="00C745B5"/>
    <w:rsid w:val="00C74D9B"/>
    <w:rsid w:val="00C74DDB"/>
    <w:rsid w:val="00C76418"/>
    <w:rsid w:val="00C77982"/>
    <w:rsid w:val="00C77ABE"/>
    <w:rsid w:val="00C77C25"/>
    <w:rsid w:val="00C80C4B"/>
    <w:rsid w:val="00C80C58"/>
    <w:rsid w:val="00C812A5"/>
    <w:rsid w:val="00C8142D"/>
    <w:rsid w:val="00C815B0"/>
    <w:rsid w:val="00C81A8A"/>
    <w:rsid w:val="00C82C76"/>
    <w:rsid w:val="00C83A14"/>
    <w:rsid w:val="00C83C41"/>
    <w:rsid w:val="00C8536B"/>
    <w:rsid w:val="00C8667B"/>
    <w:rsid w:val="00C870C7"/>
    <w:rsid w:val="00C874E5"/>
    <w:rsid w:val="00C87B2A"/>
    <w:rsid w:val="00C87F52"/>
    <w:rsid w:val="00C9076B"/>
    <w:rsid w:val="00C91568"/>
    <w:rsid w:val="00C91C2B"/>
    <w:rsid w:val="00C92AAC"/>
    <w:rsid w:val="00C92AC0"/>
    <w:rsid w:val="00C930BB"/>
    <w:rsid w:val="00C931CC"/>
    <w:rsid w:val="00C95854"/>
    <w:rsid w:val="00C95CF0"/>
    <w:rsid w:val="00C97C05"/>
    <w:rsid w:val="00CA1CA8"/>
    <w:rsid w:val="00CA2DFE"/>
    <w:rsid w:val="00CA5FA9"/>
    <w:rsid w:val="00CA6CA1"/>
    <w:rsid w:val="00CA7020"/>
    <w:rsid w:val="00CA7734"/>
    <w:rsid w:val="00CA7FDD"/>
    <w:rsid w:val="00CB116F"/>
    <w:rsid w:val="00CB124A"/>
    <w:rsid w:val="00CB1614"/>
    <w:rsid w:val="00CB49AE"/>
    <w:rsid w:val="00CB5104"/>
    <w:rsid w:val="00CB5EDE"/>
    <w:rsid w:val="00CB66E2"/>
    <w:rsid w:val="00CB68EA"/>
    <w:rsid w:val="00CC065C"/>
    <w:rsid w:val="00CC0E2D"/>
    <w:rsid w:val="00CC1C87"/>
    <w:rsid w:val="00CC25C9"/>
    <w:rsid w:val="00CC2AB0"/>
    <w:rsid w:val="00CC374F"/>
    <w:rsid w:val="00CC3B7C"/>
    <w:rsid w:val="00CC4BA3"/>
    <w:rsid w:val="00CC56F5"/>
    <w:rsid w:val="00CC5892"/>
    <w:rsid w:val="00CC6E24"/>
    <w:rsid w:val="00CC6ED0"/>
    <w:rsid w:val="00CC7A8C"/>
    <w:rsid w:val="00CD05F0"/>
    <w:rsid w:val="00CD1A8A"/>
    <w:rsid w:val="00CD20FB"/>
    <w:rsid w:val="00CD217E"/>
    <w:rsid w:val="00CD3A45"/>
    <w:rsid w:val="00CD3C4F"/>
    <w:rsid w:val="00CD45D3"/>
    <w:rsid w:val="00CD590E"/>
    <w:rsid w:val="00CD5EB4"/>
    <w:rsid w:val="00CD5EF3"/>
    <w:rsid w:val="00CD6069"/>
    <w:rsid w:val="00CD669A"/>
    <w:rsid w:val="00CD6925"/>
    <w:rsid w:val="00CD7E80"/>
    <w:rsid w:val="00CE1F13"/>
    <w:rsid w:val="00CE2346"/>
    <w:rsid w:val="00CE3482"/>
    <w:rsid w:val="00CE3555"/>
    <w:rsid w:val="00CE372C"/>
    <w:rsid w:val="00CE3937"/>
    <w:rsid w:val="00CE53AD"/>
    <w:rsid w:val="00CE5ABF"/>
    <w:rsid w:val="00CE7C17"/>
    <w:rsid w:val="00CE7CB5"/>
    <w:rsid w:val="00CE7E67"/>
    <w:rsid w:val="00CF0722"/>
    <w:rsid w:val="00CF0F67"/>
    <w:rsid w:val="00CF1152"/>
    <w:rsid w:val="00CF1CDE"/>
    <w:rsid w:val="00CF251B"/>
    <w:rsid w:val="00CF27A5"/>
    <w:rsid w:val="00CF29ED"/>
    <w:rsid w:val="00CF3451"/>
    <w:rsid w:val="00CF403F"/>
    <w:rsid w:val="00CF4A42"/>
    <w:rsid w:val="00CF4BD3"/>
    <w:rsid w:val="00CF4CC3"/>
    <w:rsid w:val="00CF4D26"/>
    <w:rsid w:val="00CF6150"/>
    <w:rsid w:val="00D00728"/>
    <w:rsid w:val="00D011FB"/>
    <w:rsid w:val="00D0131B"/>
    <w:rsid w:val="00D01443"/>
    <w:rsid w:val="00D0195D"/>
    <w:rsid w:val="00D01D2F"/>
    <w:rsid w:val="00D02F68"/>
    <w:rsid w:val="00D038F7"/>
    <w:rsid w:val="00D0523B"/>
    <w:rsid w:val="00D056F1"/>
    <w:rsid w:val="00D05C7C"/>
    <w:rsid w:val="00D06297"/>
    <w:rsid w:val="00D1005B"/>
    <w:rsid w:val="00D10796"/>
    <w:rsid w:val="00D11241"/>
    <w:rsid w:val="00D1139E"/>
    <w:rsid w:val="00D1141D"/>
    <w:rsid w:val="00D11C21"/>
    <w:rsid w:val="00D11F39"/>
    <w:rsid w:val="00D129EA"/>
    <w:rsid w:val="00D12A25"/>
    <w:rsid w:val="00D12CCF"/>
    <w:rsid w:val="00D13425"/>
    <w:rsid w:val="00D13A0B"/>
    <w:rsid w:val="00D1439A"/>
    <w:rsid w:val="00D149A8"/>
    <w:rsid w:val="00D14B3E"/>
    <w:rsid w:val="00D14E7E"/>
    <w:rsid w:val="00D161D4"/>
    <w:rsid w:val="00D17102"/>
    <w:rsid w:val="00D1771E"/>
    <w:rsid w:val="00D17F1D"/>
    <w:rsid w:val="00D205E1"/>
    <w:rsid w:val="00D20F3F"/>
    <w:rsid w:val="00D213D5"/>
    <w:rsid w:val="00D21C10"/>
    <w:rsid w:val="00D22300"/>
    <w:rsid w:val="00D2234F"/>
    <w:rsid w:val="00D22861"/>
    <w:rsid w:val="00D229C1"/>
    <w:rsid w:val="00D239B3"/>
    <w:rsid w:val="00D23F2F"/>
    <w:rsid w:val="00D23FAD"/>
    <w:rsid w:val="00D2405E"/>
    <w:rsid w:val="00D24448"/>
    <w:rsid w:val="00D24777"/>
    <w:rsid w:val="00D248B0"/>
    <w:rsid w:val="00D24DCC"/>
    <w:rsid w:val="00D25B22"/>
    <w:rsid w:val="00D25BC4"/>
    <w:rsid w:val="00D26771"/>
    <w:rsid w:val="00D26A29"/>
    <w:rsid w:val="00D26D9F"/>
    <w:rsid w:val="00D3029A"/>
    <w:rsid w:val="00D30B35"/>
    <w:rsid w:val="00D31131"/>
    <w:rsid w:val="00D31D94"/>
    <w:rsid w:val="00D32CAD"/>
    <w:rsid w:val="00D334D5"/>
    <w:rsid w:val="00D33BEA"/>
    <w:rsid w:val="00D33C60"/>
    <w:rsid w:val="00D34D63"/>
    <w:rsid w:val="00D35268"/>
    <w:rsid w:val="00D35556"/>
    <w:rsid w:val="00D35ED1"/>
    <w:rsid w:val="00D36278"/>
    <w:rsid w:val="00D36894"/>
    <w:rsid w:val="00D37BB1"/>
    <w:rsid w:val="00D37F5E"/>
    <w:rsid w:val="00D40349"/>
    <w:rsid w:val="00D40596"/>
    <w:rsid w:val="00D415F3"/>
    <w:rsid w:val="00D41FE0"/>
    <w:rsid w:val="00D4288A"/>
    <w:rsid w:val="00D439A4"/>
    <w:rsid w:val="00D44F51"/>
    <w:rsid w:val="00D455EB"/>
    <w:rsid w:val="00D45949"/>
    <w:rsid w:val="00D45BB6"/>
    <w:rsid w:val="00D45E66"/>
    <w:rsid w:val="00D46388"/>
    <w:rsid w:val="00D4717A"/>
    <w:rsid w:val="00D47368"/>
    <w:rsid w:val="00D512C9"/>
    <w:rsid w:val="00D51517"/>
    <w:rsid w:val="00D5158D"/>
    <w:rsid w:val="00D517E3"/>
    <w:rsid w:val="00D51B3A"/>
    <w:rsid w:val="00D52CA0"/>
    <w:rsid w:val="00D52D36"/>
    <w:rsid w:val="00D54251"/>
    <w:rsid w:val="00D54403"/>
    <w:rsid w:val="00D54516"/>
    <w:rsid w:val="00D54FC8"/>
    <w:rsid w:val="00D5561C"/>
    <w:rsid w:val="00D5581F"/>
    <w:rsid w:val="00D55FBD"/>
    <w:rsid w:val="00D56E54"/>
    <w:rsid w:val="00D5796C"/>
    <w:rsid w:val="00D57F20"/>
    <w:rsid w:val="00D60393"/>
    <w:rsid w:val="00D61A75"/>
    <w:rsid w:val="00D6225D"/>
    <w:rsid w:val="00D62BC3"/>
    <w:rsid w:val="00D62BFF"/>
    <w:rsid w:val="00D63FBF"/>
    <w:rsid w:val="00D64889"/>
    <w:rsid w:val="00D64AE3"/>
    <w:rsid w:val="00D65584"/>
    <w:rsid w:val="00D65C75"/>
    <w:rsid w:val="00D66AB5"/>
    <w:rsid w:val="00D66C61"/>
    <w:rsid w:val="00D66E09"/>
    <w:rsid w:val="00D67AC9"/>
    <w:rsid w:val="00D67BEA"/>
    <w:rsid w:val="00D702C1"/>
    <w:rsid w:val="00D710E8"/>
    <w:rsid w:val="00D714A1"/>
    <w:rsid w:val="00D71B2B"/>
    <w:rsid w:val="00D724E5"/>
    <w:rsid w:val="00D7403A"/>
    <w:rsid w:val="00D74ADE"/>
    <w:rsid w:val="00D76816"/>
    <w:rsid w:val="00D7703E"/>
    <w:rsid w:val="00D77146"/>
    <w:rsid w:val="00D80F84"/>
    <w:rsid w:val="00D81B0B"/>
    <w:rsid w:val="00D83DCA"/>
    <w:rsid w:val="00D83EE8"/>
    <w:rsid w:val="00D84869"/>
    <w:rsid w:val="00D849BF"/>
    <w:rsid w:val="00D85311"/>
    <w:rsid w:val="00D867F6"/>
    <w:rsid w:val="00D86CB5"/>
    <w:rsid w:val="00D87EB7"/>
    <w:rsid w:val="00D9012E"/>
    <w:rsid w:val="00D922F6"/>
    <w:rsid w:val="00D9296D"/>
    <w:rsid w:val="00D935C5"/>
    <w:rsid w:val="00D937A6"/>
    <w:rsid w:val="00D9431A"/>
    <w:rsid w:val="00D943A4"/>
    <w:rsid w:val="00D95DA5"/>
    <w:rsid w:val="00D9697E"/>
    <w:rsid w:val="00D96BBA"/>
    <w:rsid w:val="00DA03E3"/>
    <w:rsid w:val="00DA0BD2"/>
    <w:rsid w:val="00DA1794"/>
    <w:rsid w:val="00DA1AC2"/>
    <w:rsid w:val="00DA1F54"/>
    <w:rsid w:val="00DA316F"/>
    <w:rsid w:val="00DA3A71"/>
    <w:rsid w:val="00DA45AF"/>
    <w:rsid w:val="00DA505E"/>
    <w:rsid w:val="00DA528E"/>
    <w:rsid w:val="00DA6130"/>
    <w:rsid w:val="00DB1B75"/>
    <w:rsid w:val="00DB222E"/>
    <w:rsid w:val="00DB26FB"/>
    <w:rsid w:val="00DB39BB"/>
    <w:rsid w:val="00DB3A94"/>
    <w:rsid w:val="00DB4A1E"/>
    <w:rsid w:val="00DB573F"/>
    <w:rsid w:val="00DB5F75"/>
    <w:rsid w:val="00DB6336"/>
    <w:rsid w:val="00DB6C59"/>
    <w:rsid w:val="00DB774D"/>
    <w:rsid w:val="00DB7A45"/>
    <w:rsid w:val="00DC13CC"/>
    <w:rsid w:val="00DC27F8"/>
    <w:rsid w:val="00DC3121"/>
    <w:rsid w:val="00DC33BA"/>
    <w:rsid w:val="00DC41BC"/>
    <w:rsid w:val="00DC46E9"/>
    <w:rsid w:val="00DC4C68"/>
    <w:rsid w:val="00DC5C5C"/>
    <w:rsid w:val="00DC5D97"/>
    <w:rsid w:val="00DC5FF3"/>
    <w:rsid w:val="00DC63C3"/>
    <w:rsid w:val="00DC6CDC"/>
    <w:rsid w:val="00DC7633"/>
    <w:rsid w:val="00DC77C4"/>
    <w:rsid w:val="00DD06E3"/>
    <w:rsid w:val="00DD101B"/>
    <w:rsid w:val="00DD1503"/>
    <w:rsid w:val="00DD2028"/>
    <w:rsid w:val="00DD20AC"/>
    <w:rsid w:val="00DD23AC"/>
    <w:rsid w:val="00DD2646"/>
    <w:rsid w:val="00DD2CAC"/>
    <w:rsid w:val="00DD38F9"/>
    <w:rsid w:val="00DD439A"/>
    <w:rsid w:val="00DD483D"/>
    <w:rsid w:val="00DD4E9A"/>
    <w:rsid w:val="00DD5DC9"/>
    <w:rsid w:val="00DD665C"/>
    <w:rsid w:val="00DD7184"/>
    <w:rsid w:val="00DE0CF5"/>
    <w:rsid w:val="00DE0D84"/>
    <w:rsid w:val="00DE1225"/>
    <w:rsid w:val="00DE2693"/>
    <w:rsid w:val="00DE32C1"/>
    <w:rsid w:val="00DE33EB"/>
    <w:rsid w:val="00DE407D"/>
    <w:rsid w:val="00DE56AF"/>
    <w:rsid w:val="00DE5A33"/>
    <w:rsid w:val="00DE65DE"/>
    <w:rsid w:val="00DE75C7"/>
    <w:rsid w:val="00DF0138"/>
    <w:rsid w:val="00DF1233"/>
    <w:rsid w:val="00DF124B"/>
    <w:rsid w:val="00DF1474"/>
    <w:rsid w:val="00DF1B7C"/>
    <w:rsid w:val="00DF2086"/>
    <w:rsid w:val="00DF2AE7"/>
    <w:rsid w:val="00DF3141"/>
    <w:rsid w:val="00DF367D"/>
    <w:rsid w:val="00DF3756"/>
    <w:rsid w:val="00DF497D"/>
    <w:rsid w:val="00DF58F2"/>
    <w:rsid w:val="00DF5D17"/>
    <w:rsid w:val="00DF67C2"/>
    <w:rsid w:val="00DF7F45"/>
    <w:rsid w:val="00E002EA"/>
    <w:rsid w:val="00E00453"/>
    <w:rsid w:val="00E007AD"/>
    <w:rsid w:val="00E007C2"/>
    <w:rsid w:val="00E013B0"/>
    <w:rsid w:val="00E01C61"/>
    <w:rsid w:val="00E021D0"/>
    <w:rsid w:val="00E023F4"/>
    <w:rsid w:val="00E02D82"/>
    <w:rsid w:val="00E03A32"/>
    <w:rsid w:val="00E03CE1"/>
    <w:rsid w:val="00E03DC3"/>
    <w:rsid w:val="00E0415D"/>
    <w:rsid w:val="00E05514"/>
    <w:rsid w:val="00E0566A"/>
    <w:rsid w:val="00E0698A"/>
    <w:rsid w:val="00E070DB"/>
    <w:rsid w:val="00E071F2"/>
    <w:rsid w:val="00E07B39"/>
    <w:rsid w:val="00E10322"/>
    <w:rsid w:val="00E10738"/>
    <w:rsid w:val="00E1155D"/>
    <w:rsid w:val="00E12FCA"/>
    <w:rsid w:val="00E13351"/>
    <w:rsid w:val="00E14268"/>
    <w:rsid w:val="00E143F4"/>
    <w:rsid w:val="00E15104"/>
    <w:rsid w:val="00E167A2"/>
    <w:rsid w:val="00E16C00"/>
    <w:rsid w:val="00E17BD1"/>
    <w:rsid w:val="00E20C29"/>
    <w:rsid w:val="00E21C74"/>
    <w:rsid w:val="00E226AD"/>
    <w:rsid w:val="00E229ED"/>
    <w:rsid w:val="00E2483B"/>
    <w:rsid w:val="00E24DF6"/>
    <w:rsid w:val="00E25360"/>
    <w:rsid w:val="00E260F2"/>
    <w:rsid w:val="00E2640D"/>
    <w:rsid w:val="00E26C3D"/>
    <w:rsid w:val="00E26F23"/>
    <w:rsid w:val="00E26F64"/>
    <w:rsid w:val="00E27659"/>
    <w:rsid w:val="00E30376"/>
    <w:rsid w:val="00E30466"/>
    <w:rsid w:val="00E30AC9"/>
    <w:rsid w:val="00E31E1A"/>
    <w:rsid w:val="00E32546"/>
    <w:rsid w:val="00E32CC9"/>
    <w:rsid w:val="00E3347B"/>
    <w:rsid w:val="00E33496"/>
    <w:rsid w:val="00E33C6E"/>
    <w:rsid w:val="00E34A6A"/>
    <w:rsid w:val="00E34D54"/>
    <w:rsid w:val="00E35E08"/>
    <w:rsid w:val="00E35F32"/>
    <w:rsid w:val="00E3762E"/>
    <w:rsid w:val="00E377B5"/>
    <w:rsid w:val="00E40694"/>
    <w:rsid w:val="00E4144A"/>
    <w:rsid w:val="00E416E8"/>
    <w:rsid w:val="00E42337"/>
    <w:rsid w:val="00E427C2"/>
    <w:rsid w:val="00E437B9"/>
    <w:rsid w:val="00E437BC"/>
    <w:rsid w:val="00E43967"/>
    <w:rsid w:val="00E44068"/>
    <w:rsid w:val="00E445FE"/>
    <w:rsid w:val="00E4612D"/>
    <w:rsid w:val="00E46BDE"/>
    <w:rsid w:val="00E46F4C"/>
    <w:rsid w:val="00E47059"/>
    <w:rsid w:val="00E47FE7"/>
    <w:rsid w:val="00E515D0"/>
    <w:rsid w:val="00E52667"/>
    <w:rsid w:val="00E55250"/>
    <w:rsid w:val="00E5561D"/>
    <w:rsid w:val="00E55A86"/>
    <w:rsid w:val="00E55AA1"/>
    <w:rsid w:val="00E5667C"/>
    <w:rsid w:val="00E57F9B"/>
    <w:rsid w:val="00E60A41"/>
    <w:rsid w:val="00E61D80"/>
    <w:rsid w:val="00E62028"/>
    <w:rsid w:val="00E62C53"/>
    <w:rsid w:val="00E62D4A"/>
    <w:rsid w:val="00E640B6"/>
    <w:rsid w:val="00E64CF1"/>
    <w:rsid w:val="00E6590A"/>
    <w:rsid w:val="00E6594E"/>
    <w:rsid w:val="00E66B8F"/>
    <w:rsid w:val="00E672D7"/>
    <w:rsid w:val="00E6738A"/>
    <w:rsid w:val="00E6744F"/>
    <w:rsid w:val="00E6754E"/>
    <w:rsid w:val="00E67BCB"/>
    <w:rsid w:val="00E700DB"/>
    <w:rsid w:val="00E70180"/>
    <w:rsid w:val="00E704FF"/>
    <w:rsid w:val="00E71406"/>
    <w:rsid w:val="00E729D1"/>
    <w:rsid w:val="00E73A50"/>
    <w:rsid w:val="00E7491F"/>
    <w:rsid w:val="00E74CFF"/>
    <w:rsid w:val="00E74FEA"/>
    <w:rsid w:val="00E76820"/>
    <w:rsid w:val="00E76E1C"/>
    <w:rsid w:val="00E770D8"/>
    <w:rsid w:val="00E801CD"/>
    <w:rsid w:val="00E813CA"/>
    <w:rsid w:val="00E81750"/>
    <w:rsid w:val="00E81C4A"/>
    <w:rsid w:val="00E821D8"/>
    <w:rsid w:val="00E82979"/>
    <w:rsid w:val="00E832C7"/>
    <w:rsid w:val="00E834BD"/>
    <w:rsid w:val="00E83A38"/>
    <w:rsid w:val="00E83B02"/>
    <w:rsid w:val="00E847F9"/>
    <w:rsid w:val="00E85630"/>
    <w:rsid w:val="00E85C6D"/>
    <w:rsid w:val="00E85E48"/>
    <w:rsid w:val="00E86427"/>
    <w:rsid w:val="00E87030"/>
    <w:rsid w:val="00E87203"/>
    <w:rsid w:val="00E8765A"/>
    <w:rsid w:val="00E87A32"/>
    <w:rsid w:val="00E87CC7"/>
    <w:rsid w:val="00E90B95"/>
    <w:rsid w:val="00E918A9"/>
    <w:rsid w:val="00E91B5E"/>
    <w:rsid w:val="00E91FAF"/>
    <w:rsid w:val="00E91FC4"/>
    <w:rsid w:val="00E92A04"/>
    <w:rsid w:val="00E945E8"/>
    <w:rsid w:val="00E94AE4"/>
    <w:rsid w:val="00E95219"/>
    <w:rsid w:val="00E96918"/>
    <w:rsid w:val="00E96C5C"/>
    <w:rsid w:val="00E97F8F"/>
    <w:rsid w:val="00EA0F77"/>
    <w:rsid w:val="00EA110A"/>
    <w:rsid w:val="00EA2965"/>
    <w:rsid w:val="00EA38E5"/>
    <w:rsid w:val="00EA43EF"/>
    <w:rsid w:val="00EA4502"/>
    <w:rsid w:val="00EA4D8A"/>
    <w:rsid w:val="00EA52BE"/>
    <w:rsid w:val="00EA5430"/>
    <w:rsid w:val="00EA5E56"/>
    <w:rsid w:val="00EA6405"/>
    <w:rsid w:val="00EA6A7A"/>
    <w:rsid w:val="00EA726B"/>
    <w:rsid w:val="00EA77A4"/>
    <w:rsid w:val="00EA7ED5"/>
    <w:rsid w:val="00EB443F"/>
    <w:rsid w:val="00EB4F93"/>
    <w:rsid w:val="00EB538D"/>
    <w:rsid w:val="00EB5AA1"/>
    <w:rsid w:val="00EB6F34"/>
    <w:rsid w:val="00EC1D84"/>
    <w:rsid w:val="00EC26A9"/>
    <w:rsid w:val="00EC2BCA"/>
    <w:rsid w:val="00EC2CFE"/>
    <w:rsid w:val="00EC39D5"/>
    <w:rsid w:val="00EC3A3C"/>
    <w:rsid w:val="00EC445E"/>
    <w:rsid w:val="00EC46AE"/>
    <w:rsid w:val="00EC4EF6"/>
    <w:rsid w:val="00EC5270"/>
    <w:rsid w:val="00EC62C2"/>
    <w:rsid w:val="00EC632F"/>
    <w:rsid w:val="00EC709E"/>
    <w:rsid w:val="00EC78AE"/>
    <w:rsid w:val="00EC7A6E"/>
    <w:rsid w:val="00ED0CAA"/>
    <w:rsid w:val="00ED1C00"/>
    <w:rsid w:val="00ED2224"/>
    <w:rsid w:val="00ED24EC"/>
    <w:rsid w:val="00ED28CB"/>
    <w:rsid w:val="00ED4429"/>
    <w:rsid w:val="00ED4DE5"/>
    <w:rsid w:val="00ED5D70"/>
    <w:rsid w:val="00ED7151"/>
    <w:rsid w:val="00ED7175"/>
    <w:rsid w:val="00ED784D"/>
    <w:rsid w:val="00EE00AE"/>
    <w:rsid w:val="00EE0950"/>
    <w:rsid w:val="00EE0B31"/>
    <w:rsid w:val="00EE16A2"/>
    <w:rsid w:val="00EE1790"/>
    <w:rsid w:val="00EE1B47"/>
    <w:rsid w:val="00EE275A"/>
    <w:rsid w:val="00EE3D1B"/>
    <w:rsid w:val="00EE43F3"/>
    <w:rsid w:val="00EE47E6"/>
    <w:rsid w:val="00EE538D"/>
    <w:rsid w:val="00EE5A00"/>
    <w:rsid w:val="00EE5C46"/>
    <w:rsid w:val="00EE6E3D"/>
    <w:rsid w:val="00EE6F43"/>
    <w:rsid w:val="00EE70D6"/>
    <w:rsid w:val="00EF1FFF"/>
    <w:rsid w:val="00EF238A"/>
    <w:rsid w:val="00EF2E75"/>
    <w:rsid w:val="00EF2EB0"/>
    <w:rsid w:val="00EF3544"/>
    <w:rsid w:val="00EF478D"/>
    <w:rsid w:val="00EF4863"/>
    <w:rsid w:val="00EF4B1A"/>
    <w:rsid w:val="00EF4C0C"/>
    <w:rsid w:val="00EF5374"/>
    <w:rsid w:val="00EF6201"/>
    <w:rsid w:val="00EF6799"/>
    <w:rsid w:val="00EF69F4"/>
    <w:rsid w:val="00F00BE9"/>
    <w:rsid w:val="00F00F21"/>
    <w:rsid w:val="00F01313"/>
    <w:rsid w:val="00F01740"/>
    <w:rsid w:val="00F0195A"/>
    <w:rsid w:val="00F0458B"/>
    <w:rsid w:val="00F05011"/>
    <w:rsid w:val="00F053AF"/>
    <w:rsid w:val="00F056BF"/>
    <w:rsid w:val="00F05AE4"/>
    <w:rsid w:val="00F06376"/>
    <w:rsid w:val="00F06562"/>
    <w:rsid w:val="00F06BFC"/>
    <w:rsid w:val="00F07187"/>
    <w:rsid w:val="00F10305"/>
    <w:rsid w:val="00F10421"/>
    <w:rsid w:val="00F11316"/>
    <w:rsid w:val="00F118DF"/>
    <w:rsid w:val="00F127CF"/>
    <w:rsid w:val="00F14079"/>
    <w:rsid w:val="00F15E2D"/>
    <w:rsid w:val="00F160C9"/>
    <w:rsid w:val="00F16435"/>
    <w:rsid w:val="00F1743A"/>
    <w:rsid w:val="00F1750B"/>
    <w:rsid w:val="00F177A6"/>
    <w:rsid w:val="00F1789F"/>
    <w:rsid w:val="00F211E3"/>
    <w:rsid w:val="00F225FC"/>
    <w:rsid w:val="00F242A6"/>
    <w:rsid w:val="00F24572"/>
    <w:rsid w:val="00F249C0"/>
    <w:rsid w:val="00F25042"/>
    <w:rsid w:val="00F27259"/>
    <w:rsid w:val="00F30882"/>
    <w:rsid w:val="00F30C2C"/>
    <w:rsid w:val="00F31345"/>
    <w:rsid w:val="00F319FA"/>
    <w:rsid w:val="00F31C5A"/>
    <w:rsid w:val="00F31EF9"/>
    <w:rsid w:val="00F32265"/>
    <w:rsid w:val="00F32562"/>
    <w:rsid w:val="00F3453D"/>
    <w:rsid w:val="00F36297"/>
    <w:rsid w:val="00F365B7"/>
    <w:rsid w:val="00F36709"/>
    <w:rsid w:val="00F40384"/>
    <w:rsid w:val="00F419E9"/>
    <w:rsid w:val="00F42E61"/>
    <w:rsid w:val="00F442B7"/>
    <w:rsid w:val="00F45281"/>
    <w:rsid w:val="00F45D21"/>
    <w:rsid w:val="00F45DCB"/>
    <w:rsid w:val="00F46952"/>
    <w:rsid w:val="00F46CD1"/>
    <w:rsid w:val="00F46D43"/>
    <w:rsid w:val="00F502C1"/>
    <w:rsid w:val="00F50DC9"/>
    <w:rsid w:val="00F512CD"/>
    <w:rsid w:val="00F52183"/>
    <w:rsid w:val="00F5223D"/>
    <w:rsid w:val="00F523EE"/>
    <w:rsid w:val="00F52877"/>
    <w:rsid w:val="00F53B8A"/>
    <w:rsid w:val="00F54012"/>
    <w:rsid w:val="00F54F4C"/>
    <w:rsid w:val="00F5523D"/>
    <w:rsid w:val="00F55748"/>
    <w:rsid w:val="00F55B62"/>
    <w:rsid w:val="00F575A1"/>
    <w:rsid w:val="00F57B41"/>
    <w:rsid w:val="00F57C7E"/>
    <w:rsid w:val="00F614A9"/>
    <w:rsid w:val="00F615AC"/>
    <w:rsid w:val="00F61622"/>
    <w:rsid w:val="00F616E4"/>
    <w:rsid w:val="00F61999"/>
    <w:rsid w:val="00F624F2"/>
    <w:rsid w:val="00F62C4D"/>
    <w:rsid w:val="00F6463D"/>
    <w:rsid w:val="00F64CCF"/>
    <w:rsid w:val="00F64D3F"/>
    <w:rsid w:val="00F65192"/>
    <w:rsid w:val="00F65CAC"/>
    <w:rsid w:val="00F65E31"/>
    <w:rsid w:val="00F66E05"/>
    <w:rsid w:val="00F67642"/>
    <w:rsid w:val="00F707E4"/>
    <w:rsid w:val="00F70AA0"/>
    <w:rsid w:val="00F70AF0"/>
    <w:rsid w:val="00F70FD0"/>
    <w:rsid w:val="00F71669"/>
    <w:rsid w:val="00F71F41"/>
    <w:rsid w:val="00F72406"/>
    <w:rsid w:val="00F72504"/>
    <w:rsid w:val="00F72DB1"/>
    <w:rsid w:val="00F73299"/>
    <w:rsid w:val="00F73558"/>
    <w:rsid w:val="00F742F2"/>
    <w:rsid w:val="00F748C8"/>
    <w:rsid w:val="00F749F8"/>
    <w:rsid w:val="00F77301"/>
    <w:rsid w:val="00F77445"/>
    <w:rsid w:val="00F77470"/>
    <w:rsid w:val="00F775B1"/>
    <w:rsid w:val="00F802B0"/>
    <w:rsid w:val="00F80F88"/>
    <w:rsid w:val="00F81922"/>
    <w:rsid w:val="00F83016"/>
    <w:rsid w:val="00F836C1"/>
    <w:rsid w:val="00F83DBA"/>
    <w:rsid w:val="00F83ED3"/>
    <w:rsid w:val="00F843E3"/>
    <w:rsid w:val="00F8474C"/>
    <w:rsid w:val="00F84E3B"/>
    <w:rsid w:val="00F85138"/>
    <w:rsid w:val="00F8535A"/>
    <w:rsid w:val="00F86264"/>
    <w:rsid w:val="00F867E6"/>
    <w:rsid w:val="00F86EFF"/>
    <w:rsid w:val="00F87133"/>
    <w:rsid w:val="00F877E2"/>
    <w:rsid w:val="00F90B61"/>
    <w:rsid w:val="00F915F2"/>
    <w:rsid w:val="00F91DFB"/>
    <w:rsid w:val="00F926F2"/>
    <w:rsid w:val="00F92FA1"/>
    <w:rsid w:val="00F93536"/>
    <w:rsid w:val="00F94421"/>
    <w:rsid w:val="00F9448D"/>
    <w:rsid w:val="00F945CC"/>
    <w:rsid w:val="00F94940"/>
    <w:rsid w:val="00F94B5A"/>
    <w:rsid w:val="00F94DC7"/>
    <w:rsid w:val="00F9511F"/>
    <w:rsid w:val="00F95A7B"/>
    <w:rsid w:val="00F95DB5"/>
    <w:rsid w:val="00F95FD3"/>
    <w:rsid w:val="00F9680E"/>
    <w:rsid w:val="00F96D2C"/>
    <w:rsid w:val="00F97641"/>
    <w:rsid w:val="00FA0550"/>
    <w:rsid w:val="00FA0BA9"/>
    <w:rsid w:val="00FA17A8"/>
    <w:rsid w:val="00FA26D4"/>
    <w:rsid w:val="00FA2A50"/>
    <w:rsid w:val="00FA2A74"/>
    <w:rsid w:val="00FA2DBE"/>
    <w:rsid w:val="00FA3953"/>
    <w:rsid w:val="00FA3ACE"/>
    <w:rsid w:val="00FA4298"/>
    <w:rsid w:val="00FA5954"/>
    <w:rsid w:val="00FA5C53"/>
    <w:rsid w:val="00FA5E68"/>
    <w:rsid w:val="00FA60C1"/>
    <w:rsid w:val="00FA6588"/>
    <w:rsid w:val="00FA667F"/>
    <w:rsid w:val="00FA6872"/>
    <w:rsid w:val="00FA7AAC"/>
    <w:rsid w:val="00FA7CB5"/>
    <w:rsid w:val="00FB0B5A"/>
    <w:rsid w:val="00FB1995"/>
    <w:rsid w:val="00FB2B1F"/>
    <w:rsid w:val="00FB41EE"/>
    <w:rsid w:val="00FB654E"/>
    <w:rsid w:val="00FB6A23"/>
    <w:rsid w:val="00FB7237"/>
    <w:rsid w:val="00FC00F0"/>
    <w:rsid w:val="00FC0E80"/>
    <w:rsid w:val="00FC11D6"/>
    <w:rsid w:val="00FC178C"/>
    <w:rsid w:val="00FC1879"/>
    <w:rsid w:val="00FC231A"/>
    <w:rsid w:val="00FC2986"/>
    <w:rsid w:val="00FC45A3"/>
    <w:rsid w:val="00FC5343"/>
    <w:rsid w:val="00FC5389"/>
    <w:rsid w:val="00FC6890"/>
    <w:rsid w:val="00FC6B0E"/>
    <w:rsid w:val="00FD017D"/>
    <w:rsid w:val="00FD1B76"/>
    <w:rsid w:val="00FD1BB0"/>
    <w:rsid w:val="00FD2677"/>
    <w:rsid w:val="00FD3936"/>
    <w:rsid w:val="00FD414E"/>
    <w:rsid w:val="00FD4C93"/>
    <w:rsid w:val="00FD5C7D"/>
    <w:rsid w:val="00FD6423"/>
    <w:rsid w:val="00FD706D"/>
    <w:rsid w:val="00FD758B"/>
    <w:rsid w:val="00FE01D6"/>
    <w:rsid w:val="00FE080A"/>
    <w:rsid w:val="00FE122B"/>
    <w:rsid w:val="00FE1448"/>
    <w:rsid w:val="00FE2391"/>
    <w:rsid w:val="00FE2BAE"/>
    <w:rsid w:val="00FE3F75"/>
    <w:rsid w:val="00FE46B6"/>
    <w:rsid w:val="00FE4A57"/>
    <w:rsid w:val="00FE5F41"/>
    <w:rsid w:val="00FE6779"/>
    <w:rsid w:val="00FE7550"/>
    <w:rsid w:val="00FE7AFE"/>
    <w:rsid w:val="00FF099E"/>
    <w:rsid w:val="00FF1664"/>
    <w:rsid w:val="00FF200B"/>
    <w:rsid w:val="00FF2522"/>
    <w:rsid w:val="00FF2846"/>
    <w:rsid w:val="00FF30C2"/>
    <w:rsid w:val="00FF33C8"/>
    <w:rsid w:val="00FF564A"/>
    <w:rsid w:val="00FF5CFD"/>
    <w:rsid w:val="00FF5E2C"/>
    <w:rsid w:val="00FF71F9"/>
    <w:rsid w:val="00FF7725"/>
    <w:rsid w:val="0113217F"/>
    <w:rsid w:val="01447CF6"/>
    <w:rsid w:val="01484F3F"/>
    <w:rsid w:val="01620C7D"/>
    <w:rsid w:val="01625261"/>
    <w:rsid w:val="019B054D"/>
    <w:rsid w:val="01D71758"/>
    <w:rsid w:val="01DB0523"/>
    <w:rsid w:val="0220401F"/>
    <w:rsid w:val="022B1E4F"/>
    <w:rsid w:val="023677EB"/>
    <w:rsid w:val="025B306F"/>
    <w:rsid w:val="026912D0"/>
    <w:rsid w:val="02936485"/>
    <w:rsid w:val="02BD67B1"/>
    <w:rsid w:val="02BE2ED0"/>
    <w:rsid w:val="02C7639D"/>
    <w:rsid w:val="02D32B05"/>
    <w:rsid w:val="02D9090E"/>
    <w:rsid w:val="02F745E2"/>
    <w:rsid w:val="030F31DF"/>
    <w:rsid w:val="03151B9E"/>
    <w:rsid w:val="0317303F"/>
    <w:rsid w:val="031E1852"/>
    <w:rsid w:val="03355711"/>
    <w:rsid w:val="035763F7"/>
    <w:rsid w:val="03646992"/>
    <w:rsid w:val="03893964"/>
    <w:rsid w:val="038C2650"/>
    <w:rsid w:val="04362842"/>
    <w:rsid w:val="044E7598"/>
    <w:rsid w:val="045C1050"/>
    <w:rsid w:val="047555B8"/>
    <w:rsid w:val="04FC3E6F"/>
    <w:rsid w:val="0503272D"/>
    <w:rsid w:val="052520E2"/>
    <w:rsid w:val="052D791D"/>
    <w:rsid w:val="054359D5"/>
    <w:rsid w:val="05616E3F"/>
    <w:rsid w:val="057D21C7"/>
    <w:rsid w:val="059D7385"/>
    <w:rsid w:val="05AD5868"/>
    <w:rsid w:val="05B5665C"/>
    <w:rsid w:val="05BF2D80"/>
    <w:rsid w:val="05E625F9"/>
    <w:rsid w:val="05EC43D9"/>
    <w:rsid w:val="06120A3B"/>
    <w:rsid w:val="06283242"/>
    <w:rsid w:val="06852701"/>
    <w:rsid w:val="06881949"/>
    <w:rsid w:val="06D95C1B"/>
    <w:rsid w:val="06EC1B1D"/>
    <w:rsid w:val="06FA5E37"/>
    <w:rsid w:val="0712616E"/>
    <w:rsid w:val="07170F82"/>
    <w:rsid w:val="07BB5882"/>
    <w:rsid w:val="07BE56A9"/>
    <w:rsid w:val="08294B99"/>
    <w:rsid w:val="083E76C5"/>
    <w:rsid w:val="08477AB4"/>
    <w:rsid w:val="084B1120"/>
    <w:rsid w:val="085A0DE0"/>
    <w:rsid w:val="08673D0F"/>
    <w:rsid w:val="087F695B"/>
    <w:rsid w:val="08932345"/>
    <w:rsid w:val="089F3066"/>
    <w:rsid w:val="08C00A0A"/>
    <w:rsid w:val="08C22F77"/>
    <w:rsid w:val="08C90EA4"/>
    <w:rsid w:val="08DE2E25"/>
    <w:rsid w:val="08F33A73"/>
    <w:rsid w:val="08FF5C3B"/>
    <w:rsid w:val="0914498C"/>
    <w:rsid w:val="09577B3D"/>
    <w:rsid w:val="09600B1E"/>
    <w:rsid w:val="097A3839"/>
    <w:rsid w:val="097D5E3B"/>
    <w:rsid w:val="09E87D61"/>
    <w:rsid w:val="0A0C0135"/>
    <w:rsid w:val="0A702C09"/>
    <w:rsid w:val="0A70728F"/>
    <w:rsid w:val="0AEE5D31"/>
    <w:rsid w:val="0B11619A"/>
    <w:rsid w:val="0B3602D3"/>
    <w:rsid w:val="0B3D2E71"/>
    <w:rsid w:val="0B7D0CB6"/>
    <w:rsid w:val="0B847060"/>
    <w:rsid w:val="0B9A5AF9"/>
    <w:rsid w:val="0BF11F44"/>
    <w:rsid w:val="0BFC665F"/>
    <w:rsid w:val="0C477438"/>
    <w:rsid w:val="0C7F6DF3"/>
    <w:rsid w:val="0C97369E"/>
    <w:rsid w:val="0C9A39B2"/>
    <w:rsid w:val="0CF4133E"/>
    <w:rsid w:val="0D22318D"/>
    <w:rsid w:val="0D42213A"/>
    <w:rsid w:val="0D653876"/>
    <w:rsid w:val="0D8278C5"/>
    <w:rsid w:val="0D95703C"/>
    <w:rsid w:val="0DA145A9"/>
    <w:rsid w:val="0DB65FC4"/>
    <w:rsid w:val="0DC73E72"/>
    <w:rsid w:val="0DD353CD"/>
    <w:rsid w:val="0E043537"/>
    <w:rsid w:val="0E460359"/>
    <w:rsid w:val="0E4C1B93"/>
    <w:rsid w:val="0E5A1297"/>
    <w:rsid w:val="0E5F7BD8"/>
    <w:rsid w:val="0E700142"/>
    <w:rsid w:val="0E7C4AB7"/>
    <w:rsid w:val="0E7D77FF"/>
    <w:rsid w:val="0F05619E"/>
    <w:rsid w:val="0F0F7012"/>
    <w:rsid w:val="0F433E0B"/>
    <w:rsid w:val="0F8070C9"/>
    <w:rsid w:val="0FD26787"/>
    <w:rsid w:val="10111A69"/>
    <w:rsid w:val="106C65C2"/>
    <w:rsid w:val="1084773F"/>
    <w:rsid w:val="1094401F"/>
    <w:rsid w:val="10B87B9D"/>
    <w:rsid w:val="11A5126C"/>
    <w:rsid w:val="11A779C2"/>
    <w:rsid w:val="11DD305E"/>
    <w:rsid w:val="11E11731"/>
    <w:rsid w:val="11F55104"/>
    <w:rsid w:val="1211049C"/>
    <w:rsid w:val="12141E53"/>
    <w:rsid w:val="121B017D"/>
    <w:rsid w:val="1220708D"/>
    <w:rsid w:val="127F0C89"/>
    <w:rsid w:val="128913A5"/>
    <w:rsid w:val="128C1ADD"/>
    <w:rsid w:val="12A95574"/>
    <w:rsid w:val="13315A1F"/>
    <w:rsid w:val="13683E19"/>
    <w:rsid w:val="138127F1"/>
    <w:rsid w:val="13AD2EE1"/>
    <w:rsid w:val="13BD03EC"/>
    <w:rsid w:val="14054E9F"/>
    <w:rsid w:val="141C3D20"/>
    <w:rsid w:val="14306A9F"/>
    <w:rsid w:val="1432388C"/>
    <w:rsid w:val="14642505"/>
    <w:rsid w:val="147157A9"/>
    <w:rsid w:val="14721A0F"/>
    <w:rsid w:val="14737F3E"/>
    <w:rsid w:val="147B6002"/>
    <w:rsid w:val="149839A7"/>
    <w:rsid w:val="14DB3E1A"/>
    <w:rsid w:val="14EA10C9"/>
    <w:rsid w:val="150437C4"/>
    <w:rsid w:val="15260BAB"/>
    <w:rsid w:val="153E3BE6"/>
    <w:rsid w:val="154F3229"/>
    <w:rsid w:val="155D62E5"/>
    <w:rsid w:val="155E6B26"/>
    <w:rsid w:val="158F0D35"/>
    <w:rsid w:val="15B04506"/>
    <w:rsid w:val="15DA1CDD"/>
    <w:rsid w:val="16284AAE"/>
    <w:rsid w:val="1641042D"/>
    <w:rsid w:val="16C443A9"/>
    <w:rsid w:val="16DE27E3"/>
    <w:rsid w:val="16FA202D"/>
    <w:rsid w:val="17592622"/>
    <w:rsid w:val="17691B0B"/>
    <w:rsid w:val="17E159AF"/>
    <w:rsid w:val="17F52CC3"/>
    <w:rsid w:val="17F63D61"/>
    <w:rsid w:val="18091EF4"/>
    <w:rsid w:val="18130A3F"/>
    <w:rsid w:val="18C60F11"/>
    <w:rsid w:val="18D34C24"/>
    <w:rsid w:val="18F35B76"/>
    <w:rsid w:val="190E6D59"/>
    <w:rsid w:val="19625F80"/>
    <w:rsid w:val="199704B5"/>
    <w:rsid w:val="19D95C81"/>
    <w:rsid w:val="1A080EB7"/>
    <w:rsid w:val="1A171C54"/>
    <w:rsid w:val="1A5A5F67"/>
    <w:rsid w:val="1A672B8A"/>
    <w:rsid w:val="1A8E66ED"/>
    <w:rsid w:val="1AA00A58"/>
    <w:rsid w:val="1AB74DD0"/>
    <w:rsid w:val="1B0A5F3E"/>
    <w:rsid w:val="1B0B1F03"/>
    <w:rsid w:val="1B630CFC"/>
    <w:rsid w:val="1B783870"/>
    <w:rsid w:val="1B884684"/>
    <w:rsid w:val="1C7235DE"/>
    <w:rsid w:val="1CAB09D2"/>
    <w:rsid w:val="1CEB7285"/>
    <w:rsid w:val="1D017444"/>
    <w:rsid w:val="1D0C5393"/>
    <w:rsid w:val="1D0E5E4E"/>
    <w:rsid w:val="1D49281D"/>
    <w:rsid w:val="1D756372"/>
    <w:rsid w:val="1D980B41"/>
    <w:rsid w:val="1D986A90"/>
    <w:rsid w:val="1D9B6FB0"/>
    <w:rsid w:val="1DBD148A"/>
    <w:rsid w:val="1DC63D3D"/>
    <w:rsid w:val="1DEA260F"/>
    <w:rsid w:val="1E046837"/>
    <w:rsid w:val="1E0840DC"/>
    <w:rsid w:val="1E2904E5"/>
    <w:rsid w:val="1E517BAC"/>
    <w:rsid w:val="1F1B1A20"/>
    <w:rsid w:val="1F494820"/>
    <w:rsid w:val="1F7346BB"/>
    <w:rsid w:val="1FA91E21"/>
    <w:rsid w:val="1FAB5739"/>
    <w:rsid w:val="1FB86AF0"/>
    <w:rsid w:val="1FC70955"/>
    <w:rsid w:val="1FE36762"/>
    <w:rsid w:val="202D3C9A"/>
    <w:rsid w:val="20533EF1"/>
    <w:rsid w:val="20C31215"/>
    <w:rsid w:val="20D84810"/>
    <w:rsid w:val="20DA0209"/>
    <w:rsid w:val="20F83A10"/>
    <w:rsid w:val="21121932"/>
    <w:rsid w:val="21261843"/>
    <w:rsid w:val="2159620C"/>
    <w:rsid w:val="217414AC"/>
    <w:rsid w:val="21AC74B1"/>
    <w:rsid w:val="21B05F19"/>
    <w:rsid w:val="21F24A64"/>
    <w:rsid w:val="22033509"/>
    <w:rsid w:val="222D2A6A"/>
    <w:rsid w:val="2231643F"/>
    <w:rsid w:val="22B37633"/>
    <w:rsid w:val="22FC248C"/>
    <w:rsid w:val="230F0E8A"/>
    <w:rsid w:val="23676B65"/>
    <w:rsid w:val="23BC4FC8"/>
    <w:rsid w:val="23C33146"/>
    <w:rsid w:val="23E331E8"/>
    <w:rsid w:val="23F812F7"/>
    <w:rsid w:val="24597EC0"/>
    <w:rsid w:val="24630E1D"/>
    <w:rsid w:val="24D824CB"/>
    <w:rsid w:val="24D96E4C"/>
    <w:rsid w:val="24F52370"/>
    <w:rsid w:val="24FC4ED2"/>
    <w:rsid w:val="254B2D1B"/>
    <w:rsid w:val="255753CB"/>
    <w:rsid w:val="25865976"/>
    <w:rsid w:val="2589516C"/>
    <w:rsid w:val="25B279F0"/>
    <w:rsid w:val="25B77041"/>
    <w:rsid w:val="25D22404"/>
    <w:rsid w:val="25D52C7F"/>
    <w:rsid w:val="25E14795"/>
    <w:rsid w:val="2653015C"/>
    <w:rsid w:val="268F1319"/>
    <w:rsid w:val="26B37021"/>
    <w:rsid w:val="26D434B5"/>
    <w:rsid w:val="26FA3EB1"/>
    <w:rsid w:val="2728090B"/>
    <w:rsid w:val="2768661F"/>
    <w:rsid w:val="277409CE"/>
    <w:rsid w:val="27CC2CE0"/>
    <w:rsid w:val="27D55045"/>
    <w:rsid w:val="28106D2C"/>
    <w:rsid w:val="28141197"/>
    <w:rsid w:val="2861389F"/>
    <w:rsid w:val="28C74990"/>
    <w:rsid w:val="294023CE"/>
    <w:rsid w:val="29AE794B"/>
    <w:rsid w:val="29CF43C1"/>
    <w:rsid w:val="29DC47EC"/>
    <w:rsid w:val="29E04413"/>
    <w:rsid w:val="29E264B4"/>
    <w:rsid w:val="29E671ED"/>
    <w:rsid w:val="2A021CD4"/>
    <w:rsid w:val="2A253617"/>
    <w:rsid w:val="2A353DE1"/>
    <w:rsid w:val="2A60011C"/>
    <w:rsid w:val="2A9919D8"/>
    <w:rsid w:val="2B2F6B68"/>
    <w:rsid w:val="2B6B5DCD"/>
    <w:rsid w:val="2B8C53E2"/>
    <w:rsid w:val="2B8E2901"/>
    <w:rsid w:val="2B9673F5"/>
    <w:rsid w:val="2C1105BD"/>
    <w:rsid w:val="2C322120"/>
    <w:rsid w:val="2C3939BE"/>
    <w:rsid w:val="2C9E7C1B"/>
    <w:rsid w:val="2CA74320"/>
    <w:rsid w:val="2CCA52F9"/>
    <w:rsid w:val="2CDE5797"/>
    <w:rsid w:val="2D1848C8"/>
    <w:rsid w:val="2D4A56F2"/>
    <w:rsid w:val="2E2F322A"/>
    <w:rsid w:val="2E2F35C0"/>
    <w:rsid w:val="2E60459D"/>
    <w:rsid w:val="2E6E0EF2"/>
    <w:rsid w:val="2E793D84"/>
    <w:rsid w:val="2E9C3BE4"/>
    <w:rsid w:val="2EB1570B"/>
    <w:rsid w:val="2EC157EA"/>
    <w:rsid w:val="2ECE064D"/>
    <w:rsid w:val="2EF45937"/>
    <w:rsid w:val="2F4A6BCE"/>
    <w:rsid w:val="2F9E5E72"/>
    <w:rsid w:val="2FB62C91"/>
    <w:rsid w:val="2FCD7F91"/>
    <w:rsid w:val="2FED2219"/>
    <w:rsid w:val="301936D5"/>
    <w:rsid w:val="3021730B"/>
    <w:rsid w:val="307354B1"/>
    <w:rsid w:val="30784CE1"/>
    <w:rsid w:val="30B44048"/>
    <w:rsid w:val="30EC2B97"/>
    <w:rsid w:val="30F23994"/>
    <w:rsid w:val="30FC3C4A"/>
    <w:rsid w:val="31342A08"/>
    <w:rsid w:val="31553579"/>
    <w:rsid w:val="319A2901"/>
    <w:rsid w:val="327309A2"/>
    <w:rsid w:val="32A54E8F"/>
    <w:rsid w:val="32B87611"/>
    <w:rsid w:val="32C3283C"/>
    <w:rsid w:val="32C477D5"/>
    <w:rsid w:val="32E302AB"/>
    <w:rsid w:val="33020202"/>
    <w:rsid w:val="334C7602"/>
    <w:rsid w:val="33677EAC"/>
    <w:rsid w:val="3370454D"/>
    <w:rsid w:val="3381174F"/>
    <w:rsid w:val="33BB0075"/>
    <w:rsid w:val="33D74C39"/>
    <w:rsid w:val="33F23140"/>
    <w:rsid w:val="341976E6"/>
    <w:rsid w:val="344E21FC"/>
    <w:rsid w:val="34691B51"/>
    <w:rsid w:val="347C39A1"/>
    <w:rsid w:val="34935E6F"/>
    <w:rsid w:val="349A6DFE"/>
    <w:rsid w:val="34B362C2"/>
    <w:rsid w:val="34BD621C"/>
    <w:rsid w:val="34D4620E"/>
    <w:rsid w:val="34D665EE"/>
    <w:rsid w:val="34F477A5"/>
    <w:rsid w:val="350C6734"/>
    <w:rsid w:val="35133D84"/>
    <w:rsid w:val="353320D7"/>
    <w:rsid w:val="357E0C3C"/>
    <w:rsid w:val="35D72A58"/>
    <w:rsid w:val="36274FCA"/>
    <w:rsid w:val="362B2FB5"/>
    <w:rsid w:val="36546BA1"/>
    <w:rsid w:val="365B31D4"/>
    <w:rsid w:val="367B593C"/>
    <w:rsid w:val="36A72F83"/>
    <w:rsid w:val="36AA418D"/>
    <w:rsid w:val="36BA5D6D"/>
    <w:rsid w:val="36D4359F"/>
    <w:rsid w:val="37156992"/>
    <w:rsid w:val="37C2091A"/>
    <w:rsid w:val="37CB37CD"/>
    <w:rsid w:val="38015E61"/>
    <w:rsid w:val="381D6B6A"/>
    <w:rsid w:val="382431F2"/>
    <w:rsid w:val="389B2D7C"/>
    <w:rsid w:val="38C81985"/>
    <w:rsid w:val="38D46609"/>
    <w:rsid w:val="38DC66B6"/>
    <w:rsid w:val="38E66424"/>
    <w:rsid w:val="394E3D8A"/>
    <w:rsid w:val="39596AB3"/>
    <w:rsid w:val="396D121E"/>
    <w:rsid w:val="39751CEB"/>
    <w:rsid w:val="398C2850"/>
    <w:rsid w:val="39C36B3D"/>
    <w:rsid w:val="39D84E9F"/>
    <w:rsid w:val="3A222E7A"/>
    <w:rsid w:val="3A2E0CC8"/>
    <w:rsid w:val="3A560F90"/>
    <w:rsid w:val="3AB83F20"/>
    <w:rsid w:val="3B1209D2"/>
    <w:rsid w:val="3B1D0435"/>
    <w:rsid w:val="3B672F41"/>
    <w:rsid w:val="3BA877C4"/>
    <w:rsid w:val="3BC468B8"/>
    <w:rsid w:val="3BEB2D70"/>
    <w:rsid w:val="3BFF03F2"/>
    <w:rsid w:val="3C2B36FD"/>
    <w:rsid w:val="3C2F7BB4"/>
    <w:rsid w:val="3C344351"/>
    <w:rsid w:val="3C386752"/>
    <w:rsid w:val="3C8641A5"/>
    <w:rsid w:val="3CB24B0A"/>
    <w:rsid w:val="3CE32B72"/>
    <w:rsid w:val="3CE32C79"/>
    <w:rsid w:val="3CE95D1B"/>
    <w:rsid w:val="3D005CEA"/>
    <w:rsid w:val="3D1618D8"/>
    <w:rsid w:val="3D2E6F05"/>
    <w:rsid w:val="3D2F4FA4"/>
    <w:rsid w:val="3D3C27F0"/>
    <w:rsid w:val="3D76384A"/>
    <w:rsid w:val="3D9F7FB7"/>
    <w:rsid w:val="3DB73A35"/>
    <w:rsid w:val="3DFF227A"/>
    <w:rsid w:val="3E0819A2"/>
    <w:rsid w:val="3E4B642A"/>
    <w:rsid w:val="3E56553D"/>
    <w:rsid w:val="3EFD74E3"/>
    <w:rsid w:val="3F037287"/>
    <w:rsid w:val="3F47172E"/>
    <w:rsid w:val="3F9D5A6F"/>
    <w:rsid w:val="3F9D728E"/>
    <w:rsid w:val="3FA65553"/>
    <w:rsid w:val="3FCB36CE"/>
    <w:rsid w:val="3FE26D76"/>
    <w:rsid w:val="3FE57CC1"/>
    <w:rsid w:val="401D1B40"/>
    <w:rsid w:val="40262536"/>
    <w:rsid w:val="402A6464"/>
    <w:rsid w:val="40352366"/>
    <w:rsid w:val="403A4A6A"/>
    <w:rsid w:val="40CA16B0"/>
    <w:rsid w:val="40CB6C05"/>
    <w:rsid w:val="40EB5643"/>
    <w:rsid w:val="415B3B97"/>
    <w:rsid w:val="419A10DA"/>
    <w:rsid w:val="41FA19B8"/>
    <w:rsid w:val="42083292"/>
    <w:rsid w:val="420C1C2E"/>
    <w:rsid w:val="424A1C23"/>
    <w:rsid w:val="424F0D63"/>
    <w:rsid w:val="4266524A"/>
    <w:rsid w:val="42763337"/>
    <w:rsid w:val="428C4F8C"/>
    <w:rsid w:val="42934FED"/>
    <w:rsid w:val="42971DE2"/>
    <w:rsid w:val="42CC24AC"/>
    <w:rsid w:val="4323214C"/>
    <w:rsid w:val="43303E58"/>
    <w:rsid w:val="4343382A"/>
    <w:rsid w:val="43532937"/>
    <w:rsid w:val="43532BB3"/>
    <w:rsid w:val="436450C3"/>
    <w:rsid w:val="43683EEC"/>
    <w:rsid w:val="436C74A4"/>
    <w:rsid w:val="436E0DC7"/>
    <w:rsid w:val="43823660"/>
    <w:rsid w:val="438B069F"/>
    <w:rsid w:val="43A77224"/>
    <w:rsid w:val="43CC592A"/>
    <w:rsid w:val="43D66FFF"/>
    <w:rsid w:val="43D87200"/>
    <w:rsid w:val="43FD5CBA"/>
    <w:rsid w:val="445B6DA8"/>
    <w:rsid w:val="44607819"/>
    <w:rsid w:val="44621BA0"/>
    <w:rsid w:val="44756C80"/>
    <w:rsid w:val="44842163"/>
    <w:rsid w:val="44967B98"/>
    <w:rsid w:val="455225F4"/>
    <w:rsid w:val="456F0B2C"/>
    <w:rsid w:val="45B63B06"/>
    <w:rsid w:val="462C1705"/>
    <w:rsid w:val="465E478A"/>
    <w:rsid w:val="46BC7227"/>
    <w:rsid w:val="46CA646E"/>
    <w:rsid w:val="4737192B"/>
    <w:rsid w:val="47595FF4"/>
    <w:rsid w:val="476B3689"/>
    <w:rsid w:val="47A35134"/>
    <w:rsid w:val="47A912AD"/>
    <w:rsid w:val="47F30BEE"/>
    <w:rsid w:val="480104CB"/>
    <w:rsid w:val="48227832"/>
    <w:rsid w:val="486E7E88"/>
    <w:rsid w:val="48870B36"/>
    <w:rsid w:val="48CB4BAF"/>
    <w:rsid w:val="48F03496"/>
    <w:rsid w:val="48F53EDE"/>
    <w:rsid w:val="48F87F1B"/>
    <w:rsid w:val="4912396F"/>
    <w:rsid w:val="492E7181"/>
    <w:rsid w:val="493A7AD1"/>
    <w:rsid w:val="49630330"/>
    <w:rsid w:val="496D4F93"/>
    <w:rsid w:val="49AE5388"/>
    <w:rsid w:val="49BC5343"/>
    <w:rsid w:val="49EE7A03"/>
    <w:rsid w:val="4A1663FB"/>
    <w:rsid w:val="4A20514D"/>
    <w:rsid w:val="4A2F6F51"/>
    <w:rsid w:val="4A3A3117"/>
    <w:rsid w:val="4A437852"/>
    <w:rsid w:val="4A702811"/>
    <w:rsid w:val="4A7F5C41"/>
    <w:rsid w:val="4A9F2751"/>
    <w:rsid w:val="4B295A88"/>
    <w:rsid w:val="4B657AEB"/>
    <w:rsid w:val="4B8A5280"/>
    <w:rsid w:val="4B960D62"/>
    <w:rsid w:val="4BDC718A"/>
    <w:rsid w:val="4BF110EA"/>
    <w:rsid w:val="4BF16893"/>
    <w:rsid w:val="4C0B404B"/>
    <w:rsid w:val="4C2A2135"/>
    <w:rsid w:val="4C6A00F5"/>
    <w:rsid w:val="4CAB0662"/>
    <w:rsid w:val="4CAB6041"/>
    <w:rsid w:val="4CFB27B7"/>
    <w:rsid w:val="4D045B61"/>
    <w:rsid w:val="4D327118"/>
    <w:rsid w:val="4D3634E5"/>
    <w:rsid w:val="4D3B1BA8"/>
    <w:rsid w:val="4D4C01C8"/>
    <w:rsid w:val="4D4D1E31"/>
    <w:rsid w:val="4D53643B"/>
    <w:rsid w:val="4D7678D1"/>
    <w:rsid w:val="4D7C6497"/>
    <w:rsid w:val="4D8C13C8"/>
    <w:rsid w:val="4DB84F4C"/>
    <w:rsid w:val="4DBD009F"/>
    <w:rsid w:val="4DD44207"/>
    <w:rsid w:val="4DE50C41"/>
    <w:rsid w:val="4E424610"/>
    <w:rsid w:val="4E5B73AD"/>
    <w:rsid w:val="4E73432F"/>
    <w:rsid w:val="4E82003A"/>
    <w:rsid w:val="4EAC65F4"/>
    <w:rsid w:val="4EC82AE0"/>
    <w:rsid w:val="4F0B4CDC"/>
    <w:rsid w:val="4F8C72AA"/>
    <w:rsid w:val="4FF043FE"/>
    <w:rsid w:val="50715C1B"/>
    <w:rsid w:val="50761F50"/>
    <w:rsid w:val="50B24F8F"/>
    <w:rsid w:val="50C6253D"/>
    <w:rsid w:val="50C80EA2"/>
    <w:rsid w:val="50CB3DB8"/>
    <w:rsid w:val="51454809"/>
    <w:rsid w:val="5182044A"/>
    <w:rsid w:val="51F525E0"/>
    <w:rsid w:val="520648A8"/>
    <w:rsid w:val="520B6E0C"/>
    <w:rsid w:val="525D6001"/>
    <w:rsid w:val="52765B76"/>
    <w:rsid w:val="52815721"/>
    <w:rsid w:val="52BF5DA7"/>
    <w:rsid w:val="52CA7E4C"/>
    <w:rsid w:val="52EE4AA2"/>
    <w:rsid w:val="536A6534"/>
    <w:rsid w:val="539B3392"/>
    <w:rsid w:val="53B738EB"/>
    <w:rsid w:val="53B83896"/>
    <w:rsid w:val="53B94FCA"/>
    <w:rsid w:val="53BB4451"/>
    <w:rsid w:val="53BC64CB"/>
    <w:rsid w:val="543237A9"/>
    <w:rsid w:val="547549BB"/>
    <w:rsid w:val="54766C03"/>
    <w:rsid w:val="547E5CED"/>
    <w:rsid w:val="5481204B"/>
    <w:rsid w:val="54A85EF0"/>
    <w:rsid w:val="54BE1DC8"/>
    <w:rsid w:val="5513185D"/>
    <w:rsid w:val="551E4B72"/>
    <w:rsid w:val="55430E5B"/>
    <w:rsid w:val="554D6D31"/>
    <w:rsid w:val="55806E3D"/>
    <w:rsid w:val="55CE48B6"/>
    <w:rsid w:val="55DD66A7"/>
    <w:rsid w:val="55E823B7"/>
    <w:rsid w:val="56077B80"/>
    <w:rsid w:val="56255786"/>
    <w:rsid w:val="56477924"/>
    <w:rsid w:val="5670097B"/>
    <w:rsid w:val="5679119E"/>
    <w:rsid w:val="567F2459"/>
    <w:rsid w:val="5693657C"/>
    <w:rsid w:val="56D64203"/>
    <w:rsid w:val="56DF65E4"/>
    <w:rsid w:val="56EF0440"/>
    <w:rsid w:val="57051407"/>
    <w:rsid w:val="572C7E95"/>
    <w:rsid w:val="572D7FBF"/>
    <w:rsid w:val="574035C2"/>
    <w:rsid w:val="57E34CFE"/>
    <w:rsid w:val="58011456"/>
    <w:rsid w:val="580C0ACC"/>
    <w:rsid w:val="581574DA"/>
    <w:rsid w:val="5830691D"/>
    <w:rsid w:val="58DC0512"/>
    <w:rsid w:val="58DC3CCF"/>
    <w:rsid w:val="58DE5C54"/>
    <w:rsid w:val="58EF1034"/>
    <w:rsid w:val="59345076"/>
    <w:rsid w:val="599B4D7A"/>
    <w:rsid w:val="59D574D1"/>
    <w:rsid w:val="59F108AF"/>
    <w:rsid w:val="59FA37EE"/>
    <w:rsid w:val="59FE1E90"/>
    <w:rsid w:val="5A2B7686"/>
    <w:rsid w:val="5A6758AA"/>
    <w:rsid w:val="5A6B2FAE"/>
    <w:rsid w:val="5A913DAF"/>
    <w:rsid w:val="5ADF695A"/>
    <w:rsid w:val="5AE31232"/>
    <w:rsid w:val="5AFF5980"/>
    <w:rsid w:val="5B1136E8"/>
    <w:rsid w:val="5B141FBB"/>
    <w:rsid w:val="5B474CC6"/>
    <w:rsid w:val="5BBF4332"/>
    <w:rsid w:val="5BD41037"/>
    <w:rsid w:val="5C0135DC"/>
    <w:rsid w:val="5C662906"/>
    <w:rsid w:val="5C6D50B5"/>
    <w:rsid w:val="5CA1633C"/>
    <w:rsid w:val="5CAD5DA9"/>
    <w:rsid w:val="5CD1084E"/>
    <w:rsid w:val="5CE00CBF"/>
    <w:rsid w:val="5CE1299F"/>
    <w:rsid w:val="5DA76CBE"/>
    <w:rsid w:val="5DA97A3B"/>
    <w:rsid w:val="5DF53D74"/>
    <w:rsid w:val="5E132BB2"/>
    <w:rsid w:val="5E520026"/>
    <w:rsid w:val="5E637E02"/>
    <w:rsid w:val="5EA252EC"/>
    <w:rsid w:val="5EE061D2"/>
    <w:rsid w:val="5F69103A"/>
    <w:rsid w:val="5F7D0E3B"/>
    <w:rsid w:val="5FDA32CA"/>
    <w:rsid w:val="5FF10152"/>
    <w:rsid w:val="602710E1"/>
    <w:rsid w:val="606C412D"/>
    <w:rsid w:val="607000DF"/>
    <w:rsid w:val="60804E93"/>
    <w:rsid w:val="60F21EE9"/>
    <w:rsid w:val="61275EAD"/>
    <w:rsid w:val="614E4A2C"/>
    <w:rsid w:val="61667712"/>
    <w:rsid w:val="617C5380"/>
    <w:rsid w:val="61AB5277"/>
    <w:rsid w:val="61E4725B"/>
    <w:rsid w:val="61F5125F"/>
    <w:rsid w:val="62144EAA"/>
    <w:rsid w:val="62310D49"/>
    <w:rsid w:val="62392DCE"/>
    <w:rsid w:val="62481652"/>
    <w:rsid w:val="627529B2"/>
    <w:rsid w:val="62806AA2"/>
    <w:rsid w:val="62A8335D"/>
    <w:rsid w:val="62B979BE"/>
    <w:rsid w:val="631A0758"/>
    <w:rsid w:val="6330289A"/>
    <w:rsid w:val="63591198"/>
    <w:rsid w:val="63C003BA"/>
    <w:rsid w:val="63E672E6"/>
    <w:rsid w:val="63F22EAF"/>
    <w:rsid w:val="641C6B68"/>
    <w:rsid w:val="6478082E"/>
    <w:rsid w:val="647A1962"/>
    <w:rsid w:val="65024DFB"/>
    <w:rsid w:val="663E3BAF"/>
    <w:rsid w:val="664F702A"/>
    <w:rsid w:val="665759EF"/>
    <w:rsid w:val="66710DC5"/>
    <w:rsid w:val="66902882"/>
    <w:rsid w:val="66F15ACB"/>
    <w:rsid w:val="66FB20C2"/>
    <w:rsid w:val="671B4315"/>
    <w:rsid w:val="67223594"/>
    <w:rsid w:val="67583A93"/>
    <w:rsid w:val="67CF5D5B"/>
    <w:rsid w:val="67E450CE"/>
    <w:rsid w:val="680B6FA2"/>
    <w:rsid w:val="682F50AF"/>
    <w:rsid w:val="68316DA4"/>
    <w:rsid w:val="68327603"/>
    <w:rsid w:val="68477B66"/>
    <w:rsid w:val="68A11019"/>
    <w:rsid w:val="68F47FFA"/>
    <w:rsid w:val="69075821"/>
    <w:rsid w:val="690A04B7"/>
    <w:rsid w:val="692A082B"/>
    <w:rsid w:val="69504DBB"/>
    <w:rsid w:val="698E6F11"/>
    <w:rsid w:val="699E6924"/>
    <w:rsid w:val="69A24FA0"/>
    <w:rsid w:val="69AC1638"/>
    <w:rsid w:val="6A12010F"/>
    <w:rsid w:val="6A134DE5"/>
    <w:rsid w:val="6A3B6584"/>
    <w:rsid w:val="6A3D7F56"/>
    <w:rsid w:val="6A515DFA"/>
    <w:rsid w:val="6A551FF1"/>
    <w:rsid w:val="6A7D7DE0"/>
    <w:rsid w:val="6A873FB9"/>
    <w:rsid w:val="6A920B35"/>
    <w:rsid w:val="6A9A3694"/>
    <w:rsid w:val="6ACF5880"/>
    <w:rsid w:val="6B8D2FC7"/>
    <w:rsid w:val="6B9120ED"/>
    <w:rsid w:val="6BA514EB"/>
    <w:rsid w:val="6BB1534E"/>
    <w:rsid w:val="6C03265F"/>
    <w:rsid w:val="6CB6425D"/>
    <w:rsid w:val="6CC54068"/>
    <w:rsid w:val="6D0777A6"/>
    <w:rsid w:val="6D4B22B9"/>
    <w:rsid w:val="6D58021A"/>
    <w:rsid w:val="6D5F40C1"/>
    <w:rsid w:val="6D913484"/>
    <w:rsid w:val="6D9758E9"/>
    <w:rsid w:val="6D9A7E7F"/>
    <w:rsid w:val="6E1A3283"/>
    <w:rsid w:val="6E2C3C9D"/>
    <w:rsid w:val="6E83226A"/>
    <w:rsid w:val="6E871CF8"/>
    <w:rsid w:val="6E9A7753"/>
    <w:rsid w:val="6EEE488A"/>
    <w:rsid w:val="6EF918C4"/>
    <w:rsid w:val="6EFB172F"/>
    <w:rsid w:val="6F0C0A1C"/>
    <w:rsid w:val="6F353388"/>
    <w:rsid w:val="6F4C6E6A"/>
    <w:rsid w:val="6F5D3371"/>
    <w:rsid w:val="6F8916C4"/>
    <w:rsid w:val="6FAE271B"/>
    <w:rsid w:val="70042B1F"/>
    <w:rsid w:val="700B1CD2"/>
    <w:rsid w:val="700C43E9"/>
    <w:rsid w:val="701A42AF"/>
    <w:rsid w:val="706C7312"/>
    <w:rsid w:val="70C74015"/>
    <w:rsid w:val="711A1E5D"/>
    <w:rsid w:val="71522954"/>
    <w:rsid w:val="715F7F28"/>
    <w:rsid w:val="71747364"/>
    <w:rsid w:val="71916B6F"/>
    <w:rsid w:val="71D56A0A"/>
    <w:rsid w:val="71EC2910"/>
    <w:rsid w:val="71F45F2B"/>
    <w:rsid w:val="72210056"/>
    <w:rsid w:val="723F6E79"/>
    <w:rsid w:val="72774735"/>
    <w:rsid w:val="72DC5C75"/>
    <w:rsid w:val="72E7513B"/>
    <w:rsid w:val="72F705AF"/>
    <w:rsid w:val="73115500"/>
    <w:rsid w:val="73203408"/>
    <w:rsid w:val="73205FC1"/>
    <w:rsid w:val="733E0263"/>
    <w:rsid w:val="73485EA3"/>
    <w:rsid w:val="737E5263"/>
    <w:rsid w:val="738242D1"/>
    <w:rsid w:val="738B60D7"/>
    <w:rsid w:val="738C2533"/>
    <w:rsid w:val="73A046E2"/>
    <w:rsid w:val="73AE5E35"/>
    <w:rsid w:val="73D616F4"/>
    <w:rsid w:val="73E87907"/>
    <w:rsid w:val="73F65E1F"/>
    <w:rsid w:val="740754BF"/>
    <w:rsid w:val="74220105"/>
    <w:rsid w:val="74466D95"/>
    <w:rsid w:val="748A4AFF"/>
    <w:rsid w:val="749D2764"/>
    <w:rsid w:val="74A81D0A"/>
    <w:rsid w:val="74C51EDD"/>
    <w:rsid w:val="74E63628"/>
    <w:rsid w:val="75172BE8"/>
    <w:rsid w:val="75222FFD"/>
    <w:rsid w:val="754B65E6"/>
    <w:rsid w:val="7556643E"/>
    <w:rsid w:val="759F2DE4"/>
    <w:rsid w:val="75AE4F93"/>
    <w:rsid w:val="76064371"/>
    <w:rsid w:val="761E20FF"/>
    <w:rsid w:val="76212261"/>
    <w:rsid w:val="76C16AC5"/>
    <w:rsid w:val="76D253AE"/>
    <w:rsid w:val="76E40563"/>
    <w:rsid w:val="76EE6CE8"/>
    <w:rsid w:val="770A40C1"/>
    <w:rsid w:val="7724230A"/>
    <w:rsid w:val="7752664D"/>
    <w:rsid w:val="77531FF7"/>
    <w:rsid w:val="778E5477"/>
    <w:rsid w:val="780A15D6"/>
    <w:rsid w:val="78541EB5"/>
    <w:rsid w:val="789C48A4"/>
    <w:rsid w:val="78C9012D"/>
    <w:rsid w:val="78E02EAA"/>
    <w:rsid w:val="78FD4FC3"/>
    <w:rsid w:val="79270EA5"/>
    <w:rsid w:val="79334FEF"/>
    <w:rsid w:val="796C18FD"/>
    <w:rsid w:val="797D4FC7"/>
    <w:rsid w:val="799A3E7A"/>
    <w:rsid w:val="7A026E1F"/>
    <w:rsid w:val="7A040D1E"/>
    <w:rsid w:val="7A233B68"/>
    <w:rsid w:val="7A257983"/>
    <w:rsid w:val="7A32540C"/>
    <w:rsid w:val="7A642DBE"/>
    <w:rsid w:val="7A95290F"/>
    <w:rsid w:val="7B1B737C"/>
    <w:rsid w:val="7B266783"/>
    <w:rsid w:val="7B8404AE"/>
    <w:rsid w:val="7BC76A6B"/>
    <w:rsid w:val="7BED7900"/>
    <w:rsid w:val="7BF9515E"/>
    <w:rsid w:val="7BFA4620"/>
    <w:rsid w:val="7BFE5F2B"/>
    <w:rsid w:val="7C1E325F"/>
    <w:rsid w:val="7C46473D"/>
    <w:rsid w:val="7C5F57A9"/>
    <w:rsid w:val="7C5F6E58"/>
    <w:rsid w:val="7C712E9D"/>
    <w:rsid w:val="7C79549A"/>
    <w:rsid w:val="7CF364F4"/>
    <w:rsid w:val="7D49663C"/>
    <w:rsid w:val="7D6D49EE"/>
    <w:rsid w:val="7D8A3BA8"/>
    <w:rsid w:val="7DA61DF2"/>
    <w:rsid w:val="7DC243C4"/>
    <w:rsid w:val="7DC6271D"/>
    <w:rsid w:val="7DD5164F"/>
    <w:rsid w:val="7DF404F2"/>
    <w:rsid w:val="7DF571B4"/>
    <w:rsid w:val="7E3F7F4E"/>
    <w:rsid w:val="7E5D2501"/>
    <w:rsid w:val="7E7449A1"/>
    <w:rsid w:val="7E761BA9"/>
    <w:rsid w:val="7EB5450E"/>
    <w:rsid w:val="7EBF204E"/>
    <w:rsid w:val="7EDF347B"/>
    <w:rsid w:val="7F6463E8"/>
    <w:rsid w:val="7F791EC6"/>
    <w:rsid w:val="7F79223F"/>
    <w:rsid w:val="7FA73B7E"/>
    <w:rsid w:val="7FAB741F"/>
    <w:rsid w:val="7FFE497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5pt" color="#000000"/>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2"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67"/>
    <w:qFormat/>
    <w:uiPriority w:val="0"/>
    <w:pPr>
      <w:keepNext/>
      <w:keepLines/>
      <w:spacing w:line="560" w:lineRule="exact"/>
      <w:ind w:firstLine="0" w:firstLineChars="0"/>
      <w:jc w:val="center"/>
      <w:outlineLvl w:val="0"/>
    </w:pPr>
    <w:rPr>
      <w:b/>
      <w:bCs/>
      <w:kern w:val="44"/>
      <w:sz w:val="32"/>
      <w:szCs w:val="44"/>
    </w:rPr>
  </w:style>
  <w:style w:type="paragraph" w:styleId="4">
    <w:name w:val="heading 2"/>
    <w:basedOn w:val="1"/>
    <w:next w:val="1"/>
    <w:link w:val="70"/>
    <w:qFormat/>
    <w:uiPriority w:val="0"/>
    <w:pPr>
      <w:keepNext/>
      <w:keepLines/>
      <w:spacing w:line="560" w:lineRule="exact"/>
      <w:ind w:firstLine="0" w:firstLineChars="0"/>
      <w:outlineLvl w:val="1"/>
    </w:pPr>
    <w:rPr>
      <w:b/>
      <w:bCs/>
      <w:sz w:val="30"/>
      <w:szCs w:val="32"/>
    </w:rPr>
  </w:style>
  <w:style w:type="paragraph" w:styleId="5">
    <w:name w:val="heading 3"/>
    <w:basedOn w:val="1"/>
    <w:next w:val="1"/>
    <w:link w:val="73"/>
    <w:qFormat/>
    <w:uiPriority w:val="2"/>
    <w:pPr>
      <w:keepNext/>
      <w:keepLines/>
      <w:spacing w:line="520" w:lineRule="exact"/>
      <w:ind w:firstLine="0" w:firstLineChars="0"/>
      <w:outlineLvl w:val="2"/>
    </w:pPr>
    <w:rPr>
      <w:b/>
      <w:bCs/>
      <w:sz w:val="28"/>
      <w:szCs w:val="32"/>
    </w:rPr>
  </w:style>
  <w:style w:type="paragraph" w:styleId="6">
    <w:name w:val="heading 4"/>
    <w:basedOn w:val="1"/>
    <w:next w:val="1"/>
    <w:link w:val="52"/>
    <w:qFormat/>
    <w:uiPriority w:val="0"/>
    <w:pPr>
      <w:keepNext/>
      <w:keepLines/>
      <w:spacing w:line="520" w:lineRule="exact"/>
      <w:ind w:firstLine="0" w:firstLineChars="0"/>
      <w:outlineLvl w:val="3"/>
    </w:pPr>
    <w:rPr>
      <w:b/>
      <w:bCs/>
      <w:szCs w:val="28"/>
    </w:rPr>
  </w:style>
  <w:style w:type="paragraph" w:styleId="7">
    <w:name w:val="heading 5"/>
    <w:basedOn w:val="1"/>
    <w:next w:val="1"/>
    <w:link w:val="89"/>
    <w:semiHidden/>
    <w:unhideWhenUsed/>
    <w:qFormat/>
    <w:uiPriority w:val="0"/>
    <w:pPr>
      <w:keepNext/>
      <w:keepLines/>
      <w:spacing w:before="280" w:after="290" w:line="376" w:lineRule="auto"/>
      <w:outlineLvl w:val="4"/>
    </w:pPr>
    <w:rPr>
      <w:b/>
      <w:bCs/>
      <w:sz w:val="28"/>
      <w:szCs w:val="28"/>
    </w:rPr>
  </w:style>
  <w:style w:type="paragraph" w:styleId="8">
    <w:name w:val="heading 7"/>
    <w:basedOn w:val="1"/>
    <w:next w:val="1"/>
    <w:link w:val="94"/>
    <w:semiHidden/>
    <w:unhideWhenUsed/>
    <w:qFormat/>
    <w:uiPriority w:val="0"/>
    <w:pPr>
      <w:keepNext/>
      <w:keepLines/>
      <w:spacing w:before="240" w:after="64" w:line="320" w:lineRule="auto"/>
      <w:outlineLvl w:val="6"/>
    </w:pPr>
    <w:rPr>
      <w:b/>
      <w:bCs/>
      <w:szCs w:val="24"/>
    </w:rPr>
  </w:style>
  <w:style w:type="paragraph" w:styleId="9">
    <w:name w:val="heading 8"/>
    <w:basedOn w:val="1"/>
    <w:next w:val="1"/>
    <w:link w:val="132"/>
    <w:semiHidden/>
    <w:unhideWhenUsed/>
    <w:qFormat/>
    <w:uiPriority w:val="0"/>
    <w:pPr>
      <w:keepNext/>
      <w:keepLines/>
      <w:spacing w:before="240" w:after="64" w:line="320" w:lineRule="auto"/>
      <w:outlineLvl w:val="7"/>
    </w:pPr>
    <w:rPr>
      <w:rFonts w:asciiTheme="majorHAnsi" w:hAnsiTheme="majorHAnsi" w:eastAsiaTheme="majorEastAsia" w:cstheme="majorBidi"/>
      <w:szCs w:val="24"/>
    </w:rPr>
  </w:style>
  <w:style w:type="character" w:default="1" w:styleId="30">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header"/>
    <w:basedOn w:val="1"/>
    <w:qFormat/>
    <w:uiPriority w:val="0"/>
    <w:pPr>
      <w:pBdr>
        <w:bottom w:val="single" w:color="auto" w:sz="6" w:space="1"/>
      </w:pBdr>
      <w:tabs>
        <w:tab w:val="center" w:pos="4153"/>
        <w:tab w:val="right" w:pos="8306"/>
      </w:tabs>
      <w:spacing w:line="240" w:lineRule="auto"/>
      <w:jc w:val="center"/>
    </w:pPr>
    <w:rPr>
      <w:kern w:val="0"/>
      <w:sz w:val="18"/>
      <w:szCs w:val="18"/>
    </w:rPr>
  </w:style>
  <w:style w:type="paragraph" w:styleId="10">
    <w:name w:val="Normal Indent"/>
    <w:basedOn w:val="1"/>
    <w:qFormat/>
    <w:uiPriority w:val="0"/>
    <w:pPr>
      <w:ind w:firstLine="420"/>
    </w:pPr>
  </w:style>
  <w:style w:type="paragraph" w:styleId="11">
    <w:name w:val="Document Map"/>
    <w:basedOn w:val="1"/>
    <w:link w:val="36"/>
    <w:qFormat/>
    <w:uiPriority w:val="0"/>
    <w:rPr>
      <w:rFonts w:ascii="宋体"/>
      <w:sz w:val="18"/>
      <w:szCs w:val="18"/>
    </w:rPr>
  </w:style>
  <w:style w:type="paragraph" w:styleId="12">
    <w:name w:val="annotation text"/>
    <w:basedOn w:val="1"/>
    <w:link w:val="149"/>
    <w:qFormat/>
    <w:uiPriority w:val="0"/>
    <w:pPr>
      <w:jc w:val="left"/>
    </w:pPr>
  </w:style>
  <w:style w:type="paragraph" w:styleId="13">
    <w:name w:val="Body Text"/>
    <w:basedOn w:val="1"/>
    <w:link w:val="106"/>
    <w:qFormat/>
    <w:uiPriority w:val="0"/>
    <w:pPr>
      <w:spacing w:after="120"/>
    </w:pPr>
  </w:style>
  <w:style w:type="paragraph" w:styleId="14">
    <w:name w:val="Body Text Indent"/>
    <w:basedOn w:val="1"/>
    <w:link w:val="96"/>
    <w:qFormat/>
    <w:uiPriority w:val="0"/>
    <w:pPr>
      <w:spacing w:after="120"/>
      <w:ind w:left="420" w:leftChars="200"/>
    </w:pPr>
  </w:style>
  <w:style w:type="paragraph" w:styleId="15">
    <w:name w:val="toc 5"/>
    <w:basedOn w:val="1"/>
    <w:next w:val="1"/>
    <w:qFormat/>
    <w:uiPriority w:val="0"/>
    <w:pPr>
      <w:ind w:left="1680" w:leftChars="800"/>
    </w:pPr>
  </w:style>
  <w:style w:type="paragraph" w:styleId="16">
    <w:name w:val="Plain Text"/>
    <w:basedOn w:val="1"/>
    <w:link w:val="108"/>
    <w:qFormat/>
    <w:uiPriority w:val="99"/>
    <w:pPr>
      <w:adjustRightInd/>
      <w:snapToGrid/>
      <w:spacing w:line="240" w:lineRule="auto"/>
      <w:ind w:firstLine="0" w:firstLineChars="0"/>
    </w:pPr>
    <w:rPr>
      <w:rFonts w:ascii="宋体" w:hAnsi="Courier New"/>
      <w:kern w:val="0"/>
      <w:sz w:val="20"/>
      <w:szCs w:val="21"/>
    </w:rPr>
  </w:style>
  <w:style w:type="paragraph" w:styleId="17">
    <w:name w:val="Date"/>
    <w:basedOn w:val="1"/>
    <w:next w:val="1"/>
    <w:link w:val="125"/>
    <w:qFormat/>
    <w:uiPriority w:val="0"/>
    <w:pPr>
      <w:ind w:left="100" w:leftChars="2500"/>
    </w:pPr>
  </w:style>
  <w:style w:type="paragraph" w:styleId="18">
    <w:name w:val="Balloon Text"/>
    <w:basedOn w:val="1"/>
    <w:link w:val="38"/>
    <w:qFormat/>
    <w:uiPriority w:val="0"/>
    <w:pPr>
      <w:spacing w:line="240" w:lineRule="auto"/>
    </w:pPr>
    <w:rPr>
      <w:sz w:val="18"/>
      <w:szCs w:val="18"/>
    </w:rPr>
  </w:style>
  <w:style w:type="paragraph" w:styleId="19">
    <w:name w:val="footer"/>
    <w:basedOn w:val="1"/>
    <w:link w:val="37"/>
    <w:qFormat/>
    <w:uiPriority w:val="99"/>
    <w:pPr>
      <w:tabs>
        <w:tab w:val="center" w:pos="4153"/>
        <w:tab w:val="right" w:pos="8306"/>
      </w:tabs>
      <w:spacing w:line="240" w:lineRule="auto"/>
      <w:jc w:val="left"/>
    </w:pPr>
    <w:rPr>
      <w:kern w:val="0"/>
      <w:sz w:val="18"/>
      <w:szCs w:val="18"/>
    </w:rPr>
  </w:style>
  <w:style w:type="paragraph" w:styleId="20">
    <w:name w:val="toc 1"/>
    <w:basedOn w:val="1"/>
    <w:next w:val="1"/>
    <w:qFormat/>
    <w:uiPriority w:val="39"/>
    <w:pPr>
      <w:ind w:firstLine="0" w:firstLineChars="0"/>
    </w:pPr>
    <w:rPr>
      <w:b/>
      <w:sz w:val="28"/>
    </w:rPr>
  </w:style>
  <w:style w:type="paragraph" w:styleId="21">
    <w:name w:val="toc 2"/>
    <w:basedOn w:val="1"/>
    <w:next w:val="1"/>
    <w:qFormat/>
    <w:uiPriority w:val="39"/>
  </w:style>
  <w:style w:type="paragraph" w:styleId="22">
    <w:name w:val="Body Text 2"/>
    <w:basedOn w:val="1"/>
    <w:qFormat/>
    <w:uiPriority w:val="0"/>
    <w:pPr>
      <w:spacing w:line="480" w:lineRule="auto"/>
    </w:pPr>
  </w:style>
  <w:style w:type="paragraph" w:styleId="23">
    <w:name w:val="Normal (Web)"/>
    <w:basedOn w:val="1"/>
    <w:qFormat/>
    <w:uiPriority w:val="0"/>
  </w:style>
  <w:style w:type="paragraph" w:styleId="24">
    <w:name w:val="annotation subject"/>
    <w:basedOn w:val="12"/>
    <w:next w:val="12"/>
    <w:link w:val="150"/>
    <w:qFormat/>
    <w:uiPriority w:val="0"/>
    <w:rPr>
      <w:b/>
      <w:bCs/>
    </w:rPr>
  </w:style>
  <w:style w:type="paragraph" w:styleId="25">
    <w:name w:val="Body Text First Indent"/>
    <w:basedOn w:val="13"/>
    <w:link w:val="107"/>
    <w:qFormat/>
    <w:uiPriority w:val="0"/>
    <w:pPr>
      <w:ind w:firstLine="420" w:firstLineChars="100"/>
    </w:pPr>
  </w:style>
  <w:style w:type="paragraph" w:styleId="26">
    <w:name w:val="Body Text First Indent 2"/>
    <w:basedOn w:val="14"/>
    <w:link w:val="95"/>
    <w:unhideWhenUsed/>
    <w:qFormat/>
    <w:uiPriority w:val="99"/>
    <w:pPr>
      <w:widowControl/>
      <w:adjustRightInd/>
      <w:snapToGrid/>
      <w:spacing w:after="0"/>
      <w:ind w:left="0" w:leftChars="0" w:firstLine="480"/>
    </w:pPr>
    <w:rPr>
      <w:kern w:val="0"/>
      <w:szCs w:val="24"/>
      <w:lang w:eastAsia="en-US" w:bidi="en-US"/>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9">
    <w:name w:val="Table Grid 5"/>
    <w:basedOn w:val="27"/>
    <w:qFormat/>
    <w:uiPriority w:val="0"/>
    <w:pPr>
      <w:widowControl w:val="0"/>
      <w:spacing w:line="360" w:lineRule="auto"/>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blStylePr>
    <w:tblStylePr w:type="lastCol">
      <w:rPr>
        <w:b/>
        <w:bCs/>
      </w:rPr>
      <w:tbl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31">
    <w:name w:val="Strong"/>
    <w:basedOn w:val="30"/>
    <w:qFormat/>
    <w:uiPriority w:val="22"/>
    <w:rPr>
      <w:b/>
      <w:bCs/>
    </w:rPr>
  </w:style>
  <w:style w:type="character" w:styleId="32">
    <w:name w:val="page number"/>
    <w:basedOn w:val="30"/>
    <w:qFormat/>
    <w:uiPriority w:val="0"/>
  </w:style>
  <w:style w:type="character" w:styleId="33">
    <w:name w:val="Emphasis"/>
    <w:basedOn w:val="30"/>
    <w:qFormat/>
    <w:uiPriority w:val="20"/>
    <w:rPr>
      <w:i/>
      <w:iCs/>
    </w:rPr>
  </w:style>
  <w:style w:type="character" w:styleId="34">
    <w:name w:val="Hyperlink"/>
    <w:qFormat/>
    <w:uiPriority w:val="99"/>
    <w:rPr>
      <w:color w:val="0000FF"/>
      <w:u w:val="single"/>
    </w:rPr>
  </w:style>
  <w:style w:type="character" w:styleId="35">
    <w:name w:val="annotation reference"/>
    <w:qFormat/>
    <w:uiPriority w:val="0"/>
    <w:rPr>
      <w:sz w:val="21"/>
      <w:szCs w:val="21"/>
    </w:rPr>
  </w:style>
  <w:style w:type="character" w:customStyle="1" w:styleId="36">
    <w:name w:val="文档结构图 Char"/>
    <w:basedOn w:val="30"/>
    <w:link w:val="11"/>
    <w:qFormat/>
    <w:uiPriority w:val="0"/>
    <w:rPr>
      <w:rFonts w:ascii="宋体" w:hAnsi="Times New Roman" w:eastAsia="宋体"/>
      <w:kern w:val="2"/>
      <w:sz w:val="18"/>
      <w:szCs w:val="18"/>
    </w:rPr>
  </w:style>
  <w:style w:type="character" w:customStyle="1" w:styleId="37">
    <w:name w:val="页脚 Char"/>
    <w:basedOn w:val="30"/>
    <w:link w:val="19"/>
    <w:qFormat/>
    <w:uiPriority w:val="99"/>
    <w:rPr>
      <w:rFonts w:ascii="Times New Roman" w:hAnsi="Times New Roman"/>
      <w:sz w:val="18"/>
      <w:szCs w:val="18"/>
    </w:rPr>
  </w:style>
  <w:style w:type="character" w:customStyle="1" w:styleId="38">
    <w:name w:val="批注框文本 Char"/>
    <w:basedOn w:val="30"/>
    <w:link w:val="18"/>
    <w:qFormat/>
    <w:uiPriority w:val="0"/>
    <w:rPr>
      <w:rFonts w:ascii="Times New Roman" w:hAnsi="Times New Roman"/>
      <w:kern w:val="2"/>
      <w:sz w:val="18"/>
      <w:szCs w:val="18"/>
    </w:rPr>
  </w:style>
  <w:style w:type="character" w:customStyle="1" w:styleId="39">
    <w:name w:val="表格 Char"/>
    <w:basedOn w:val="30"/>
    <w:qFormat/>
    <w:uiPriority w:val="0"/>
    <w:rPr>
      <w:kern w:val="2"/>
      <w:sz w:val="21"/>
      <w:szCs w:val="21"/>
    </w:rPr>
  </w:style>
  <w:style w:type="character" w:customStyle="1" w:styleId="40">
    <w:name w:val="font51"/>
    <w:basedOn w:val="30"/>
    <w:qFormat/>
    <w:uiPriority w:val="0"/>
    <w:rPr>
      <w:rFonts w:hint="eastAsia" w:ascii="宋体" w:hAnsi="宋体" w:eastAsia="宋体" w:cs="宋体"/>
      <w:color w:val="FF0000"/>
      <w:sz w:val="20"/>
      <w:szCs w:val="20"/>
      <w:u w:val="none"/>
    </w:rPr>
  </w:style>
  <w:style w:type="character" w:customStyle="1" w:styleId="41">
    <w:name w:val="font61"/>
    <w:basedOn w:val="30"/>
    <w:qFormat/>
    <w:uiPriority w:val="0"/>
    <w:rPr>
      <w:rFonts w:hint="default" w:ascii="Times New Roman" w:hAnsi="Times New Roman" w:cs="Times New Roman"/>
      <w:color w:val="FF0000"/>
      <w:sz w:val="20"/>
      <w:szCs w:val="20"/>
      <w:u w:val="none"/>
    </w:rPr>
  </w:style>
  <w:style w:type="character" w:customStyle="1" w:styleId="42">
    <w:name w:val="font01"/>
    <w:basedOn w:val="30"/>
    <w:qFormat/>
    <w:uiPriority w:val="0"/>
    <w:rPr>
      <w:rFonts w:hint="default" w:ascii="Times New Roman" w:hAnsi="Times New Roman" w:cs="Times New Roman"/>
      <w:color w:val="FF0000"/>
      <w:sz w:val="21"/>
      <w:szCs w:val="21"/>
      <w:u w:val="none"/>
    </w:rPr>
  </w:style>
  <w:style w:type="character" w:customStyle="1" w:styleId="43">
    <w:name w:val="font91"/>
    <w:basedOn w:val="30"/>
    <w:qFormat/>
    <w:uiPriority w:val="0"/>
    <w:rPr>
      <w:rFonts w:hint="default" w:ascii="Times New Roman" w:hAnsi="Times New Roman" w:cs="Times New Roman"/>
      <w:color w:val="000000"/>
      <w:sz w:val="24"/>
      <w:szCs w:val="24"/>
      <w:u w:val="none"/>
    </w:rPr>
  </w:style>
  <w:style w:type="character" w:customStyle="1" w:styleId="44">
    <w:name w:val="font31"/>
    <w:basedOn w:val="30"/>
    <w:qFormat/>
    <w:uiPriority w:val="0"/>
    <w:rPr>
      <w:rFonts w:hint="eastAsia" w:ascii="宋体" w:hAnsi="宋体" w:eastAsia="宋体" w:cs="宋体"/>
      <w:color w:val="000000"/>
      <w:sz w:val="21"/>
      <w:szCs w:val="21"/>
      <w:u w:val="none"/>
    </w:rPr>
  </w:style>
  <w:style w:type="character" w:customStyle="1" w:styleId="45">
    <w:name w:val="font71"/>
    <w:basedOn w:val="30"/>
    <w:qFormat/>
    <w:uiPriority w:val="0"/>
    <w:rPr>
      <w:rFonts w:hint="eastAsia" w:ascii="宋体" w:hAnsi="宋体" w:eastAsia="宋体" w:cs="宋体"/>
      <w:color w:val="FF0000"/>
      <w:sz w:val="20"/>
      <w:szCs w:val="20"/>
      <w:u w:val="none"/>
    </w:rPr>
  </w:style>
  <w:style w:type="character" w:customStyle="1" w:styleId="46">
    <w:name w:val="font121"/>
    <w:basedOn w:val="30"/>
    <w:qFormat/>
    <w:uiPriority w:val="0"/>
    <w:rPr>
      <w:rFonts w:hint="default" w:ascii="Times New Roman" w:hAnsi="Times New Roman" w:cs="Times New Roman"/>
      <w:color w:val="000000"/>
      <w:sz w:val="20"/>
      <w:szCs w:val="20"/>
      <w:u w:val="none"/>
      <w:vertAlign w:val="superscript"/>
    </w:rPr>
  </w:style>
  <w:style w:type="character" w:customStyle="1" w:styleId="47">
    <w:name w:val="font111"/>
    <w:basedOn w:val="30"/>
    <w:qFormat/>
    <w:uiPriority w:val="0"/>
    <w:rPr>
      <w:rFonts w:hint="default" w:ascii="Times New Roman" w:hAnsi="Times New Roman" w:cs="Times New Roman"/>
      <w:color w:val="000000"/>
      <w:sz w:val="21"/>
      <w:szCs w:val="21"/>
      <w:u w:val="none"/>
      <w:vertAlign w:val="superscript"/>
    </w:rPr>
  </w:style>
  <w:style w:type="character" w:customStyle="1" w:styleId="48">
    <w:name w:val="font11"/>
    <w:basedOn w:val="30"/>
    <w:qFormat/>
    <w:uiPriority w:val="0"/>
    <w:rPr>
      <w:rFonts w:hint="default" w:ascii="Times New Roman" w:hAnsi="Times New Roman" w:cs="Times New Roman"/>
      <w:color w:val="000000"/>
      <w:sz w:val="21"/>
      <w:szCs w:val="21"/>
      <w:u w:val="none"/>
      <w:vertAlign w:val="superscript"/>
    </w:rPr>
  </w:style>
  <w:style w:type="character" w:customStyle="1" w:styleId="49">
    <w:name w:val="font81"/>
    <w:basedOn w:val="30"/>
    <w:qFormat/>
    <w:uiPriority w:val="0"/>
    <w:rPr>
      <w:rFonts w:hint="eastAsia" w:ascii="宋体" w:hAnsi="宋体" w:eastAsia="宋体" w:cs="宋体"/>
      <w:color w:val="000000"/>
      <w:sz w:val="24"/>
      <w:szCs w:val="24"/>
      <w:u w:val="none"/>
    </w:rPr>
  </w:style>
  <w:style w:type="character" w:customStyle="1" w:styleId="50">
    <w:name w:val="font41"/>
    <w:basedOn w:val="30"/>
    <w:qFormat/>
    <w:uiPriority w:val="0"/>
    <w:rPr>
      <w:rFonts w:hint="eastAsia" w:ascii="宋体" w:hAnsi="宋体" w:eastAsia="宋体" w:cs="宋体"/>
      <w:color w:val="000000"/>
      <w:sz w:val="21"/>
      <w:szCs w:val="21"/>
      <w:u w:val="none"/>
    </w:rPr>
  </w:style>
  <w:style w:type="character" w:customStyle="1" w:styleId="51">
    <w:name w:val="font112"/>
    <w:basedOn w:val="30"/>
    <w:qFormat/>
    <w:uiPriority w:val="0"/>
    <w:rPr>
      <w:rFonts w:hint="default" w:ascii="Times New Roman" w:hAnsi="Times New Roman" w:cs="Times New Roman"/>
      <w:color w:val="000000"/>
      <w:sz w:val="20"/>
      <w:szCs w:val="20"/>
      <w:u w:val="none"/>
    </w:rPr>
  </w:style>
  <w:style w:type="character" w:customStyle="1" w:styleId="52">
    <w:name w:val="标题 4 Char"/>
    <w:basedOn w:val="30"/>
    <w:link w:val="6"/>
    <w:qFormat/>
    <w:uiPriority w:val="0"/>
    <w:rPr>
      <w:rFonts w:eastAsia="宋体"/>
      <w:b/>
      <w:sz w:val="24"/>
      <w:szCs w:val="28"/>
    </w:rPr>
  </w:style>
  <w:style w:type="character" w:customStyle="1" w:styleId="53">
    <w:name w:val="font21"/>
    <w:basedOn w:val="30"/>
    <w:qFormat/>
    <w:uiPriority w:val="0"/>
    <w:rPr>
      <w:rFonts w:hint="default" w:ascii="Times New Roman" w:hAnsi="Times New Roman" w:cs="Times New Roman"/>
      <w:color w:val="000000"/>
      <w:sz w:val="21"/>
      <w:szCs w:val="21"/>
      <w:u w:val="none"/>
    </w:rPr>
  </w:style>
  <w:style w:type="character" w:customStyle="1" w:styleId="54">
    <w:name w:val="font101"/>
    <w:basedOn w:val="30"/>
    <w:qFormat/>
    <w:uiPriority w:val="0"/>
    <w:rPr>
      <w:rFonts w:hint="default" w:ascii="Times New Roman" w:hAnsi="Times New Roman" w:cs="Times New Roman"/>
      <w:color w:val="000000"/>
      <w:sz w:val="21"/>
      <w:szCs w:val="21"/>
      <w:u w:val="none"/>
      <w:vertAlign w:val="superscript"/>
    </w:rPr>
  </w:style>
  <w:style w:type="paragraph" w:customStyle="1" w:styleId="55">
    <w:name w:val="报告书正文"/>
    <w:basedOn w:val="1"/>
    <w:qFormat/>
    <w:uiPriority w:val="0"/>
    <w:pPr>
      <w:spacing w:line="300" w:lineRule="auto"/>
      <w:ind w:firstLine="480"/>
    </w:pPr>
    <w:rPr>
      <w:szCs w:val="20"/>
    </w:rPr>
  </w:style>
  <w:style w:type="paragraph" w:customStyle="1" w:styleId="56">
    <w:name w:val="方案正文"/>
    <w:basedOn w:val="1"/>
    <w:link w:val="123"/>
    <w:qFormat/>
    <w:uiPriority w:val="0"/>
    <w:pPr>
      <w:widowControl/>
    </w:pPr>
    <w:rPr>
      <w:rFonts w:eastAsia="仿宋_GB2312"/>
      <w:snapToGrid w:val="0"/>
      <w:kern w:val="24"/>
      <w:szCs w:val="24"/>
    </w:rPr>
  </w:style>
  <w:style w:type="paragraph" w:customStyle="1" w:styleId="57">
    <w:name w:val="表格"/>
    <w:next w:val="1"/>
    <w:link w:val="83"/>
    <w:qFormat/>
    <w:uiPriority w:val="0"/>
    <w:pPr>
      <w:widowControl w:val="0"/>
      <w:adjustRightInd w:val="0"/>
      <w:snapToGrid w:val="0"/>
      <w:jc w:val="center"/>
    </w:pPr>
    <w:rPr>
      <w:rFonts w:ascii="Times New Roman" w:hAnsi="Times New Roman" w:eastAsia="宋体" w:cs="Times New Roman"/>
      <w:spacing w:val="-2"/>
      <w:sz w:val="21"/>
      <w:szCs w:val="21"/>
      <w:lang w:val="en-US" w:eastAsia="zh-CN" w:bidi="ar-SA"/>
    </w:rPr>
  </w:style>
  <w:style w:type="paragraph" w:customStyle="1" w:styleId="58">
    <w:name w:val="5级 （ 1）"/>
    <w:basedOn w:val="1"/>
    <w:link w:val="59"/>
    <w:qFormat/>
    <w:uiPriority w:val="0"/>
    <w:pPr>
      <w:suppressAutoHyphens/>
      <w:ind w:firstLine="480"/>
      <w:jc w:val="left"/>
      <w:outlineLvl w:val="4"/>
    </w:pPr>
    <w:rPr>
      <w:szCs w:val="24"/>
    </w:rPr>
  </w:style>
  <w:style w:type="character" w:customStyle="1" w:styleId="59">
    <w:name w:val="5级 （ 1） Char"/>
    <w:link w:val="58"/>
    <w:qFormat/>
    <w:uiPriority w:val="0"/>
    <w:rPr>
      <w:kern w:val="2"/>
      <w:sz w:val="24"/>
      <w:szCs w:val="24"/>
    </w:rPr>
  </w:style>
  <w:style w:type="paragraph" w:customStyle="1" w:styleId="60">
    <w:name w:val="p0"/>
    <w:basedOn w:val="1"/>
    <w:qFormat/>
    <w:uiPriority w:val="0"/>
    <w:pPr>
      <w:widowControl/>
      <w:ind w:firstLine="420" w:firstLineChars="0"/>
    </w:pPr>
    <w:rPr>
      <w:rFonts w:ascii="宋体" w:hAnsi="宋体" w:cs="宋体"/>
      <w:kern w:val="0"/>
      <w:szCs w:val="24"/>
    </w:rPr>
  </w:style>
  <w:style w:type="paragraph" w:customStyle="1" w:styleId="61">
    <w:name w:val="表格五号修"/>
    <w:basedOn w:val="1"/>
    <w:qFormat/>
    <w:uiPriority w:val="0"/>
    <w:pPr>
      <w:spacing w:line="360" w:lineRule="exact"/>
      <w:ind w:firstLine="0" w:firstLineChars="0"/>
    </w:pPr>
    <w:rPr>
      <w:color w:val="000000"/>
      <w:sz w:val="21"/>
      <w:szCs w:val="24"/>
    </w:rPr>
  </w:style>
  <w:style w:type="paragraph" w:customStyle="1" w:styleId="62">
    <w:name w:val="my"/>
    <w:basedOn w:val="1"/>
    <w:link w:val="63"/>
    <w:qFormat/>
    <w:uiPriority w:val="0"/>
    <w:pPr>
      <w:widowControl/>
      <w:tabs>
        <w:tab w:val="left" w:pos="0"/>
      </w:tabs>
      <w:spacing w:line="560" w:lineRule="exact"/>
    </w:pPr>
    <w:rPr>
      <w:rFonts w:eastAsia="华文楷体"/>
      <w:snapToGrid w:val="0"/>
      <w:kern w:val="0"/>
      <w:sz w:val="28"/>
      <w:szCs w:val="28"/>
    </w:rPr>
  </w:style>
  <w:style w:type="character" w:customStyle="1" w:styleId="63">
    <w:name w:val="my Char Char"/>
    <w:link w:val="62"/>
    <w:qFormat/>
    <w:uiPriority w:val="0"/>
    <w:rPr>
      <w:rFonts w:eastAsia="华文楷体"/>
      <w:snapToGrid w:val="0"/>
      <w:sz w:val="28"/>
      <w:szCs w:val="28"/>
    </w:rPr>
  </w:style>
  <w:style w:type="paragraph" w:customStyle="1" w:styleId="64">
    <w:name w:val="xl31"/>
    <w:basedOn w:val="1"/>
    <w:qFormat/>
    <w:uiPriority w:val="0"/>
    <w:pPr>
      <w:widowControl/>
      <w:spacing w:before="100" w:beforeAutospacing="1" w:after="100" w:afterAutospacing="1" w:line="240" w:lineRule="auto"/>
      <w:ind w:firstLine="0" w:firstLineChars="0"/>
      <w:jc w:val="center"/>
      <w:textAlignment w:val="center"/>
    </w:pPr>
    <w:rPr>
      <w:rFonts w:ascii="宋体" w:hAnsi="宋体"/>
      <w:kern w:val="0"/>
      <w:szCs w:val="24"/>
    </w:rPr>
  </w:style>
  <w:style w:type="paragraph" w:customStyle="1" w:styleId="65">
    <w:name w:val="1级标题"/>
    <w:basedOn w:val="3"/>
    <w:link w:val="68"/>
    <w:qFormat/>
    <w:uiPriority w:val="0"/>
    <w:pPr>
      <w:spacing w:line="360" w:lineRule="auto"/>
      <w:ind w:firstLine="562"/>
    </w:pPr>
    <w:rPr>
      <w:rFonts w:eastAsia="仿宋_GB2312"/>
    </w:rPr>
  </w:style>
  <w:style w:type="paragraph" w:customStyle="1" w:styleId="66">
    <w:name w:val="二级标题"/>
    <w:basedOn w:val="4"/>
    <w:link w:val="71"/>
    <w:qFormat/>
    <w:uiPriority w:val="0"/>
    <w:pPr>
      <w:spacing w:line="360" w:lineRule="auto"/>
      <w:ind w:firstLine="49" w:firstLineChars="49"/>
    </w:pPr>
    <w:rPr>
      <w:rFonts w:eastAsia="仿宋_GB2312"/>
    </w:rPr>
  </w:style>
  <w:style w:type="character" w:customStyle="1" w:styleId="67">
    <w:name w:val="标题 1 Char"/>
    <w:basedOn w:val="30"/>
    <w:link w:val="3"/>
    <w:qFormat/>
    <w:uiPriority w:val="0"/>
    <w:rPr>
      <w:b/>
      <w:bCs/>
      <w:kern w:val="44"/>
      <w:sz w:val="32"/>
      <w:szCs w:val="44"/>
    </w:rPr>
  </w:style>
  <w:style w:type="character" w:customStyle="1" w:styleId="68">
    <w:name w:val="1级标题 Char"/>
    <w:basedOn w:val="67"/>
    <w:link w:val="65"/>
    <w:qFormat/>
    <w:uiPriority w:val="0"/>
    <w:rPr>
      <w:rFonts w:eastAsia="仿宋_GB2312"/>
      <w:kern w:val="44"/>
      <w:sz w:val="32"/>
      <w:szCs w:val="44"/>
    </w:rPr>
  </w:style>
  <w:style w:type="paragraph" w:customStyle="1" w:styleId="69">
    <w:name w:val="三级标题"/>
    <w:basedOn w:val="5"/>
    <w:link w:val="74"/>
    <w:qFormat/>
    <w:uiPriority w:val="0"/>
    <w:pPr>
      <w:spacing w:line="360" w:lineRule="auto"/>
      <w:ind w:firstLine="170"/>
    </w:pPr>
    <w:rPr>
      <w:rFonts w:eastAsia="仿宋_GB2312"/>
    </w:rPr>
  </w:style>
  <w:style w:type="character" w:customStyle="1" w:styleId="70">
    <w:name w:val="标题 2 Char"/>
    <w:basedOn w:val="30"/>
    <w:link w:val="4"/>
    <w:qFormat/>
    <w:uiPriority w:val="0"/>
    <w:rPr>
      <w:b/>
      <w:bCs/>
      <w:kern w:val="2"/>
      <w:sz w:val="30"/>
      <w:szCs w:val="32"/>
    </w:rPr>
  </w:style>
  <w:style w:type="character" w:customStyle="1" w:styleId="71">
    <w:name w:val="二级标题 Char"/>
    <w:basedOn w:val="70"/>
    <w:link w:val="66"/>
    <w:qFormat/>
    <w:uiPriority w:val="0"/>
    <w:rPr>
      <w:rFonts w:eastAsia="仿宋_GB2312"/>
      <w:kern w:val="2"/>
      <w:sz w:val="30"/>
      <w:szCs w:val="32"/>
    </w:rPr>
  </w:style>
  <w:style w:type="paragraph" w:customStyle="1" w:styleId="72">
    <w:name w:val="四级标题"/>
    <w:basedOn w:val="6"/>
    <w:link w:val="76"/>
    <w:qFormat/>
    <w:uiPriority w:val="0"/>
    <w:pPr>
      <w:spacing w:line="360" w:lineRule="auto"/>
      <w:ind w:firstLine="284"/>
    </w:pPr>
    <w:rPr>
      <w:rFonts w:eastAsia="仿宋_GB2312"/>
    </w:rPr>
  </w:style>
  <w:style w:type="character" w:customStyle="1" w:styleId="73">
    <w:name w:val="标题 3 Char"/>
    <w:basedOn w:val="30"/>
    <w:link w:val="5"/>
    <w:qFormat/>
    <w:uiPriority w:val="0"/>
    <w:rPr>
      <w:b/>
      <w:bCs/>
      <w:kern w:val="2"/>
      <w:sz w:val="28"/>
      <w:szCs w:val="32"/>
    </w:rPr>
  </w:style>
  <w:style w:type="character" w:customStyle="1" w:styleId="74">
    <w:name w:val="三级标题 Char"/>
    <w:basedOn w:val="73"/>
    <w:link w:val="69"/>
    <w:qFormat/>
    <w:uiPriority w:val="0"/>
    <w:rPr>
      <w:rFonts w:eastAsia="仿宋_GB2312"/>
      <w:kern w:val="2"/>
      <w:sz w:val="28"/>
      <w:szCs w:val="32"/>
    </w:rPr>
  </w:style>
  <w:style w:type="paragraph" w:customStyle="1" w:styleId="75">
    <w:name w:val="表头"/>
    <w:basedOn w:val="1"/>
    <w:link w:val="78"/>
    <w:qFormat/>
    <w:uiPriority w:val="0"/>
    <w:pPr>
      <w:widowControl/>
      <w:spacing w:line="240" w:lineRule="auto"/>
      <w:ind w:firstLine="0" w:firstLineChars="0"/>
      <w:jc w:val="center"/>
      <w:outlineLvl w:val="4"/>
    </w:pPr>
    <w:rPr>
      <w:rFonts w:eastAsia="仿宋_GB2312"/>
      <w:b/>
      <w:bCs/>
      <w:kern w:val="0"/>
      <w:szCs w:val="21"/>
    </w:rPr>
  </w:style>
  <w:style w:type="character" w:customStyle="1" w:styleId="76">
    <w:name w:val="四级标题 Char"/>
    <w:basedOn w:val="52"/>
    <w:link w:val="72"/>
    <w:qFormat/>
    <w:uiPriority w:val="0"/>
    <w:rPr>
      <w:rFonts w:eastAsia="仿宋_GB2312"/>
      <w:bCs/>
      <w:kern w:val="2"/>
      <w:sz w:val="24"/>
      <w:szCs w:val="28"/>
    </w:rPr>
  </w:style>
  <w:style w:type="paragraph" w:customStyle="1" w:styleId="77">
    <w:name w:val="正文1"/>
    <w:basedOn w:val="1"/>
    <w:link w:val="80"/>
    <w:qFormat/>
    <w:uiPriority w:val="0"/>
    <w:pPr>
      <w:ind w:firstLine="480"/>
    </w:pPr>
  </w:style>
  <w:style w:type="character" w:customStyle="1" w:styleId="78">
    <w:name w:val="表头 Char"/>
    <w:basedOn w:val="30"/>
    <w:link w:val="75"/>
    <w:qFormat/>
    <w:uiPriority w:val="0"/>
    <w:rPr>
      <w:rFonts w:eastAsia="仿宋_GB2312"/>
      <w:b/>
      <w:bCs/>
      <w:sz w:val="24"/>
      <w:szCs w:val="21"/>
    </w:rPr>
  </w:style>
  <w:style w:type="paragraph" w:customStyle="1" w:styleId="79">
    <w:name w:val="正文2"/>
    <w:basedOn w:val="1"/>
    <w:link w:val="82"/>
    <w:qFormat/>
    <w:uiPriority w:val="0"/>
    <w:pPr>
      <w:ind w:firstLine="480"/>
    </w:pPr>
  </w:style>
  <w:style w:type="character" w:customStyle="1" w:styleId="80">
    <w:name w:val="正文 Char"/>
    <w:basedOn w:val="30"/>
    <w:link w:val="77"/>
    <w:qFormat/>
    <w:uiPriority w:val="2"/>
    <w:rPr>
      <w:kern w:val="2"/>
      <w:sz w:val="24"/>
      <w:szCs w:val="22"/>
    </w:rPr>
  </w:style>
  <w:style w:type="paragraph" w:customStyle="1" w:styleId="81">
    <w:name w:val="正文3"/>
    <w:basedOn w:val="23"/>
    <w:qFormat/>
    <w:uiPriority w:val="0"/>
    <w:pPr>
      <w:widowControl/>
    </w:pPr>
    <w:rPr>
      <w:lang w:val="zh-CN"/>
    </w:rPr>
  </w:style>
  <w:style w:type="character" w:customStyle="1" w:styleId="82">
    <w:name w:val="正文 Char1"/>
    <w:basedOn w:val="30"/>
    <w:link w:val="79"/>
    <w:qFormat/>
    <w:uiPriority w:val="0"/>
    <w:rPr>
      <w:kern w:val="2"/>
      <w:sz w:val="24"/>
      <w:szCs w:val="22"/>
    </w:rPr>
  </w:style>
  <w:style w:type="character" w:customStyle="1" w:styleId="83">
    <w:name w:val="表格 Char1"/>
    <w:basedOn w:val="30"/>
    <w:link w:val="57"/>
    <w:qFormat/>
    <w:uiPriority w:val="0"/>
    <w:rPr>
      <w:spacing w:val="-2"/>
      <w:sz w:val="21"/>
      <w:szCs w:val="21"/>
    </w:rPr>
  </w:style>
  <w:style w:type="paragraph" w:customStyle="1" w:styleId="84">
    <w:name w:val="表格内容2"/>
    <w:basedOn w:val="1"/>
    <w:link w:val="85"/>
    <w:qFormat/>
    <w:uiPriority w:val="0"/>
    <w:pPr>
      <w:autoSpaceDE w:val="0"/>
      <w:autoSpaceDN w:val="0"/>
      <w:snapToGrid/>
      <w:spacing w:line="240" w:lineRule="auto"/>
      <w:ind w:firstLine="0" w:firstLineChars="0"/>
      <w:jc w:val="center"/>
    </w:pPr>
    <w:rPr>
      <w:rFonts w:eastAsia="仿宋_GB2312"/>
      <w:spacing w:val="-2"/>
      <w:kern w:val="0"/>
      <w:sz w:val="21"/>
      <w:szCs w:val="21"/>
    </w:rPr>
  </w:style>
  <w:style w:type="character" w:customStyle="1" w:styleId="85">
    <w:name w:val="表格内容2 Char"/>
    <w:link w:val="84"/>
    <w:qFormat/>
    <w:uiPriority w:val="0"/>
    <w:rPr>
      <w:rFonts w:eastAsia="仿宋_GB2312"/>
      <w:spacing w:val="-2"/>
      <w:sz w:val="21"/>
      <w:szCs w:val="21"/>
    </w:rPr>
  </w:style>
  <w:style w:type="character" w:customStyle="1" w:styleId="86">
    <w:name w:val="表头 Char Char"/>
    <w:qFormat/>
    <w:uiPriority w:val="0"/>
    <w:rPr>
      <w:b/>
      <w:kern w:val="2"/>
      <w:sz w:val="24"/>
      <w:szCs w:val="24"/>
    </w:rPr>
  </w:style>
  <w:style w:type="character" w:customStyle="1" w:styleId="87">
    <w:name w:val="表格 Char Char"/>
    <w:qFormat/>
    <w:uiPriority w:val="0"/>
    <w:rPr>
      <w:kern w:val="2"/>
      <w:sz w:val="21"/>
      <w:szCs w:val="21"/>
    </w:rPr>
  </w:style>
  <w:style w:type="paragraph" w:customStyle="1" w:styleId="88">
    <w:name w:val="4HZ正文"/>
    <w:basedOn w:val="1"/>
    <w:qFormat/>
    <w:uiPriority w:val="0"/>
    <w:pPr>
      <w:adjustRightInd/>
      <w:snapToGrid/>
      <w:spacing w:line="240" w:lineRule="auto"/>
    </w:pPr>
    <w:rPr>
      <w:rFonts w:ascii="宋体" w:hAnsi="Calibri"/>
      <w:kern w:val="0"/>
      <w:sz w:val="28"/>
      <w:szCs w:val="21"/>
    </w:rPr>
  </w:style>
  <w:style w:type="character" w:customStyle="1" w:styleId="89">
    <w:name w:val="标题 5 Char"/>
    <w:basedOn w:val="30"/>
    <w:link w:val="7"/>
    <w:semiHidden/>
    <w:qFormat/>
    <w:uiPriority w:val="0"/>
    <w:rPr>
      <w:b/>
      <w:bCs/>
      <w:kern w:val="2"/>
      <w:sz w:val="28"/>
      <w:szCs w:val="28"/>
    </w:rPr>
  </w:style>
  <w:style w:type="paragraph" w:styleId="90">
    <w:name w:val="List Paragraph"/>
    <w:basedOn w:val="1"/>
    <w:qFormat/>
    <w:uiPriority w:val="34"/>
    <w:pPr>
      <w:ind w:firstLine="420"/>
    </w:pPr>
  </w:style>
  <w:style w:type="paragraph" w:customStyle="1" w:styleId="91">
    <w:name w:val="表格内容c"/>
    <w:basedOn w:val="1"/>
    <w:link w:val="92"/>
    <w:qFormat/>
    <w:uiPriority w:val="0"/>
    <w:pPr>
      <w:adjustRightInd/>
      <w:snapToGrid/>
      <w:spacing w:line="240" w:lineRule="auto"/>
      <w:ind w:firstLine="0" w:firstLineChars="0"/>
      <w:jc w:val="center"/>
    </w:pPr>
    <w:rPr>
      <w:sz w:val="21"/>
      <w:szCs w:val="21"/>
    </w:rPr>
  </w:style>
  <w:style w:type="character" w:customStyle="1" w:styleId="92">
    <w:name w:val="表格内容c Char"/>
    <w:link w:val="91"/>
    <w:qFormat/>
    <w:uiPriority w:val="0"/>
    <w:rPr>
      <w:kern w:val="2"/>
      <w:sz w:val="21"/>
      <w:szCs w:val="21"/>
    </w:rPr>
  </w:style>
  <w:style w:type="paragraph" w:customStyle="1" w:styleId="93">
    <w:name w:val="CM3"/>
    <w:basedOn w:val="1"/>
    <w:next w:val="1"/>
    <w:qFormat/>
    <w:uiPriority w:val="99"/>
    <w:pPr>
      <w:autoSpaceDE w:val="0"/>
      <w:autoSpaceDN w:val="0"/>
      <w:snapToGrid/>
      <w:spacing w:line="460" w:lineRule="atLeast"/>
      <w:ind w:firstLine="0" w:firstLineChars="0"/>
      <w:jc w:val="left"/>
    </w:pPr>
    <w:rPr>
      <w:kern w:val="0"/>
      <w:szCs w:val="24"/>
    </w:rPr>
  </w:style>
  <w:style w:type="character" w:customStyle="1" w:styleId="94">
    <w:name w:val="标题 7 Char"/>
    <w:basedOn w:val="30"/>
    <w:link w:val="8"/>
    <w:qFormat/>
    <w:uiPriority w:val="0"/>
    <w:rPr>
      <w:b/>
      <w:bCs/>
      <w:kern w:val="2"/>
      <w:sz w:val="24"/>
      <w:szCs w:val="24"/>
    </w:rPr>
  </w:style>
  <w:style w:type="character" w:customStyle="1" w:styleId="95">
    <w:name w:val="正文首行缩进 2 Char"/>
    <w:basedOn w:val="96"/>
    <w:link w:val="26"/>
    <w:qFormat/>
    <w:uiPriority w:val="99"/>
    <w:rPr>
      <w:kern w:val="2"/>
      <w:sz w:val="24"/>
      <w:szCs w:val="24"/>
      <w:lang w:eastAsia="en-US" w:bidi="en-US"/>
    </w:rPr>
  </w:style>
  <w:style w:type="character" w:customStyle="1" w:styleId="96">
    <w:name w:val="正文文本缩进 Char"/>
    <w:basedOn w:val="30"/>
    <w:link w:val="14"/>
    <w:qFormat/>
    <w:uiPriority w:val="0"/>
    <w:rPr>
      <w:kern w:val="2"/>
      <w:sz w:val="24"/>
      <w:szCs w:val="22"/>
    </w:rPr>
  </w:style>
  <w:style w:type="character" w:customStyle="1" w:styleId="97">
    <w:name w:val="正文首行缩进 2 Char1"/>
    <w:basedOn w:val="96"/>
    <w:qFormat/>
    <w:uiPriority w:val="0"/>
    <w:rPr>
      <w:kern w:val="2"/>
      <w:sz w:val="24"/>
      <w:szCs w:val="22"/>
    </w:rPr>
  </w:style>
  <w:style w:type="character" w:customStyle="1" w:styleId="98">
    <w:name w:val="样式 正文 +"/>
    <w:qFormat/>
    <w:uiPriority w:val="0"/>
    <w:rPr>
      <w:rFonts w:ascii="Times New Roman" w:hAnsi="Times New Roman" w:cs="Times New Roman"/>
      <w:kern w:val="0"/>
      <w:sz w:val="18"/>
      <w:szCs w:val="18"/>
    </w:rPr>
  </w:style>
  <w:style w:type="paragraph" w:customStyle="1" w:styleId="99">
    <w:name w:val="正文+缩进 Char Char Char"/>
    <w:basedOn w:val="1"/>
    <w:link w:val="116"/>
    <w:qFormat/>
    <w:uiPriority w:val="0"/>
    <w:rPr>
      <w:bCs/>
      <w:szCs w:val="24"/>
    </w:rPr>
  </w:style>
  <w:style w:type="character" w:customStyle="1" w:styleId="100">
    <w:name w:val="本文正文 Char"/>
    <w:link w:val="101"/>
    <w:qFormat/>
    <w:uiPriority w:val="0"/>
    <w:rPr>
      <w:sz w:val="24"/>
      <w:szCs w:val="44"/>
    </w:rPr>
  </w:style>
  <w:style w:type="paragraph" w:customStyle="1" w:styleId="101">
    <w:name w:val="本文正文"/>
    <w:basedOn w:val="1"/>
    <w:link w:val="100"/>
    <w:qFormat/>
    <w:uiPriority w:val="0"/>
    <w:pPr>
      <w:tabs>
        <w:tab w:val="left" w:pos="4500"/>
      </w:tabs>
      <w:adjustRightInd/>
      <w:snapToGrid/>
    </w:pPr>
    <w:rPr>
      <w:kern w:val="0"/>
      <w:szCs w:val="44"/>
    </w:rPr>
  </w:style>
  <w:style w:type="character" w:customStyle="1" w:styleId="102">
    <w:name w:val="报告图题 Char"/>
    <w:link w:val="103"/>
    <w:qFormat/>
    <w:uiPriority w:val="0"/>
    <w:rPr>
      <w:rFonts w:ascii="黑体" w:eastAsia="黑体"/>
    </w:rPr>
  </w:style>
  <w:style w:type="paragraph" w:customStyle="1" w:styleId="103">
    <w:name w:val="报告图题"/>
    <w:basedOn w:val="1"/>
    <w:next w:val="1"/>
    <w:link w:val="102"/>
    <w:qFormat/>
    <w:uiPriority w:val="0"/>
    <w:pPr>
      <w:adjustRightInd/>
      <w:snapToGrid/>
      <w:spacing w:before="120" w:after="120" w:line="400" w:lineRule="exact"/>
      <w:ind w:firstLine="0" w:firstLineChars="0"/>
      <w:jc w:val="center"/>
    </w:pPr>
    <w:rPr>
      <w:rFonts w:ascii="黑体" w:eastAsia="黑体"/>
      <w:kern w:val="0"/>
      <w:sz w:val="20"/>
      <w:szCs w:val="20"/>
    </w:rPr>
  </w:style>
  <w:style w:type="character" w:customStyle="1" w:styleId="104">
    <w:name w:val="表右 Char"/>
    <w:link w:val="105"/>
    <w:qFormat/>
    <w:uiPriority w:val="0"/>
    <w:rPr>
      <w:kern w:val="2"/>
      <w:sz w:val="21"/>
      <w:szCs w:val="24"/>
    </w:rPr>
  </w:style>
  <w:style w:type="paragraph" w:customStyle="1" w:styleId="105">
    <w:name w:val="表右"/>
    <w:next w:val="1"/>
    <w:link w:val="104"/>
    <w:qFormat/>
    <w:uiPriority w:val="0"/>
    <w:pPr>
      <w:jc w:val="right"/>
    </w:pPr>
    <w:rPr>
      <w:rFonts w:ascii="Times New Roman" w:hAnsi="Times New Roman" w:eastAsia="宋体" w:cs="Times New Roman"/>
      <w:kern w:val="2"/>
      <w:sz w:val="21"/>
      <w:szCs w:val="24"/>
      <w:lang w:val="en-US" w:eastAsia="zh-CN" w:bidi="ar-SA"/>
    </w:rPr>
  </w:style>
  <w:style w:type="character" w:customStyle="1" w:styleId="106">
    <w:name w:val="正文文本 Char"/>
    <w:basedOn w:val="30"/>
    <w:link w:val="13"/>
    <w:qFormat/>
    <w:uiPriority w:val="0"/>
    <w:rPr>
      <w:kern w:val="2"/>
      <w:sz w:val="24"/>
      <w:szCs w:val="22"/>
    </w:rPr>
  </w:style>
  <w:style w:type="character" w:customStyle="1" w:styleId="107">
    <w:name w:val="正文首行缩进 Char"/>
    <w:basedOn w:val="106"/>
    <w:link w:val="25"/>
    <w:qFormat/>
    <w:uiPriority w:val="0"/>
    <w:rPr>
      <w:kern w:val="2"/>
      <w:sz w:val="24"/>
      <w:szCs w:val="22"/>
    </w:rPr>
  </w:style>
  <w:style w:type="character" w:customStyle="1" w:styleId="108">
    <w:name w:val="纯文本 Char"/>
    <w:basedOn w:val="30"/>
    <w:link w:val="16"/>
    <w:qFormat/>
    <w:uiPriority w:val="99"/>
    <w:rPr>
      <w:rFonts w:ascii="宋体" w:hAnsi="Courier New"/>
      <w:szCs w:val="21"/>
    </w:rPr>
  </w:style>
  <w:style w:type="character" w:customStyle="1" w:styleId="109">
    <w:name w:val="正文文本_"/>
    <w:basedOn w:val="30"/>
    <w:link w:val="110"/>
    <w:qFormat/>
    <w:locked/>
    <w:uiPriority w:val="99"/>
    <w:rPr>
      <w:rFonts w:ascii="MingLiU" w:hAnsi="MingLiU" w:eastAsia="MingLiU" w:cs="MingLiU"/>
      <w:spacing w:val="30"/>
      <w:sz w:val="22"/>
      <w:shd w:val="clear" w:color="auto" w:fill="FFFFFF"/>
    </w:rPr>
  </w:style>
  <w:style w:type="paragraph" w:customStyle="1" w:styleId="110">
    <w:name w:val="正文文本1"/>
    <w:basedOn w:val="1"/>
    <w:link w:val="109"/>
    <w:qFormat/>
    <w:uiPriority w:val="99"/>
    <w:pPr>
      <w:shd w:val="clear" w:color="auto" w:fill="FFFFFF"/>
      <w:adjustRightInd/>
      <w:snapToGrid/>
      <w:spacing w:line="456" w:lineRule="exact"/>
      <w:ind w:firstLine="0" w:firstLineChars="0"/>
      <w:jc w:val="distribute"/>
    </w:pPr>
    <w:rPr>
      <w:rFonts w:ascii="MingLiU" w:hAnsi="MingLiU" w:eastAsia="MingLiU" w:cs="MingLiU"/>
      <w:spacing w:val="30"/>
      <w:kern w:val="0"/>
      <w:sz w:val="22"/>
      <w:szCs w:val="20"/>
    </w:rPr>
  </w:style>
  <w:style w:type="character" w:customStyle="1" w:styleId="111">
    <w:name w:val="表内文字 Char"/>
    <w:link w:val="112"/>
    <w:qFormat/>
    <w:locked/>
    <w:uiPriority w:val="0"/>
    <w:rPr>
      <w:sz w:val="18"/>
    </w:rPr>
  </w:style>
  <w:style w:type="paragraph" w:customStyle="1" w:styleId="112">
    <w:name w:val="表内文字"/>
    <w:basedOn w:val="1"/>
    <w:link w:val="111"/>
    <w:qFormat/>
    <w:uiPriority w:val="0"/>
    <w:pPr>
      <w:adjustRightInd/>
      <w:snapToGrid/>
      <w:spacing w:line="240" w:lineRule="atLeast"/>
      <w:ind w:left="-20" w:leftChars="-20" w:right="-20" w:rightChars="-20" w:firstLine="0" w:firstLineChars="0"/>
      <w:jc w:val="center"/>
    </w:pPr>
    <w:rPr>
      <w:kern w:val="0"/>
      <w:sz w:val="18"/>
      <w:szCs w:val="20"/>
    </w:rPr>
  </w:style>
  <w:style w:type="character" w:customStyle="1" w:styleId="113">
    <w:name w:val="庆平高速正文 Char"/>
    <w:link w:val="114"/>
    <w:qFormat/>
    <w:uiPriority w:val="0"/>
    <w:rPr>
      <w:bCs/>
      <w:sz w:val="24"/>
      <w:szCs w:val="24"/>
    </w:rPr>
  </w:style>
  <w:style w:type="paragraph" w:customStyle="1" w:styleId="114">
    <w:name w:val="庆平高速正文"/>
    <w:basedOn w:val="1"/>
    <w:link w:val="113"/>
    <w:qFormat/>
    <w:uiPriority w:val="0"/>
    <w:pPr>
      <w:autoSpaceDE w:val="0"/>
      <w:autoSpaceDN w:val="0"/>
      <w:ind w:firstLine="480"/>
      <w:jc w:val="left"/>
    </w:pPr>
    <w:rPr>
      <w:bCs/>
      <w:kern w:val="0"/>
      <w:szCs w:val="24"/>
    </w:rPr>
  </w:style>
  <w:style w:type="character" w:customStyle="1" w:styleId="115">
    <w:name w:val="标题 4 Char Char"/>
    <w:qFormat/>
    <w:uiPriority w:val="0"/>
    <w:rPr>
      <w:rFonts w:eastAsia="宋体"/>
      <w:b/>
      <w:bCs/>
      <w:kern w:val="2"/>
      <w:sz w:val="24"/>
      <w:szCs w:val="24"/>
      <w:lang w:val="en-US" w:eastAsia="zh-CN" w:bidi="ar-SA"/>
    </w:rPr>
  </w:style>
  <w:style w:type="character" w:customStyle="1" w:styleId="116">
    <w:name w:val="正文+缩进 Char Char Char Char Char"/>
    <w:link w:val="99"/>
    <w:qFormat/>
    <w:uiPriority w:val="0"/>
    <w:rPr>
      <w:bCs/>
      <w:kern w:val="2"/>
      <w:sz w:val="24"/>
      <w:szCs w:val="24"/>
    </w:rPr>
  </w:style>
  <w:style w:type="paragraph" w:customStyle="1" w:styleId="117">
    <w:name w:val="样式 (符号) 宋体 加粗"/>
    <w:basedOn w:val="1"/>
    <w:qFormat/>
    <w:uiPriority w:val="0"/>
    <w:pPr>
      <w:widowControl/>
      <w:adjustRightInd/>
      <w:snapToGrid/>
      <w:ind w:left="567" w:hanging="567" w:firstLineChars="0"/>
      <w:outlineLvl w:val="3"/>
    </w:pPr>
    <w:rPr>
      <w:b/>
      <w:kern w:val="0"/>
      <w:szCs w:val="24"/>
    </w:rPr>
  </w:style>
  <w:style w:type="paragraph" w:customStyle="1" w:styleId="118">
    <w:name w:val="样式 标题 3 + 宋体 非全部大写"/>
    <w:basedOn w:val="5"/>
    <w:qFormat/>
    <w:uiPriority w:val="0"/>
    <w:pPr>
      <w:tabs>
        <w:tab w:val="left" w:pos="720"/>
      </w:tabs>
      <w:adjustRightInd/>
      <w:snapToGrid/>
      <w:spacing w:line="360" w:lineRule="auto"/>
      <w:ind w:left="720" w:hanging="720"/>
    </w:pPr>
    <w:rPr>
      <w:bCs w:val="0"/>
      <w:szCs w:val="24"/>
    </w:rPr>
  </w:style>
  <w:style w:type="paragraph" w:customStyle="1" w:styleId="119">
    <w:name w:val="标题4-c"/>
    <w:basedOn w:val="117"/>
    <w:link w:val="120"/>
    <w:qFormat/>
    <w:uiPriority w:val="0"/>
  </w:style>
  <w:style w:type="character" w:customStyle="1" w:styleId="120">
    <w:name w:val="标题4-c Char"/>
    <w:basedOn w:val="30"/>
    <w:link w:val="119"/>
    <w:qFormat/>
    <w:uiPriority w:val="0"/>
    <w:rPr>
      <w:b/>
      <w:sz w:val="24"/>
      <w:szCs w:val="24"/>
    </w:rPr>
  </w:style>
  <w:style w:type="character" w:customStyle="1" w:styleId="121">
    <w:name w:val="fontstyle01"/>
    <w:basedOn w:val="30"/>
    <w:qFormat/>
    <w:uiPriority w:val="0"/>
    <w:rPr>
      <w:rFonts w:hint="eastAsia" w:ascii="宋体" w:hAnsi="宋体" w:eastAsia="宋体"/>
      <w:color w:val="000000"/>
      <w:sz w:val="24"/>
      <w:szCs w:val="24"/>
    </w:rPr>
  </w:style>
  <w:style w:type="character" w:customStyle="1" w:styleId="122">
    <w:name w:val="fontstyle21"/>
    <w:basedOn w:val="30"/>
    <w:qFormat/>
    <w:uiPriority w:val="0"/>
    <w:rPr>
      <w:rFonts w:hint="default" w:ascii="TimesNewRomanPSMT" w:hAnsi="TimesNewRomanPSMT"/>
      <w:color w:val="000000"/>
      <w:sz w:val="24"/>
      <w:szCs w:val="24"/>
    </w:rPr>
  </w:style>
  <w:style w:type="character" w:customStyle="1" w:styleId="123">
    <w:name w:val="方案正文 Char"/>
    <w:link w:val="56"/>
    <w:qFormat/>
    <w:uiPriority w:val="0"/>
    <w:rPr>
      <w:rFonts w:eastAsia="仿宋_GB2312"/>
      <w:snapToGrid w:val="0"/>
      <w:kern w:val="24"/>
      <w:sz w:val="24"/>
      <w:szCs w:val="24"/>
    </w:rPr>
  </w:style>
  <w:style w:type="character" w:customStyle="1" w:styleId="124">
    <w:name w:val="apple-converted-space"/>
    <w:basedOn w:val="30"/>
    <w:qFormat/>
    <w:uiPriority w:val="0"/>
  </w:style>
  <w:style w:type="character" w:customStyle="1" w:styleId="125">
    <w:name w:val="日期 Char"/>
    <w:basedOn w:val="30"/>
    <w:link w:val="17"/>
    <w:qFormat/>
    <w:uiPriority w:val="0"/>
    <w:rPr>
      <w:kern w:val="2"/>
      <w:sz w:val="24"/>
      <w:szCs w:val="22"/>
    </w:rPr>
  </w:style>
  <w:style w:type="character" w:customStyle="1" w:styleId="126">
    <w:name w:val="ask-title"/>
    <w:basedOn w:val="30"/>
    <w:qFormat/>
    <w:uiPriority w:val="0"/>
  </w:style>
  <w:style w:type="paragraph" w:customStyle="1" w:styleId="127">
    <w:name w:val="列出段落1"/>
    <w:basedOn w:val="1"/>
    <w:qFormat/>
    <w:uiPriority w:val="0"/>
    <w:pPr>
      <w:ind w:firstLine="420"/>
    </w:pPr>
    <w:rPr>
      <w:szCs w:val="24"/>
    </w:rPr>
  </w:style>
  <w:style w:type="paragraph" w:customStyle="1" w:styleId="128">
    <w:name w:val="列出段落2"/>
    <w:basedOn w:val="1"/>
    <w:qFormat/>
    <w:uiPriority w:val="34"/>
    <w:pPr>
      <w:topLinePunct/>
      <w:ind w:firstLine="420"/>
    </w:pPr>
    <w:rPr>
      <w:kern w:val="0"/>
      <w:szCs w:val="24"/>
    </w:rPr>
  </w:style>
  <w:style w:type="paragraph" w:customStyle="1" w:styleId="129">
    <w:name w:val="5级标题"/>
    <w:basedOn w:val="56"/>
    <w:link w:val="130"/>
    <w:qFormat/>
    <w:uiPriority w:val="0"/>
    <w:pPr>
      <w:ind w:firstLine="480"/>
      <w:outlineLvl w:val="4"/>
    </w:pPr>
  </w:style>
  <w:style w:type="character" w:customStyle="1" w:styleId="130">
    <w:name w:val="5级标题 Char"/>
    <w:basedOn w:val="123"/>
    <w:link w:val="129"/>
    <w:qFormat/>
    <w:uiPriority w:val="0"/>
    <w:rPr>
      <w:rFonts w:eastAsia="仿宋_GB2312"/>
      <w:snapToGrid w:val="0"/>
      <w:kern w:val="24"/>
      <w:sz w:val="24"/>
      <w:szCs w:val="24"/>
    </w:rPr>
  </w:style>
  <w:style w:type="paragraph" w:customStyle="1" w:styleId="131">
    <w:name w:val="列出段落3"/>
    <w:basedOn w:val="1"/>
    <w:qFormat/>
    <w:uiPriority w:val="99"/>
    <w:pPr>
      <w:topLinePunct/>
      <w:ind w:firstLine="420"/>
    </w:pPr>
    <w:rPr>
      <w:rFonts w:eastAsia="楷体_GB2312"/>
      <w:kern w:val="0"/>
      <w:szCs w:val="24"/>
    </w:rPr>
  </w:style>
  <w:style w:type="character" w:customStyle="1" w:styleId="132">
    <w:name w:val="标题 8 Char"/>
    <w:basedOn w:val="30"/>
    <w:link w:val="9"/>
    <w:qFormat/>
    <w:uiPriority w:val="0"/>
    <w:rPr>
      <w:rFonts w:asciiTheme="majorHAnsi" w:hAnsiTheme="majorHAnsi" w:eastAsiaTheme="majorEastAsia" w:cstheme="majorBidi"/>
      <w:kern w:val="2"/>
      <w:sz w:val="24"/>
      <w:szCs w:val="24"/>
    </w:rPr>
  </w:style>
  <w:style w:type="paragraph" w:customStyle="1" w:styleId="133">
    <w:name w:val="表格内容1"/>
    <w:basedOn w:val="1"/>
    <w:qFormat/>
    <w:uiPriority w:val="0"/>
    <w:pPr>
      <w:widowControl/>
      <w:topLinePunct/>
      <w:spacing w:line="240" w:lineRule="auto"/>
      <w:ind w:firstLine="0" w:firstLineChars="0"/>
      <w:jc w:val="center"/>
    </w:pPr>
    <w:rPr>
      <w:rFonts w:eastAsia="仿宋_GB2312"/>
      <w:kern w:val="0"/>
      <w:sz w:val="21"/>
      <w:szCs w:val="21"/>
    </w:rPr>
  </w:style>
  <w:style w:type="paragraph" w:customStyle="1" w:styleId="134">
    <w:name w:val="四级标题+"/>
    <w:basedOn w:val="1"/>
    <w:link w:val="135"/>
    <w:qFormat/>
    <w:uiPriority w:val="0"/>
    <w:pPr>
      <w:topLinePunct/>
      <w:ind w:firstLine="0" w:firstLineChars="0"/>
      <w:outlineLvl w:val="3"/>
    </w:pPr>
    <w:rPr>
      <w:rFonts w:eastAsia="仿宋_GB2312"/>
      <w:b/>
      <w:kern w:val="0"/>
      <w:szCs w:val="24"/>
    </w:rPr>
  </w:style>
  <w:style w:type="character" w:customStyle="1" w:styleId="135">
    <w:name w:val="四级标题+ Char"/>
    <w:basedOn w:val="30"/>
    <w:link w:val="134"/>
    <w:qFormat/>
    <w:uiPriority w:val="0"/>
    <w:rPr>
      <w:rFonts w:eastAsia="仿宋_GB2312"/>
      <w:b/>
      <w:sz w:val="24"/>
      <w:szCs w:val="24"/>
    </w:rPr>
  </w:style>
  <w:style w:type="character" w:customStyle="1" w:styleId="136">
    <w:name w:val="表格标题 Char"/>
    <w:link w:val="137"/>
    <w:qFormat/>
    <w:uiPriority w:val="0"/>
    <w:rPr>
      <w:rFonts w:eastAsia="仿宋_GB2312"/>
      <w:b/>
      <w:spacing w:val="15"/>
      <w:kern w:val="2"/>
      <w:sz w:val="21"/>
      <w:szCs w:val="24"/>
    </w:rPr>
  </w:style>
  <w:style w:type="paragraph" w:customStyle="1" w:styleId="137">
    <w:name w:val="表格标题"/>
    <w:basedOn w:val="1"/>
    <w:link w:val="136"/>
    <w:qFormat/>
    <w:uiPriority w:val="0"/>
    <w:pPr>
      <w:ind w:firstLine="0" w:firstLineChars="0"/>
      <w:jc w:val="center"/>
      <w:outlineLvl w:val="4"/>
    </w:pPr>
    <w:rPr>
      <w:rFonts w:eastAsia="仿宋_GB2312"/>
      <w:b/>
      <w:spacing w:val="15"/>
      <w:sz w:val="21"/>
      <w:szCs w:val="24"/>
    </w:rPr>
  </w:style>
  <w:style w:type="paragraph" w:customStyle="1" w:styleId="138">
    <w:name w:val="表格文字"/>
    <w:basedOn w:val="1"/>
    <w:link w:val="139"/>
    <w:qFormat/>
    <w:uiPriority w:val="0"/>
    <w:pPr>
      <w:adjustRightInd/>
      <w:snapToGrid/>
      <w:spacing w:line="240" w:lineRule="exact"/>
      <w:ind w:firstLine="0" w:firstLineChars="0"/>
      <w:jc w:val="center"/>
    </w:pPr>
    <w:rPr>
      <w:rFonts w:ascii="宋体" w:hAnsi="宋体"/>
      <w:sz w:val="21"/>
      <w:szCs w:val="24"/>
    </w:rPr>
  </w:style>
  <w:style w:type="character" w:customStyle="1" w:styleId="139">
    <w:name w:val="表格文字 Char"/>
    <w:basedOn w:val="30"/>
    <w:link w:val="138"/>
    <w:qFormat/>
    <w:uiPriority w:val="0"/>
    <w:rPr>
      <w:rFonts w:ascii="宋体" w:hAnsi="宋体"/>
      <w:kern w:val="2"/>
      <w:sz w:val="21"/>
      <w:szCs w:val="24"/>
    </w:rPr>
  </w:style>
  <w:style w:type="paragraph" w:customStyle="1" w:styleId="140">
    <w:name w:val="Table Paragraph"/>
    <w:basedOn w:val="1"/>
    <w:qFormat/>
    <w:uiPriority w:val="1"/>
  </w:style>
  <w:style w:type="character" w:customStyle="1" w:styleId="141">
    <w:name w:val="number"/>
    <w:basedOn w:val="30"/>
    <w:qFormat/>
    <w:uiPriority w:val="0"/>
  </w:style>
  <w:style w:type="paragraph" w:customStyle="1" w:styleId="142">
    <w:name w:val="_Style 1"/>
    <w:basedOn w:val="1"/>
    <w:qFormat/>
    <w:uiPriority w:val="34"/>
    <w:pPr>
      <w:adjustRightInd/>
      <w:snapToGrid/>
      <w:spacing w:line="240" w:lineRule="auto"/>
      <w:ind w:firstLine="420"/>
    </w:pPr>
    <w:rPr>
      <w:rFonts w:ascii="Calibri" w:hAnsi="Calibri"/>
      <w:sz w:val="21"/>
      <w:szCs w:val="24"/>
    </w:rPr>
  </w:style>
  <w:style w:type="paragraph" w:customStyle="1" w:styleId="143">
    <w:name w:val="4 Char"/>
    <w:basedOn w:val="1"/>
    <w:qFormat/>
    <w:uiPriority w:val="0"/>
    <w:pPr>
      <w:adjustRightInd/>
      <w:snapToGrid/>
      <w:spacing w:line="240" w:lineRule="auto"/>
      <w:ind w:firstLine="0" w:firstLineChars="0"/>
    </w:pPr>
    <w:rPr>
      <w:sz w:val="18"/>
      <w:szCs w:val="24"/>
    </w:rPr>
  </w:style>
  <w:style w:type="character" w:customStyle="1" w:styleId="144">
    <w:name w:val="三级目录 Char Char"/>
    <w:link w:val="145"/>
    <w:qFormat/>
    <w:uiPriority w:val="0"/>
    <w:rPr>
      <w:rFonts w:ascii="宋体" w:hAnsi="宋体"/>
      <w:color w:val="000000"/>
      <w:kern w:val="2"/>
      <w:sz w:val="28"/>
      <w:szCs w:val="28"/>
    </w:rPr>
  </w:style>
  <w:style w:type="paragraph" w:customStyle="1" w:styleId="145">
    <w:name w:val="三级目录"/>
    <w:basedOn w:val="1"/>
    <w:link w:val="144"/>
    <w:qFormat/>
    <w:uiPriority w:val="0"/>
    <w:pPr>
      <w:adjustRightInd/>
      <w:snapToGrid/>
      <w:spacing w:line="240" w:lineRule="auto"/>
      <w:ind w:right="-23" w:rightChars="-11" w:firstLine="0" w:firstLineChars="0"/>
    </w:pPr>
    <w:rPr>
      <w:rFonts w:ascii="宋体" w:hAnsi="宋体"/>
      <w:color w:val="000000"/>
      <w:sz w:val="28"/>
      <w:szCs w:val="28"/>
    </w:rPr>
  </w:style>
  <w:style w:type="paragraph" w:customStyle="1" w:styleId="146">
    <w:name w:val="Char"/>
    <w:basedOn w:val="1"/>
    <w:next w:val="1"/>
    <w:qFormat/>
    <w:uiPriority w:val="0"/>
    <w:pPr>
      <w:adjustRightInd/>
      <w:snapToGrid/>
      <w:spacing w:line="240" w:lineRule="auto"/>
      <w:ind w:firstLine="0" w:firstLineChars="0"/>
    </w:pPr>
    <w:rPr>
      <w:sz w:val="21"/>
      <w:szCs w:val="24"/>
    </w:rPr>
  </w:style>
  <w:style w:type="character" w:customStyle="1" w:styleId="147">
    <w:name w:val="默认段落 Char"/>
    <w:link w:val="148"/>
    <w:qFormat/>
    <w:locked/>
    <w:uiPriority w:val="0"/>
    <w:rPr>
      <w:kern w:val="2"/>
      <w:sz w:val="24"/>
      <w:szCs w:val="22"/>
    </w:rPr>
  </w:style>
  <w:style w:type="paragraph" w:customStyle="1" w:styleId="148">
    <w:name w:val="默认段落"/>
    <w:basedOn w:val="1"/>
    <w:link w:val="147"/>
    <w:qFormat/>
    <w:uiPriority w:val="0"/>
  </w:style>
  <w:style w:type="character" w:customStyle="1" w:styleId="149">
    <w:name w:val="批注文字 Char"/>
    <w:basedOn w:val="30"/>
    <w:link w:val="12"/>
    <w:qFormat/>
    <w:uiPriority w:val="0"/>
    <w:rPr>
      <w:kern w:val="2"/>
      <w:sz w:val="24"/>
      <w:szCs w:val="22"/>
    </w:rPr>
  </w:style>
  <w:style w:type="character" w:customStyle="1" w:styleId="150">
    <w:name w:val="批注主题 Char"/>
    <w:basedOn w:val="149"/>
    <w:link w:val="24"/>
    <w:qFormat/>
    <w:uiPriority w:val="0"/>
    <w:rPr>
      <w:b/>
      <w:bCs/>
      <w:kern w:val="2"/>
      <w:sz w:val="24"/>
      <w:szCs w:val="22"/>
    </w:rPr>
  </w:style>
  <w:style w:type="character" w:customStyle="1" w:styleId="151">
    <w:name w:val="pass-item-time-timing2"/>
    <w:basedOn w:val="30"/>
    <w:qFormat/>
    <w:uiPriority w:val="0"/>
  </w:style>
  <w:style w:type="character" w:customStyle="1" w:styleId="152">
    <w:name w:val="pass-clearbtn-verifycode"/>
    <w:basedOn w:val="30"/>
    <w:qFormat/>
    <w:uiPriority w:val="0"/>
  </w:style>
  <w:style w:type="character" w:customStyle="1" w:styleId="153">
    <w:name w:val="open"/>
    <w:basedOn w:val="30"/>
    <w:qFormat/>
    <w:uiPriority w:val="0"/>
  </w:style>
  <w:style w:type="character" w:customStyle="1" w:styleId="154">
    <w:name w:val="pass-clearbtn-smsverifycode"/>
    <w:basedOn w:val="30"/>
    <w:qFormat/>
    <w:uiPriority w:val="0"/>
  </w:style>
  <w:style w:type="character" w:customStyle="1" w:styleId="155">
    <w:name w:val="pass-placeholder2"/>
    <w:basedOn w:val="30"/>
    <w:qFormat/>
    <w:uiPriority w:val="0"/>
  </w:style>
  <w:style w:type="character" w:customStyle="1" w:styleId="156">
    <w:name w:val="tang-pass-qrcode-list-aq"/>
    <w:basedOn w:val="30"/>
    <w:qFormat/>
    <w:uiPriority w:val="0"/>
  </w:style>
  <w:style w:type="character" w:customStyle="1" w:styleId="157">
    <w:name w:val="tang-pass-qrcode-list-gx"/>
    <w:basedOn w:val="30"/>
    <w:qFormat/>
    <w:uiPriority w:val="0"/>
  </w:style>
  <w:style w:type="character" w:customStyle="1" w:styleId="158">
    <w:name w:val="tang-pass-qrcode-list-bj"/>
    <w:basedOn w:val="30"/>
    <w:qFormat/>
    <w:uiPriority w:val="0"/>
  </w:style>
  <w:style w:type="character" w:customStyle="1" w:styleId="159">
    <w:name w:val="pass-placeholder-smsphone"/>
    <w:basedOn w:val="30"/>
    <w:qFormat/>
    <w:uiPriority w:val="0"/>
  </w:style>
  <w:style w:type="character" w:customStyle="1" w:styleId="160">
    <w:name w:val="pass-placeholder-smsverifycode"/>
    <w:basedOn w:val="30"/>
    <w:qFormat/>
    <w:uiPriority w:val="0"/>
  </w:style>
  <w:style w:type="character" w:customStyle="1" w:styleId="161">
    <w:name w:val="pass-item-timer2"/>
    <w:basedOn w:val="30"/>
    <w:qFormat/>
    <w:uiPriority w:val="0"/>
  </w:style>
  <w:style w:type="paragraph" w:customStyle="1" w:styleId="162">
    <w:name w:val="正文（首行缩进）"/>
    <w:basedOn w:val="1"/>
    <w:qFormat/>
    <w:uiPriority w:val="0"/>
    <w:pPr>
      <w:adjustRightInd w:val="0"/>
      <w:ind w:firstLine="200" w:firstLineChars="200"/>
      <w:jc w:val="left"/>
    </w:pPr>
  </w:style>
  <w:style w:type="paragraph" w:customStyle="1" w:styleId="163">
    <w:name w:val="正文（文字）"/>
    <w:basedOn w:val="1"/>
    <w:qFormat/>
    <w:uiPriority w:val="0"/>
    <w:pPr>
      <w:widowControl/>
      <w:topLinePunct w:val="0"/>
      <w:ind w:firstLine="480"/>
    </w:pPr>
  </w:style>
  <w:style w:type="paragraph" w:customStyle="1" w:styleId="164">
    <w:name w:val="1"/>
    <w:basedOn w:val="1"/>
    <w:next w:val="22"/>
    <w:qFormat/>
    <w:uiPriority w:val="0"/>
    <w:pPr>
      <w:spacing w:line="300" w:lineRule="auto"/>
      <w:jc w:val="center"/>
    </w:pPr>
    <w:rPr>
      <w:rFonts w:ascii="宋体" w:hAnsi="宋体"/>
      <w:spacing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1" Type="http://schemas.microsoft.com/office/2011/relationships/people" Target="people.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8.jpe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chart" Target="charts/chart2.xml"/><Relationship Id="rId42" Type="http://schemas.openxmlformats.org/officeDocument/2006/relationships/chart" Target="charts/chart1.xml"/><Relationship Id="rId41" Type="http://schemas.openxmlformats.org/officeDocument/2006/relationships/image" Target="media/image15.jpeg"/><Relationship Id="rId40" Type="http://schemas.openxmlformats.org/officeDocument/2006/relationships/image" Target="media/image14.jpeg"/><Relationship Id="rId4" Type="http://schemas.microsoft.com/office/2011/relationships/commentsExtended" Target="commentsExtended.xml"/><Relationship Id="rId39" Type="http://schemas.openxmlformats.org/officeDocument/2006/relationships/image" Target="media/image13.jpe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comments" Target="comments.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header" Target="header14.xml"/><Relationship Id="rId24" Type="http://schemas.openxmlformats.org/officeDocument/2006/relationships/header" Target="header13.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35745;&#31639;.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35745;&#3163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[计算.xlsx]Sheet2!$F$9</c:f>
              <c:strCache>
                <c:ptCount val="1"/>
                <c:pt idx="0">
                  <c:v>新增水土流失量（t)</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elete val="1"/>
          </c:dLbls>
          <c:cat>
            <c:strRef>
              <c:f>[计算.xlsx]Sheet2!$E$10:$E$15</c:f>
              <c:strCache>
                <c:ptCount val="6"/>
                <c:pt idx="0">
                  <c:v>施工期</c:v>
                </c:pt>
                <c:pt idx="1">
                  <c:v>第一年</c:v>
                </c:pt>
                <c:pt idx="2">
                  <c:v>第二年</c:v>
                </c:pt>
                <c:pt idx="3">
                  <c:v>第三年</c:v>
                </c:pt>
                <c:pt idx="4">
                  <c:v>第四年</c:v>
                </c:pt>
                <c:pt idx="5">
                  <c:v>第五年</c:v>
                </c:pt>
              </c:strCache>
            </c:strRef>
          </c:cat>
          <c:val>
            <c:numRef>
              <c:f>[计算.xlsx]Sheet2!$F$10:$F$15</c:f>
              <c:numCache>
                <c:formatCode>General</c:formatCode>
                <c:ptCount val="6"/>
                <c:pt idx="0">
                  <c:v>1335.42</c:v>
                </c:pt>
                <c:pt idx="1">
                  <c:v>872.82</c:v>
                </c:pt>
                <c:pt idx="2">
                  <c:v>581.88</c:v>
                </c:pt>
                <c:pt idx="3">
                  <c:v>339.43</c:v>
                </c:pt>
                <c:pt idx="4">
                  <c:v>145.47</c:v>
                </c:pt>
                <c:pt idx="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各预测单元水土流失量汇总</a:t>
            </a:r>
          </a:p>
        </c:rich>
      </c:tx>
      <c:layout/>
      <c:overlay val="0"/>
      <c:spPr>
        <a:noFill/>
        <a:ln>
          <a:noFill/>
        </a:ln>
        <a:effectLst/>
      </c:spPr>
    </c:title>
    <c:autoTitleDeleted val="0"/>
    <c:plotArea>
      <c:layout/>
      <c:barChart>
        <c:barDir val="col"/>
        <c:grouping val="clustered"/>
        <c:varyColors val="0"/>
        <c:ser>
          <c:idx val="0"/>
          <c:order val="0"/>
          <c:tx>
            <c:strRef>
              <c:f>[计算.xlsx]Sheet3!$E$5</c:f>
              <c:strCache>
                <c:ptCount val="1"/>
                <c:pt idx="0">
                  <c:v>水土流失总量（t）</c:v>
                </c:pt>
              </c:strCache>
            </c:strRef>
          </c:tx>
          <c:spPr>
            <a:solidFill>
              <a:schemeClr val="accent1"/>
            </a:solidFill>
            <a:ln>
              <a:noFill/>
            </a:ln>
            <a:effectLst/>
          </c:spPr>
          <c:invertIfNegative val="0"/>
          <c:dLbls>
            <c:delete val="1"/>
          </c:dLbls>
          <c:cat>
            <c:strRef>
              <c:f>[计算.xlsx]Sheet3!$D$6:$D$11</c:f>
              <c:strCache>
                <c:ptCount val="6"/>
                <c:pt idx="0">
                  <c:v>光伏阵列区</c:v>
                </c:pt>
                <c:pt idx="1">
                  <c:v>集电线路区</c:v>
                </c:pt>
                <c:pt idx="2">
                  <c:v>进场道路</c:v>
                </c:pt>
                <c:pt idx="3">
                  <c:v>场内道路</c:v>
                </c:pt>
                <c:pt idx="4">
                  <c:v>运行管理区</c:v>
                </c:pt>
                <c:pt idx="5">
                  <c:v>施工</c:v>
                </c:pt>
              </c:strCache>
            </c:strRef>
          </c:cat>
          <c:val>
            <c:numRef>
              <c:f>[计算.xlsx]Sheet3!$E$6:$E$11</c:f>
              <c:numCache>
                <c:formatCode>General</c:formatCode>
                <c:ptCount val="6"/>
                <c:pt idx="0">
                  <c:v>6862.72</c:v>
                </c:pt>
                <c:pt idx="1">
                  <c:v>436.63</c:v>
                </c:pt>
                <c:pt idx="2">
                  <c:v>1.3</c:v>
                </c:pt>
                <c:pt idx="3">
                  <c:v>303.74</c:v>
                </c:pt>
                <c:pt idx="4">
                  <c:v>35.86</c:v>
                </c:pt>
                <c:pt idx="5">
                  <c:v>72.77</c:v>
                </c:pt>
              </c:numCache>
            </c:numRef>
          </c:val>
        </c:ser>
        <c:ser>
          <c:idx val="1"/>
          <c:order val="1"/>
          <c:tx>
            <c:strRef>
              <c:f>[计算.xlsx]Sheet3!$F$5</c:f>
              <c:strCache>
                <c:ptCount val="1"/>
                <c:pt idx="0">
                  <c:v>新增水土流失量（t)</c:v>
                </c:pt>
              </c:strCache>
            </c:strRef>
          </c:tx>
          <c:spPr>
            <a:solidFill>
              <a:schemeClr val="accent2"/>
            </a:solidFill>
            <a:ln>
              <a:noFill/>
            </a:ln>
            <a:effectLst/>
          </c:spPr>
          <c:invertIfNegative val="0"/>
          <c:dLbls>
            <c:delete val="1"/>
          </c:dLbls>
          <c:cat>
            <c:strRef>
              <c:f>[计算.xlsx]Sheet3!$D$6:$D$11</c:f>
              <c:strCache>
                <c:ptCount val="6"/>
                <c:pt idx="0">
                  <c:v>光伏阵列区</c:v>
                </c:pt>
                <c:pt idx="1">
                  <c:v>集电线路区</c:v>
                </c:pt>
                <c:pt idx="2">
                  <c:v>进场道路</c:v>
                </c:pt>
                <c:pt idx="3">
                  <c:v>场内道路</c:v>
                </c:pt>
                <c:pt idx="4">
                  <c:v>运行管理区</c:v>
                </c:pt>
                <c:pt idx="5">
                  <c:v>施工</c:v>
                </c:pt>
              </c:strCache>
            </c:strRef>
          </c:cat>
          <c:val>
            <c:numRef>
              <c:f>[计算.xlsx]Sheet3!$F$6:$F$11</c:f>
              <c:numCache>
                <c:formatCode>General</c:formatCode>
                <c:ptCount val="6"/>
                <c:pt idx="0">
                  <c:v>2907.42</c:v>
                </c:pt>
                <c:pt idx="1">
                  <c:v>184.92</c:v>
                </c:pt>
                <c:pt idx="2">
                  <c:v>0.81</c:v>
                </c:pt>
                <c:pt idx="3">
                  <c:v>128.64</c:v>
                </c:pt>
                <c:pt idx="4">
                  <c:v>22.41</c:v>
                </c:pt>
                <c:pt idx="5">
                  <c:v>30.82</c:v>
                </c:pt>
              </c:numCache>
            </c:numRef>
          </c:val>
        </c:ser>
        <c:dLbls>
          <c:showLegendKey val="0"/>
          <c:showVal val="0"/>
          <c:showCatName val="0"/>
          <c:showSerName val="0"/>
          <c:showPercent val="0"/>
          <c:showBubbleSize val="0"/>
        </c:dLbls>
        <c:gapWidth val="219"/>
        <c:overlap val="-27"/>
        <c:axId val="931213347"/>
        <c:axId val="125600812"/>
      </c:barChart>
      <c:catAx>
        <c:axId val="93121334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5600812"/>
        <c:crosses val="autoZero"/>
        <c:auto val="1"/>
        <c:lblAlgn val="ctr"/>
        <c:lblOffset val="100"/>
        <c:noMultiLvlLbl val="0"/>
      </c:catAx>
      <c:valAx>
        <c:axId val="1256008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121334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093F38-87FF-4DFC-A959-C43763ED9F7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10287</Words>
  <Characters>58636</Characters>
  <Lines>488</Lines>
  <Paragraphs>137</Paragraphs>
  <TotalTime>1</TotalTime>
  <ScaleCrop>false</ScaleCrop>
  <LinksUpToDate>false</LinksUpToDate>
  <CharactersWithSpaces>68786</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2018-10-24T01:37:00Z</dcterms:created>
  <dc:creator>Administrator</dc:creator>
  <cp:lastModifiedBy>什么鬼i</cp:lastModifiedBy>
  <cp:lastPrinted>2020-12-25T05:23:00Z</cp:lastPrinted>
  <dcterms:modified xsi:type="dcterms:W3CDTF">2020-12-25T05:41:42Z</dcterms:modified>
  <cp:revision>234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