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BEEF4" w:themeColor="accent5" w:themeTint="33"/>
  <w:body>
    <w:p>
      <w:pPr>
        <w:spacing w:line="480" w:lineRule="auto"/>
        <w:ind w:firstLine="0" w:firstLineChars="0"/>
        <w:rPr>
          <w:rFonts w:eastAsia="仿宋_GB2312"/>
          <w:b/>
          <w:color w:val="auto"/>
          <w:sz w:val="28"/>
          <w:szCs w:val="28"/>
          <w:highlight w:val="none"/>
        </w:rPr>
      </w:pPr>
      <w:bookmarkStart w:id="0" w:name="_Toc417412289"/>
      <w:bookmarkStart w:id="1" w:name="_Toc417412299"/>
      <w:r>
        <w:rPr>
          <w:rFonts w:eastAsia="仿宋_GB2312"/>
          <w:b/>
          <w:color w:val="auto"/>
          <w:sz w:val="28"/>
          <w:szCs w:val="28"/>
          <w:highlight w:val="none"/>
        </w:rPr>
        <mc:AlternateContent>
          <mc:Choice Requires="wps">
            <w:drawing>
              <wp:inline distT="0" distB="0" distL="114300" distR="114300">
                <wp:extent cx="2686050" cy="358775"/>
                <wp:effectExtent l="6350" t="6350" r="12700" b="15875"/>
                <wp:docPr id="6" name="Quad Arrow 140"/>
                <wp:cNvGraphicFramePr/>
                <a:graphic xmlns:a="http://schemas.openxmlformats.org/drawingml/2006/main">
                  <a:graphicData uri="http://schemas.microsoft.com/office/word/2010/wordprocessingShape">
                    <wps:wsp>
                      <wps:cNvSpPr txBox="1"/>
                      <wps:spPr>
                        <a:xfrm>
                          <a:off x="0" y="0"/>
                          <a:ext cx="2686050" cy="358775"/>
                        </a:xfrm>
                        <a:prstGeom prst="rect">
                          <a:avLst/>
                        </a:prstGeom>
                        <a:solidFill>
                          <a:srgbClr val="FFFFFF"/>
                        </a:solidFill>
                        <a:ln w="12700" cap="flat" cmpd="sng">
                          <a:solidFill>
                            <a:srgbClr val="000000"/>
                          </a:solidFill>
                          <a:prstDash val="dashDot"/>
                          <a:miter/>
                          <a:headEnd type="none" w="med" len="med"/>
                          <a:tailEnd type="none" w="med" len="med"/>
                        </a:ln>
                      </wps:spPr>
                      <wps:txbx>
                        <w:txbxContent>
                          <w:p>
                            <w:pPr>
                              <w:ind w:firstLine="0" w:firstLineChars="0"/>
                              <w:rPr>
                                <w:color w:val="000000"/>
                                <w:sz w:val="30"/>
                                <w:szCs w:val="30"/>
                              </w:rPr>
                            </w:pPr>
                            <w:r>
                              <w:rPr>
                                <w:rFonts w:hAnsi="宋体"/>
                                <w:spacing w:val="10"/>
                                <w:sz w:val="30"/>
                              </w:rPr>
                              <w:t>水保方案</w:t>
                            </w:r>
                            <w:r>
                              <w:rPr>
                                <w:rFonts w:hint="eastAsia" w:hAnsi="宋体"/>
                                <w:spacing w:val="10"/>
                                <w:sz w:val="30"/>
                              </w:rPr>
                              <w:t>（新）</w:t>
                            </w:r>
                            <w:r>
                              <w:rPr>
                                <w:rFonts w:hAnsi="宋体"/>
                                <w:spacing w:val="10"/>
                                <w:sz w:val="30"/>
                              </w:rPr>
                              <w:t>字第</w:t>
                            </w:r>
                            <w:r>
                              <w:rPr>
                                <w:rFonts w:hint="eastAsia" w:hAnsi="宋体"/>
                                <w:spacing w:val="10"/>
                                <w:sz w:val="30"/>
                              </w:rPr>
                              <w:t>0050</w:t>
                            </w:r>
                            <w:r>
                              <w:rPr>
                                <w:rFonts w:hAnsi="宋体"/>
                                <w:spacing w:val="10"/>
                                <w:sz w:val="30"/>
                              </w:rPr>
                              <w:t>号</w:t>
                            </w:r>
                          </w:p>
                        </w:txbxContent>
                      </wps:txbx>
                      <wps:bodyPr upright="1"/>
                    </wps:wsp>
                  </a:graphicData>
                </a:graphic>
              </wp:inline>
            </w:drawing>
          </mc:Choice>
          <mc:Fallback>
            <w:pict>
              <v:shape id="Quad Arrow 140" o:spid="_x0000_s1026" o:spt="202" type="#_x0000_t202" style="height:28.25pt;width:211.5pt;" fillcolor="#FFFFFF" filled="t" stroked="t" coordsize="21600,21600" o:gfxdata="UEsDBAoAAAAAAIdO4kAAAAAAAAAAAAAAAAAEAAAAZHJzL1BLAwQUAAAACACHTuJACMlWzNYAAAAE&#10;AQAADwAAAGRycy9kb3ducmV2LnhtbE2PS2vDMBCE74X8B7GB3ho5D4fiWM6hpNBSSMmDQm6ytbVN&#10;rZWxFNv999320lwGhllmvk23o21Ej52vHSmYzyIQSIUzNZUKzqfnh0cQPmgyunGECr7Rwzab3KU6&#10;MW6gA/bHUAouIZ9oBVUIbSKlLyq02s9ci8TZp+usDmy7UppOD1xuG7mIorW0uiZeqHSLTxUWX8er&#10;VfA6hPN+KcuP+NL2+7d8t9q9jy9K3U/n0QZEwDH8H8MvPqNDxky5u5LxolHAj4Q/5Wy1WLLNFcTr&#10;GGSWylv47AdQSwMEFAAAAAgAh07iQIE/Ox0BAgAAPAQAAA4AAABkcnMvZTJvRG9jLnhtbK1Ty67T&#10;MBDdI/EPlvc0aaEPRU2vgFA2iIcufIBrO4klv+Rxm/TvGTulvffCoguycMae4+OZMzPbh9FocpIB&#10;lLM1nc9KSqTlTijb1fTXz/2bDSUQmRVMOytrepZAH3avX20HX8mF650WMhAksVANvqZ9jL4qCuC9&#10;NAxmzkuLztYFwyJuQ1eIwAZkN7pYlOWqGFwQPjguAfC0mZz0whjuIXRtq7hsHD8aaePEGqRmEVOC&#10;Xnmguxxt20oev7UtyEh0TTHTmFd8BO1DWovdllVdYL5X/BICuyeEFzkZpiw+eqVqWGTkGNRfVEbx&#10;4MC1ccadKaZEsiKYxbx8oc1jz7zMuaDU4K+iw/+j5V9P3wNRoqYrSiwzWPAfRybI+xDcQObvskKD&#10;hwqBjx6hcfzgRuybpFw6BzxMiY9tMOmPKRH0o77nq75yjITj4WK1WZVLdHH0vV1u1utloilut32A&#10;+Fk6Q5JR04D1y7Ky0xeIE/QPJD0GTiuxV1rnTegOH3UgJ4a13ufvwv4Mpi0ZMP7FukyBMOzgFjsH&#10;TeNRBbBdfvDZFXjKXObvX8wpsoZBP0Ug0GpcTEBWGRVlyFYvmfhkBYlnj1pbHDGa4jFSUKIlTmSy&#10;MjIype9Bonzaooq3aiQrjocRaZJ5cOKMlTv6oLoeVc21y3Bsqiz/ZQBS1z7dZ9Lb0O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jJVszWAAAABAEAAA8AAAAAAAAAAQAgAAAAIgAAAGRycy9kb3du&#10;cmV2LnhtbFBLAQIUABQAAAAIAIdO4kCBPzsdAQIAADwEAAAOAAAAAAAAAAEAIAAAACUBAABkcnMv&#10;ZTJvRG9jLnhtbFBLBQYAAAAABgAGAFkBAACYBQAAAAA=&#10;">
                <v:fill on="t" focussize="0,0"/>
                <v:stroke weight="1pt" color="#000000" joinstyle="miter" dashstyle="dashDot"/>
                <v:imagedata o:title=""/>
                <o:lock v:ext="edit" aspectratio="f"/>
                <v:textbox>
                  <w:txbxContent>
                    <w:p>
                      <w:pPr>
                        <w:ind w:firstLine="0" w:firstLineChars="0"/>
                        <w:rPr>
                          <w:color w:val="000000"/>
                          <w:sz w:val="30"/>
                          <w:szCs w:val="30"/>
                        </w:rPr>
                      </w:pPr>
                      <w:r>
                        <w:rPr>
                          <w:rFonts w:hAnsi="宋体"/>
                          <w:spacing w:val="10"/>
                          <w:sz w:val="30"/>
                        </w:rPr>
                        <w:t>水保方案</w:t>
                      </w:r>
                      <w:r>
                        <w:rPr>
                          <w:rFonts w:hint="eastAsia" w:hAnsi="宋体"/>
                          <w:spacing w:val="10"/>
                          <w:sz w:val="30"/>
                        </w:rPr>
                        <w:t>（新）</w:t>
                      </w:r>
                      <w:r>
                        <w:rPr>
                          <w:rFonts w:hAnsi="宋体"/>
                          <w:spacing w:val="10"/>
                          <w:sz w:val="30"/>
                        </w:rPr>
                        <w:t>字第</w:t>
                      </w:r>
                      <w:r>
                        <w:rPr>
                          <w:rFonts w:hint="eastAsia" w:hAnsi="宋体"/>
                          <w:spacing w:val="10"/>
                          <w:sz w:val="30"/>
                        </w:rPr>
                        <w:t>0050</w:t>
                      </w:r>
                      <w:r>
                        <w:rPr>
                          <w:rFonts w:hAnsi="宋体"/>
                          <w:spacing w:val="10"/>
                          <w:sz w:val="30"/>
                        </w:rPr>
                        <w:t>号</w:t>
                      </w:r>
                    </w:p>
                  </w:txbxContent>
                </v:textbox>
                <w10:wrap type="none"/>
                <w10:anchorlock/>
              </v:shape>
            </w:pict>
          </mc:Fallback>
        </mc:AlternateContent>
      </w:r>
    </w:p>
    <w:p>
      <w:pPr>
        <w:overflowPunct w:val="0"/>
        <w:autoSpaceDE w:val="0"/>
        <w:autoSpaceDN w:val="0"/>
        <w:ind w:firstLine="0" w:firstLineChars="0"/>
        <w:jc w:val="center"/>
        <w:rPr>
          <w:rFonts w:eastAsia="仿宋_GB2312"/>
          <w:color w:val="auto"/>
          <w:spacing w:val="-8"/>
          <w:sz w:val="36"/>
          <w:szCs w:val="36"/>
          <w:highlight w:val="none"/>
        </w:rPr>
      </w:pPr>
    </w:p>
    <w:p>
      <w:pPr>
        <w:overflowPunct w:val="0"/>
        <w:autoSpaceDE w:val="0"/>
        <w:autoSpaceDN w:val="0"/>
        <w:ind w:firstLine="0" w:firstLineChars="0"/>
        <w:jc w:val="center"/>
        <w:rPr>
          <w:rFonts w:eastAsia="仿宋_GB2312"/>
          <w:color w:val="auto"/>
          <w:spacing w:val="-8"/>
          <w:sz w:val="36"/>
          <w:szCs w:val="36"/>
          <w:highlight w:val="none"/>
        </w:rPr>
      </w:pPr>
    </w:p>
    <w:p>
      <w:pPr>
        <w:overflowPunct w:val="0"/>
        <w:autoSpaceDE w:val="0"/>
        <w:autoSpaceDN w:val="0"/>
        <w:ind w:firstLine="0" w:firstLineChars="0"/>
        <w:jc w:val="center"/>
        <w:rPr>
          <w:rFonts w:eastAsia="仿宋_GB2312"/>
          <w:color w:val="auto"/>
          <w:spacing w:val="-8"/>
          <w:sz w:val="36"/>
          <w:szCs w:val="36"/>
          <w:highlight w:val="none"/>
        </w:rPr>
      </w:pPr>
    </w:p>
    <w:p>
      <w:pPr>
        <w:overflowPunct w:val="0"/>
        <w:autoSpaceDE w:val="0"/>
        <w:autoSpaceDN w:val="0"/>
        <w:ind w:firstLine="0" w:firstLineChars="0"/>
        <w:jc w:val="center"/>
        <w:rPr>
          <w:rFonts w:eastAsia="仿宋_GB2312"/>
          <w:color w:val="auto"/>
          <w:spacing w:val="-8"/>
          <w:sz w:val="36"/>
          <w:szCs w:val="36"/>
          <w:highlight w:val="none"/>
        </w:rPr>
      </w:pPr>
    </w:p>
    <w:p>
      <w:pPr>
        <w:overflowPunct w:val="0"/>
        <w:autoSpaceDE w:val="0"/>
        <w:autoSpaceDN w:val="0"/>
        <w:spacing w:line="240" w:lineRule="auto"/>
        <w:ind w:firstLine="0" w:firstLineChars="0"/>
        <w:jc w:val="center"/>
        <w:rPr>
          <w:rFonts w:eastAsia="仿宋_GB2312"/>
          <w:color w:val="auto"/>
          <w:spacing w:val="-8"/>
          <w:sz w:val="36"/>
          <w:szCs w:val="36"/>
          <w:highlight w:val="none"/>
        </w:rPr>
      </w:pPr>
    </w:p>
    <w:p>
      <w:pPr>
        <w:overflowPunct w:val="0"/>
        <w:autoSpaceDE w:val="0"/>
        <w:autoSpaceDN w:val="0"/>
        <w:spacing w:line="240" w:lineRule="auto"/>
        <w:ind w:firstLine="0" w:firstLineChars="0"/>
        <w:jc w:val="center"/>
        <w:rPr>
          <w:b/>
          <w:color w:val="auto"/>
          <w:sz w:val="60"/>
          <w:szCs w:val="60"/>
          <w:highlight w:val="none"/>
        </w:rPr>
      </w:pPr>
      <w:r>
        <w:rPr>
          <w:rFonts w:hint="eastAsia"/>
          <w:b/>
          <w:color w:val="auto"/>
          <w:sz w:val="60"/>
          <w:szCs w:val="60"/>
          <w:highlight w:val="none"/>
          <w:lang w:eastAsia="zh-CN"/>
        </w:rPr>
        <w:t>伊宁县书香·雅居</w:t>
      </w:r>
      <w:r>
        <w:rPr>
          <w:b/>
          <w:color w:val="auto"/>
          <w:sz w:val="60"/>
          <w:szCs w:val="60"/>
          <w:highlight w:val="none"/>
        </w:rPr>
        <w:t>建设项目</w:t>
      </w:r>
    </w:p>
    <w:p>
      <w:pPr>
        <w:overflowPunct w:val="0"/>
        <w:autoSpaceDE w:val="0"/>
        <w:autoSpaceDN w:val="0"/>
        <w:spacing w:before="360" w:beforeLines="150" w:line="240" w:lineRule="auto"/>
        <w:ind w:firstLine="0" w:firstLineChars="0"/>
        <w:jc w:val="center"/>
        <w:rPr>
          <w:rFonts w:eastAsia="黑体"/>
          <w:b w:val="0"/>
          <w:bCs/>
          <w:color w:val="auto"/>
          <w:sz w:val="96"/>
          <w:szCs w:val="96"/>
          <w:highlight w:val="none"/>
        </w:rPr>
      </w:pPr>
      <w:r>
        <w:rPr>
          <w:rFonts w:eastAsia="黑体"/>
          <w:b w:val="0"/>
          <w:bCs/>
          <w:color w:val="auto"/>
          <w:sz w:val="96"/>
          <w:szCs w:val="96"/>
          <w:highlight w:val="none"/>
        </w:rPr>
        <w:t>水土保持方案报告表</w:t>
      </w:r>
    </w:p>
    <w:p>
      <w:pPr>
        <w:overflowPunct w:val="0"/>
        <w:autoSpaceDE w:val="0"/>
        <w:autoSpaceDN w:val="0"/>
        <w:spacing w:before="360" w:beforeLines="150" w:line="240" w:lineRule="auto"/>
        <w:ind w:firstLine="0" w:firstLineChars="0"/>
        <w:jc w:val="center"/>
        <w:rPr>
          <w:b/>
          <w:bCs w:val="0"/>
          <w:color w:val="auto"/>
          <w:spacing w:val="-8"/>
          <w:sz w:val="44"/>
          <w:szCs w:val="44"/>
          <w:highlight w:val="none"/>
        </w:rPr>
      </w:pPr>
      <w:r>
        <w:rPr>
          <w:b/>
          <w:bCs w:val="0"/>
          <w:color w:val="auto"/>
          <w:spacing w:val="-8"/>
          <w:sz w:val="44"/>
          <w:szCs w:val="44"/>
          <w:highlight w:val="none"/>
        </w:rPr>
        <w:t>（</w:t>
      </w:r>
      <w:r>
        <w:rPr>
          <w:rFonts w:hint="eastAsia"/>
          <w:b/>
          <w:bCs w:val="0"/>
          <w:color w:val="auto"/>
          <w:spacing w:val="-8"/>
          <w:sz w:val="44"/>
          <w:szCs w:val="44"/>
          <w:highlight w:val="none"/>
          <w:lang w:eastAsia="zh-CN"/>
        </w:rPr>
        <w:t>报批</w:t>
      </w:r>
      <w:r>
        <w:rPr>
          <w:b/>
          <w:bCs w:val="0"/>
          <w:color w:val="auto"/>
          <w:spacing w:val="-8"/>
          <w:sz w:val="44"/>
          <w:szCs w:val="44"/>
          <w:highlight w:val="none"/>
        </w:rPr>
        <w:t>稿）</w:t>
      </w:r>
    </w:p>
    <w:p>
      <w:pPr>
        <w:overflowPunct w:val="0"/>
        <w:autoSpaceDE w:val="0"/>
        <w:autoSpaceDN w:val="0"/>
        <w:ind w:firstLine="0" w:firstLineChars="0"/>
        <w:jc w:val="center"/>
        <w:rPr>
          <w:rFonts w:eastAsia="仿宋_GB2312"/>
          <w:color w:val="auto"/>
          <w:spacing w:val="-8"/>
          <w:sz w:val="36"/>
          <w:szCs w:val="36"/>
          <w:highlight w:val="none"/>
        </w:rPr>
      </w:pPr>
    </w:p>
    <w:p>
      <w:pPr>
        <w:overflowPunct w:val="0"/>
        <w:autoSpaceDE w:val="0"/>
        <w:autoSpaceDN w:val="0"/>
        <w:ind w:firstLine="0" w:firstLineChars="0"/>
        <w:jc w:val="center"/>
        <w:rPr>
          <w:rFonts w:eastAsia="仿宋_GB2312"/>
          <w:color w:val="auto"/>
          <w:spacing w:val="-8"/>
          <w:sz w:val="36"/>
          <w:szCs w:val="36"/>
          <w:highlight w:val="none"/>
        </w:rPr>
      </w:pPr>
    </w:p>
    <w:p>
      <w:pPr>
        <w:overflowPunct w:val="0"/>
        <w:autoSpaceDE w:val="0"/>
        <w:autoSpaceDN w:val="0"/>
        <w:ind w:firstLine="0" w:firstLineChars="0"/>
        <w:jc w:val="center"/>
        <w:rPr>
          <w:rFonts w:eastAsia="仿宋_GB2312"/>
          <w:color w:val="auto"/>
          <w:spacing w:val="-8"/>
          <w:sz w:val="36"/>
          <w:szCs w:val="36"/>
          <w:highlight w:val="none"/>
        </w:rPr>
      </w:pPr>
    </w:p>
    <w:p>
      <w:pPr>
        <w:overflowPunct w:val="0"/>
        <w:autoSpaceDE w:val="0"/>
        <w:autoSpaceDN w:val="0"/>
        <w:ind w:firstLine="0" w:firstLineChars="0"/>
        <w:jc w:val="center"/>
        <w:rPr>
          <w:rFonts w:eastAsia="仿宋_GB2312"/>
          <w:color w:val="auto"/>
          <w:spacing w:val="-8"/>
          <w:sz w:val="36"/>
          <w:szCs w:val="36"/>
          <w:highlight w:val="none"/>
        </w:rPr>
      </w:pPr>
    </w:p>
    <w:p>
      <w:pPr>
        <w:overflowPunct w:val="0"/>
        <w:autoSpaceDE w:val="0"/>
        <w:autoSpaceDN w:val="0"/>
        <w:ind w:firstLine="0" w:firstLineChars="0"/>
        <w:jc w:val="center"/>
        <w:rPr>
          <w:rFonts w:eastAsia="仿宋_GB2312"/>
          <w:color w:val="auto"/>
          <w:spacing w:val="-8"/>
          <w:sz w:val="36"/>
          <w:szCs w:val="36"/>
          <w:highlight w:val="none"/>
        </w:rPr>
      </w:pPr>
    </w:p>
    <w:p>
      <w:pPr>
        <w:overflowPunct w:val="0"/>
        <w:autoSpaceDE w:val="0"/>
        <w:autoSpaceDN w:val="0"/>
        <w:ind w:firstLine="0" w:firstLineChars="0"/>
        <w:jc w:val="center"/>
        <w:rPr>
          <w:rFonts w:eastAsia="仿宋_GB2312"/>
          <w:color w:val="auto"/>
          <w:spacing w:val="-8"/>
          <w:sz w:val="36"/>
          <w:szCs w:val="36"/>
          <w:highlight w:val="none"/>
        </w:rPr>
      </w:pPr>
    </w:p>
    <w:p>
      <w:pPr>
        <w:overflowPunct w:val="0"/>
        <w:autoSpaceDE w:val="0"/>
        <w:autoSpaceDN w:val="0"/>
        <w:ind w:firstLine="0" w:firstLineChars="0"/>
        <w:jc w:val="center"/>
        <w:rPr>
          <w:rFonts w:hint="eastAsia" w:eastAsiaTheme="minorEastAsia"/>
          <w:b/>
          <w:color w:val="auto"/>
          <w:sz w:val="36"/>
          <w:szCs w:val="36"/>
          <w:highlight w:val="none"/>
          <w:lang w:eastAsia="zh-CN"/>
        </w:rPr>
      </w:pPr>
      <w:r>
        <w:rPr>
          <w:rFonts w:eastAsiaTheme="minorEastAsia"/>
          <w:b/>
          <w:color w:val="auto"/>
          <w:sz w:val="36"/>
          <w:szCs w:val="36"/>
          <w:highlight w:val="none"/>
        </w:rPr>
        <w:t>建设单位：</w:t>
      </w:r>
      <w:r>
        <w:rPr>
          <w:rFonts w:hint="eastAsia" w:eastAsiaTheme="minorEastAsia"/>
          <w:b/>
          <w:color w:val="auto"/>
          <w:sz w:val="36"/>
          <w:szCs w:val="36"/>
          <w:highlight w:val="none"/>
          <w:lang w:eastAsia="zh-CN"/>
        </w:rPr>
        <w:t>伊宁县城市保障性住房投资建设管理有限公司</w:t>
      </w:r>
    </w:p>
    <w:p>
      <w:pPr>
        <w:overflowPunct w:val="0"/>
        <w:autoSpaceDE w:val="0"/>
        <w:autoSpaceDN w:val="0"/>
        <w:ind w:firstLine="0" w:firstLineChars="0"/>
        <w:jc w:val="center"/>
        <w:rPr>
          <w:rFonts w:eastAsiaTheme="minorEastAsia"/>
          <w:b/>
          <w:color w:val="auto"/>
          <w:sz w:val="36"/>
          <w:szCs w:val="36"/>
          <w:highlight w:val="none"/>
        </w:rPr>
      </w:pPr>
      <w:r>
        <w:rPr>
          <w:rFonts w:eastAsiaTheme="minorEastAsia"/>
          <w:b/>
          <w:color w:val="auto"/>
          <w:sz w:val="36"/>
          <w:szCs w:val="36"/>
          <w:highlight w:val="none"/>
        </w:rPr>
        <w:t>编制单位：新疆万汇工程项目管理有限公司</w:t>
      </w:r>
    </w:p>
    <w:p>
      <w:pPr>
        <w:overflowPunct w:val="0"/>
        <w:autoSpaceDE w:val="0"/>
        <w:autoSpaceDN w:val="0"/>
        <w:ind w:firstLine="0" w:firstLineChars="0"/>
        <w:jc w:val="center"/>
        <w:rPr>
          <w:rFonts w:eastAsiaTheme="minorEastAsia"/>
          <w:b/>
          <w:color w:val="auto"/>
          <w:sz w:val="36"/>
          <w:szCs w:val="36"/>
          <w:highlight w:val="none"/>
        </w:rPr>
      </w:pPr>
      <w:r>
        <w:rPr>
          <w:rFonts w:eastAsiaTheme="minorEastAsia"/>
          <w:b/>
          <w:color w:val="auto"/>
          <w:sz w:val="36"/>
          <w:szCs w:val="36"/>
          <w:highlight w:val="none"/>
        </w:rPr>
        <w:t>二零二零年十</w:t>
      </w:r>
      <w:r>
        <w:rPr>
          <w:rFonts w:hint="eastAsia" w:eastAsiaTheme="minorEastAsia"/>
          <w:b/>
          <w:color w:val="auto"/>
          <w:sz w:val="36"/>
          <w:szCs w:val="36"/>
          <w:highlight w:val="none"/>
          <w:lang w:eastAsia="zh-CN"/>
        </w:rPr>
        <w:t>二</w:t>
      </w:r>
      <w:r>
        <w:rPr>
          <w:rFonts w:eastAsiaTheme="minorEastAsia"/>
          <w:b/>
          <w:color w:val="auto"/>
          <w:sz w:val="36"/>
          <w:szCs w:val="36"/>
          <w:highlight w:val="none"/>
        </w:rPr>
        <w:t>月</w:t>
      </w:r>
    </w:p>
    <w:p>
      <w:pPr>
        <w:pStyle w:val="2"/>
        <w:pBdr>
          <w:bottom w:val="none" w:color="auto" w:sz="0" w:space="0"/>
        </w:pBdr>
        <w:spacing w:line="360" w:lineRule="auto"/>
        <w:ind w:firstLine="360"/>
        <w:rPr>
          <w:rFonts w:eastAsia="仿宋_GB2312"/>
          <w:color w:val="auto"/>
          <w:highlight w:val="none"/>
        </w:rPr>
      </w:pPr>
    </w:p>
    <w:p>
      <w:pPr>
        <w:overflowPunct w:val="0"/>
        <w:autoSpaceDE w:val="0"/>
        <w:autoSpaceDN w:val="0"/>
        <w:ind w:firstLine="0" w:firstLineChars="0"/>
        <w:rPr>
          <w:rFonts w:eastAsia="仿宋_GB2312"/>
          <w:color w:val="auto"/>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520" w:bottom="1440" w:left="1520" w:header="851" w:footer="992" w:gutter="0"/>
          <w:pgBorders>
            <w:top w:val="none" w:sz="0" w:space="0"/>
            <w:left w:val="none" w:sz="0" w:space="0"/>
            <w:bottom w:val="none" w:sz="0" w:space="0"/>
            <w:right w:val="none" w:sz="0" w:space="0"/>
          </w:pgBorders>
          <w:pgNumType w:fmt="lowerRoman" w:start="1"/>
          <w:cols w:space="720" w:num="1"/>
          <w:docGrid w:linePitch="326" w:charSpace="0"/>
        </w:sectPr>
      </w:pPr>
    </w:p>
    <w:p>
      <w:pPr>
        <w:ind w:firstLine="0" w:firstLineChars="0"/>
        <w:contextualSpacing/>
        <w:rPr>
          <w:rFonts w:eastAsia="仿宋_GB2312"/>
          <w:color w:val="auto"/>
          <w:highlight w:val="none"/>
        </w:rPr>
      </w:pPr>
      <w:r>
        <w:rPr>
          <w:rFonts w:eastAsia="仿宋_GB2312"/>
          <w:color w:val="auto"/>
          <w:highlight w:val="none"/>
        </w:rPr>
        <mc:AlternateContent>
          <mc:Choice Requires="wps">
            <w:drawing>
              <wp:anchor distT="0" distB="0" distL="114300" distR="114300" simplePos="0" relativeHeight="252375040" behindDoc="0" locked="0" layoutInCell="1" allowOverlap="1">
                <wp:simplePos x="0" y="0"/>
                <wp:positionH relativeFrom="column">
                  <wp:posOffset>490855</wp:posOffset>
                </wp:positionH>
                <wp:positionV relativeFrom="paragraph">
                  <wp:posOffset>1880235</wp:posOffset>
                </wp:positionV>
                <wp:extent cx="4901565" cy="809625"/>
                <wp:effectExtent l="0" t="0" r="0" b="0"/>
                <wp:wrapNone/>
                <wp:docPr id="13" name="文本框 2290"/>
                <wp:cNvGraphicFramePr/>
                <a:graphic xmlns:a="http://schemas.openxmlformats.org/drawingml/2006/main">
                  <a:graphicData uri="http://schemas.microsoft.com/office/word/2010/wordprocessingShape">
                    <wps:wsp>
                      <wps:cNvSpPr txBox="1"/>
                      <wps:spPr>
                        <a:xfrm>
                          <a:off x="0" y="0"/>
                          <a:ext cx="4901565" cy="809625"/>
                        </a:xfrm>
                        <a:prstGeom prst="rect">
                          <a:avLst/>
                        </a:prstGeom>
                        <a:noFill/>
                        <a:ln>
                          <a:noFill/>
                        </a:ln>
                      </wps:spPr>
                      <wps:txbx>
                        <w:txbxContent>
                          <w:p>
                            <w:pPr>
                              <w:overflowPunct w:val="0"/>
                              <w:autoSpaceDE w:val="0"/>
                              <w:autoSpaceDN w:val="0"/>
                              <w:ind w:firstLine="0" w:firstLineChars="0"/>
                              <w:jc w:val="center"/>
                              <w:rPr>
                                <w:rFonts w:ascii="华文中宋" w:hAnsi="华文中宋" w:eastAsia="华文中宋"/>
                                <w:b/>
                                <w:color w:val="0000FF"/>
                                <w:sz w:val="32"/>
                                <w:szCs w:val="28"/>
                              </w:rPr>
                            </w:pPr>
                            <w:r>
                              <w:rPr>
                                <w:rFonts w:hint="eastAsia" w:ascii="华文中宋" w:hAnsi="华文中宋" w:eastAsia="华文中宋"/>
                                <w:b/>
                                <w:color w:val="0000FF"/>
                                <w:sz w:val="32"/>
                                <w:szCs w:val="28"/>
                              </w:rPr>
                              <w:t>仅用于</w:t>
                            </w:r>
                            <w:r>
                              <w:rPr>
                                <w:rFonts w:hint="eastAsia" w:ascii="华文中宋" w:hAnsi="华文中宋" w:eastAsia="华文中宋"/>
                                <w:b/>
                                <w:color w:val="0000FF"/>
                                <w:sz w:val="32"/>
                                <w:szCs w:val="28"/>
                                <w:lang w:eastAsia="zh-CN"/>
                              </w:rPr>
                              <w:t>伊宁县书香·雅居</w:t>
                            </w:r>
                            <w:r>
                              <w:rPr>
                                <w:rFonts w:ascii="华文中宋" w:hAnsi="华文中宋" w:eastAsia="华文中宋"/>
                                <w:b/>
                                <w:color w:val="0000FF"/>
                                <w:sz w:val="32"/>
                                <w:szCs w:val="28"/>
                              </w:rPr>
                              <w:t>建设项目</w:t>
                            </w:r>
                            <w:r>
                              <w:rPr>
                                <w:rFonts w:hint="eastAsia" w:ascii="华文中宋" w:hAnsi="华文中宋" w:eastAsia="华文中宋"/>
                                <w:b/>
                                <w:color w:val="0000FF"/>
                                <w:sz w:val="32"/>
                                <w:szCs w:val="28"/>
                              </w:rPr>
                              <w:t>,否则无效</w:t>
                            </w:r>
                          </w:p>
                        </w:txbxContent>
                      </wps:txbx>
                      <wps:bodyPr lIns="18000" tIns="36000" rIns="18000" bIns="36000" upright="1"/>
                    </wps:wsp>
                  </a:graphicData>
                </a:graphic>
              </wp:anchor>
            </w:drawing>
          </mc:Choice>
          <mc:Fallback>
            <w:pict>
              <v:shape id="文本框 2290" o:spid="_x0000_s1026" o:spt="202" type="#_x0000_t202" style="position:absolute;left:0pt;margin-left:38.65pt;margin-top:148.05pt;height:63.75pt;width:385.95pt;z-index:252375040;mso-width-relative:page;mso-height-relative:page;" filled="f" stroked="f" coordsize="21600,21600" o:gfxdata="UEsDBAoAAAAAAIdO4kAAAAAAAAAAAAAAAAAEAAAAZHJzL1BLAwQUAAAACACHTuJAiSM3E9gAAAAK&#10;AQAADwAAAGRycy9kb3ducmV2LnhtbE2PTU+DQBCG7yb+h82YeLMLtNKWMjRNE+zZauJ1C1PAsrPI&#10;bD/8964nPU7eJ+/7TL6+2V5daJTOMUI8iUARV67uuEF4fyufFqDEG65N75gQvklgXdzf5Sar3ZVf&#10;6bL3jQolLJlBaL0fMq2laskambiBOGRHN1rjwzk2uh7NNZTbXidRlGprOg4LrRlo21J12p8twm7z&#10;9RzLhoW3p5fuc/dRukpKxMeHOFqB8nTzfzD86gd1KILTwZ25FtUjzOfTQCIkyzQGFYDFbJmAOiDM&#10;kmkKusj1/xeKH1BLAwQUAAAACACHTuJAA7MOusQBAACGAwAADgAAAGRycy9lMm9Eb2MueG1srVNL&#10;btswEN0X6B0I7mvJSm3YguUAhZGiQJAWSHsAmiItAvxhSFvyBZIbdNVN9z2Xz9Eh7dpuusmiG4nz&#10;0Zv33lCL28FoshMQlLMNHY9KSoTlrlV209BvX+/ezSgJkdmWaWdFQ/ci0Nvl2zeL3teicp3TrQCC&#10;IDbUvW9oF6OviyLwThgWRs4Li0XpwLCIIWyKFliP6EYXVVlOi95B68FxEQJmV8ciPSHCawCdlIqL&#10;leNbI2w8ooLQLKKk0Ckf6DKzlVLw+FnKICLRDUWlMT9xCJ7X6VksF6zeAPOd4icK7DUUXmgyTFkc&#10;eoZascjIFtQ/UEZxcMHJOOLOFEch2RFUMS5fePPYMS+yFrQ6+LPp4f/B8ofdFyCqxZtwQ4llBjd+&#10;+P58+PHr8POJVNU8W9T7UGPno8feOHxwA7Yn61I+YDIpHySY9EZNBOto8P5ssBgi4Zh8Py/Hk+mE&#10;Eo61WTmfVpMEU1y+9hDiR+EMSYeGAi4w+8p29yEeW/+0pGHW3Smt8xK1/SuBmClTXCimUxzWw4n3&#10;2rV7lKM/WbRzPCvLdD1ycDPNAVxX1teVrQe16ZBeNiGPwPVkHaerlPZ/HWcil99n+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JIzcT2AAAAAoBAAAPAAAAAAAAAAEAIAAAACIAAABkcnMvZG93bnJl&#10;di54bWxQSwECFAAUAAAACACHTuJAA7MOusQBAACGAwAADgAAAAAAAAABACAAAAAnAQAAZHJzL2Uy&#10;b0RvYy54bWxQSwUGAAAAAAYABgBZAQAAXQUAAAAA&#10;">
                <v:fill on="f" focussize="0,0"/>
                <v:stroke on="f"/>
                <v:imagedata o:title=""/>
                <o:lock v:ext="edit" aspectratio="f"/>
                <v:textbox inset="0.5mm,1mm,0.5mm,1mm">
                  <w:txbxContent>
                    <w:p>
                      <w:pPr>
                        <w:overflowPunct w:val="0"/>
                        <w:autoSpaceDE w:val="0"/>
                        <w:autoSpaceDN w:val="0"/>
                        <w:ind w:firstLine="0" w:firstLineChars="0"/>
                        <w:jc w:val="center"/>
                        <w:rPr>
                          <w:rFonts w:ascii="华文中宋" w:hAnsi="华文中宋" w:eastAsia="华文中宋"/>
                          <w:b/>
                          <w:color w:val="0000FF"/>
                          <w:sz w:val="32"/>
                          <w:szCs w:val="28"/>
                        </w:rPr>
                      </w:pPr>
                      <w:r>
                        <w:rPr>
                          <w:rFonts w:hint="eastAsia" w:ascii="华文中宋" w:hAnsi="华文中宋" w:eastAsia="华文中宋"/>
                          <w:b/>
                          <w:color w:val="0000FF"/>
                          <w:sz w:val="32"/>
                          <w:szCs w:val="28"/>
                        </w:rPr>
                        <w:t>仅用于</w:t>
                      </w:r>
                      <w:r>
                        <w:rPr>
                          <w:rFonts w:hint="eastAsia" w:ascii="华文中宋" w:hAnsi="华文中宋" w:eastAsia="华文中宋"/>
                          <w:b/>
                          <w:color w:val="0000FF"/>
                          <w:sz w:val="32"/>
                          <w:szCs w:val="28"/>
                          <w:lang w:eastAsia="zh-CN"/>
                        </w:rPr>
                        <w:t>伊宁县书香·雅居</w:t>
                      </w:r>
                      <w:r>
                        <w:rPr>
                          <w:rFonts w:ascii="华文中宋" w:hAnsi="华文中宋" w:eastAsia="华文中宋"/>
                          <w:b/>
                          <w:color w:val="0000FF"/>
                          <w:sz w:val="32"/>
                          <w:szCs w:val="28"/>
                        </w:rPr>
                        <w:t>建设项目</w:t>
                      </w:r>
                      <w:r>
                        <w:rPr>
                          <w:rFonts w:hint="eastAsia" w:ascii="华文中宋" w:hAnsi="华文中宋" w:eastAsia="华文中宋"/>
                          <w:b/>
                          <w:color w:val="0000FF"/>
                          <w:sz w:val="32"/>
                          <w:szCs w:val="28"/>
                        </w:rPr>
                        <w:t>,否则无效</w:t>
                      </w:r>
                    </w:p>
                  </w:txbxContent>
                </v:textbox>
              </v:shape>
            </w:pict>
          </mc:Fallback>
        </mc:AlternateContent>
      </w:r>
      <w:r>
        <w:rPr>
          <w:rFonts w:eastAsia="仿宋_GB2312"/>
          <w:color w:val="auto"/>
          <w:highlight w:val="none"/>
        </w:rPr>
        <w:drawing>
          <wp:inline distT="0" distB="0" distL="0" distR="0">
            <wp:extent cx="5629910" cy="4057650"/>
            <wp:effectExtent l="0" t="0" r="0" b="0"/>
            <wp:docPr id="3" name="图片 3" descr="C:\Users\Administrator\Desktop\方案资质-新疆万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方案资质-新疆万汇.jpg"/>
                    <pic:cNvPicPr>
                      <a:picLocks noChangeAspect="1" noChangeArrowheads="1"/>
                    </pic:cNvPicPr>
                  </pic:nvPicPr>
                  <pic:blipFill>
                    <a:blip r:embed="rId27"/>
                    <a:srcRect/>
                    <a:stretch>
                      <a:fillRect/>
                    </a:stretch>
                  </pic:blipFill>
                  <pic:spPr>
                    <a:xfrm>
                      <a:off x="0" y="0"/>
                      <a:ext cx="5629910" cy="4057650"/>
                    </a:xfrm>
                    <a:prstGeom prst="rect">
                      <a:avLst/>
                    </a:prstGeom>
                    <a:noFill/>
                    <a:ln>
                      <a:noFill/>
                    </a:ln>
                  </pic:spPr>
                </pic:pic>
              </a:graphicData>
            </a:graphic>
          </wp:inline>
        </w:drawing>
      </w:r>
    </w:p>
    <w:p>
      <w:pPr>
        <w:ind w:firstLine="0" w:firstLineChars="0"/>
        <w:contextualSpacing/>
        <w:rPr>
          <w:rFonts w:eastAsia="仿宋_GB2312"/>
          <w:color w:val="auto"/>
          <w:highlight w:val="none"/>
        </w:rPr>
      </w:pPr>
    </w:p>
    <w:p>
      <w:pPr>
        <w:ind w:firstLine="0" w:firstLineChars="0"/>
        <w:contextualSpacing/>
        <w:rPr>
          <w:rFonts w:eastAsia="仿宋_GB2312"/>
          <w:color w:val="auto"/>
          <w:highlight w:val="none"/>
        </w:rPr>
      </w:pPr>
    </w:p>
    <w:p>
      <w:pPr>
        <w:ind w:firstLine="0" w:firstLineChars="0"/>
        <w:rPr>
          <w:rFonts w:eastAsia="仿宋_GB2312"/>
          <w:color w:val="auto"/>
          <w:sz w:val="32"/>
          <w:szCs w:val="32"/>
          <w:highlight w:val="none"/>
        </w:rPr>
      </w:pPr>
      <w:r>
        <w:rPr>
          <w:rFonts w:eastAsia="仿宋_GB2312"/>
          <w:color w:val="auto"/>
          <w:spacing w:val="40"/>
          <w:sz w:val="32"/>
          <w:szCs w:val="32"/>
          <w:highlight w:val="none"/>
        </w:rPr>
        <w:t>设计单位</w:t>
      </w:r>
      <w:r>
        <w:rPr>
          <w:rFonts w:eastAsia="仿宋_GB2312"/>
          <w:color w:val="auto"/>
          <w:sz w:val="32"/>
          <w:szCs w:val="32"/>
          <w:highlight w:val="none"/>
        </w:rPr>
        <w:t>：新疆万汇工程项目管理有限公司</w:t>
      </w:r>
    </w:p>
    <w:p>
      <w:pPr>
        <w:ind w:firstLine="0" w:firstLineChars="0"/>
        <w:rPr>
          <w:rFonts w:eastAsia="仿宋_GB2312"/>
          <w:color w:val="auto"/>
          <w:sz w:val="32"/>
          <w:szCs w:val="32"/>
          <w:highlight w:val="none"/>
        </w:rPr>
      </w:pPr>
      <w:r>
        <w:rPr>
          <w:rFonts w:eastAsia="仿宋_GB2312"/>
          <w:color w:val="auto"/>
          <w:sz w:val="32"/>
          <w:szCs w:val="32"/>
          <w:highlight w:val="none"/>
        </w:rPr>
        <w:t>通讯地址：新疆乌鲁木齐经济技术开发区（头屯河区）凤凰山街353号亚欧贸易中心2号商务综合楼1910室</w:t>
      </w:r>
    </w:p>
    <w:p>
      <w:pPr>
        <w:ind w:firstLine="0" w:firstLineChars="0"/>
        <w:rPr>
          <w:rFonts w:eastAsia="仿宋_GB2312"/>
          <w:color w:val="auto"/>
          <w:sz w:val="32"/>
          <w:szCs w:val="32"/>
          <w:highlight w:val="none"/>
        </w:rPr>
      </w:pPr>
      <w:r>
        <w:rPr>
          <w:rFonts w:eastAsia="仿宋_GB2312"/>
          <w:color w:val="auto"/>
          <w:sz w:val="32"/>
          <w:szCs w:val="32"/>
          <w:highlight w:val="none"/>
        </w:rPr>
        <w:t>邮政编码：830000</w:t>
      </w:r>
    </w:p>
    <w:p>
      <w:pPr>
        <w:ind w:firstLine="0" w:firstLineChars="0"/>
        <w:rPr>
          <w:rFonts w:hint="eastAsia" w:eastAsia="仿宋_GB2312"/>
          <w:color w:val="auto"/>
          <w:sz w:val="32"/>
          <w:szCs w:val="32"/>
          <w:highlight w:val="none"/>
          <w:lang w:eastAsia="zh-CN"/>
        </w:rPr>
      </w:pPr>
      <w:r>
        <w:rPr>
          <w:rFonts w:eastAsia="仿宋_GB2312"/>
          <w:color w:val="auto"/>
          <w:sz w:val="32"/>
          <w:szCs w:val="32"/>
          <w:highlight w:val="none"/>
        </w:rPr>
        <w:t>项目联系人：</w:t>
      </w:r>
      <w:r>
        <w:rPr>
          <w:rFonts w:hint="eastAsia" w:eastAsia="仿宋_GB2312"/>
          <w:color w:val="auto"/>
          <w:sz w:val="32"/>
          <w:szCs w:val="32"/>
          <w:highlight w:val="none"/>
          <w:lang w:eastAsia="zh-CN"/>
        </w:rPr>
        <w:t>张娜</w:t>
      </w:r>
    </w:p>
    <w:p>
      <w:pPr>
        <w:ind w:firstLine="0" w:firstLineChars="0"/>
        <w:rPr>
          <w:rFonts w:hint="eastAsia" w:eastAsia="仿宋_GB2312"/>
          <w:color w:val="auto"/>
          <w:sz w:val="32"/>
          <w:szCs w:val="32"/>
          <w:highlight w:val="none"/>
          <w:lang w:eastAsia="zh-CN"/>
        </w:rPr>
      </w:pPr>
      <w:r>
        <w:rPr>
          <w:rFonts w:eastAsia="仿宋_GB2312"/>
          <w:color w:val="auto"/>
          <w:spacing w:val="38"/>
          <w:sz w:val="32"/>
          <w:szCs w:val="32"/>
          <w:highlight w:val="none"/>
        </w:rPr>
        <w:t>联系电话</w:t>
      </w:r>
      <w:r>
        <w:rPr>
          <w:rFonts w:eastAsia="仿宋_GB2312"/>
          <w:color w:val="auto"/>
          <w:sz w:val="32"/>
          <w:szCs w:val="32"/>
          <w:highlight w:val="none"/>
        </w:rPr>
        <w:t>：</w:t>
      </w:r>
      <w:r>
        <w:rPr>
          <w:rFonts w:hint="eastAsia" w:eastAsia="仿宋_GB2312"/>
          <w:color w:val="auto"/>
          <w:sz w:val="32"/>
          <w:szCs w:val="32"/>
          <w:highlight w:val="none"/>
          <w:lang w:eastAsia="zh-CN"/>
        </w:rPr>
        <w:t>18599409989</w:t>
      </w:r>
    </w:p>
    <w:p>
      <w:pPr>
        <w:ind w:firstLine="0" w:firstLineChars="0"/>
        <w:rPr>
          <w:rFonts w:eastAsia="仿宋_GB2312"/>
          <w:color w:val="auto"/>
          <w:sz w:val="32"/>
          <w:szCs w:val="32"/>
          <w:highlight w:val="none"/>
        </w:rPr>
      </w:pPr>
      <w:r>
        <w:rPr>
          <w:rFonts w:eastAsia="仿宋_GB2312"/>
          <w:color w:val="auto"/>
          <w:sz w:val="32"/>
          <w:szCs w:val="32"/>
          <w:highlight w:val="none"/>
        </w:rPr>
        <w:t>邮箱：</w:t>
      </w:r>
      <w:r>
        <w:rPr>
          <w:rFonts w:hint="eastAsia" w:eastAsia="仿宋_GB2312"/>
          <w:color w:val="auto"/>
          <w:sz w:val="32"/>
          <w:szCs w:val="32"/>
          <w:highlight w:val="none"/>
          <w:lang w:eastAsia="zh-CN"/>
        </w:rPr>
        <w:t>371197562</w:t>
      </w:r>
      <w:r>
        <w:rPr>
          <w:rFonts w:eastAsia="仿宋_GB2312"/>
          <w:color w:val="auto"/>
          <w:sz w:val="32"/>
          <w:szCs w:val="32"/>
          <w:highlight w:val="none"/>
        </w:rPr>
        <w:t>@qq.com</w:t>
      </w:r>
    </w:p>
    <w:p>
      <w:pPr>
        <w:ind w:firstLine="0" w:firstLineChars="0"/>
        <w:contextualSpacing/>
        <w:rPr>
          <w:rFonts w:eastAsia="仿宋_GB2312"/>
          <w:color w:val="auto"/>
          <w:highlight w:val="none"/>
        </w:rPr>
      </w:pPr>
    </w:p>
    <w:p>
      <w:pPr>
        <w:ind w:firstLine="0" w:firstLineChars="0"/>
        <w:contextualSpacing/>
        <w:rPr>
          <w:rFonts w:eastAsia="仿宋_GB2312"/>
          <w:color w:val="auto"/>
          <w:highlight w:val="none"/>
        </w:rPr>
      </w:pPr>
    </w:p>
    <w:p>
      <w:pPr>
        <w:ind w:firstLine="0" w:firstLineChars="0"/>
        <w:contextualSpacing/>
        <w:rPr>
          <w:rFonts w:eastAsia="仿宋_GB2312"/>
          <w:color w:val="auto"/>
          <w:highlight w:val="none"/>
        </w:rPr>
      </w:pPr>
    </w:p>
    <w:p>
      <w:pPr>
        <w:ind w:firstLine="0" w:firstLineChars="0"/>
        <w:contextualSpacing/>
        <w:rPr>
          <w:rFonts w:eastAsia="仿宋_GB2312"/>
          <w:color w:val="auto"/>
          <w:highlight w:val="none"/>
        </w:rPr>
        <w:sectPr>
          <w:pgSz w:w="11906" w:h="16838"/>
          <w:pgMar w:top="1440" w:right="1520" w:bottom="1440" w:left="1520" w:header="851" w:footer="992" w:gutter="0"/>
          <w:pgBorders>
            <w:top w:val="none" w:sz="0" w:space="0"/>
            <w:left w:val="none" w:sz="0" w:space="0"/>
            <w:bottom w:val="none" w:sz="0" w:space="0"/>
            <w:right w:val="none" w:sz="0" w:space="0"/>
          </w:pgBorders>
          <w:pgNumType w:fmt="lowerRoman" w:start="1"/>
          <w:cols w:space="720" w:num="1"/>
          <w:docGrid w:linePitch="326" w:charSpace="0"/>
        </w:sectPr>
      </w:pPr>
    </w:p>
    <w:p>
      <w:pPr>
        <w:ind w:firstLine="0" w:firstLineChars="0"/>
        <w:jc w:val="center"/>
        <w:rPr>
          <w:rFonts w:eastAsia="仿宋_GB2312"/>
          <w:b/>
          <w:color w:val="auto"/>
          <w:sz w:val="32"/>
          <w:szCs w:val="32"/>
          <w:highlight w:val="none"/>
        </w:rPr>
      </w:pPr>
      <w:r>
        <w:rPr>
          <w:rFonts w:hint="eastAsia" w:eastAsia="仿宋_GB2312"/>
          <w:b/>
          <w:color w:val="auto"/>
          <w:sz w:val="32"/>
          <w:szCs w:val="32"/>
          <w:highlight w:val="none"/>
          <w:lang w:eastAsia="zh-CN"/>
        </w:rPr>
        <w:t>伊宁县书香·雅居</w:t>
      </w:r>
      <w:r>
        <w:rPr>
          <w:rFonts w:eastAsia="仿宋_GB2312"/>
          <w:b/>
          <w:color w:val="auto"/>
          <w:sz w:val="32"/>
          <w:szCs w:val="32"/>
          <w:highlight w:val="none"/>
        </w:rPr>
        <w:t>建设项目水土保持方案报告表</w:t>
      </w:r>
    </w:p>
    <w:p>
      <w:pPr>
        <w:pStyle w:val="2"/>
        <w:pBdr>
          <w:bottom w:val="none" w:color="auto" w:sz="0" w:space="0"/>
        </w:pBdr>
        <w:spacing w:before="120" w:beforeLines="50" w:line="360" w:lineRule="auto"/>
        <w:ind w:firstLine="643"/>
        <w:rPr>
          <w:rFonts w:eastAsia="仿宋_GB2312"/>
          <w:b/>
          <w:color w:val="auto"/>
          <w:kern w:val="2"/>
          <w:sz w:val="32"/>
          <w:szCs w:val="32"/>
          <w:highlight w:val="none"/>
        </w:rPr>
      </w:pPr>
      <w:r>
        <w:rPr>
          <w:rFonts w:eastAsia="仿宋_GB2312"/>
          <w:b/>
          <w:color w:val="auto"/>
          <w:kern w:val="2"/>
          <w:sz w:val="32"/>
          <w:szCs w:val="32"/>
          <w:highlight w:val="none"/>
        </w:rPr>
        <w:t>责任页</w:t>
      </w:r>
    </w:p>
    <w:p>
      <w:pPr>
        <w:pStyle w:val="2"/>
        <w:pBdr>
          <w:bottom w:val="none" w:color="auto" w:sz="0" w:space="0"/>
        </w:pBdr>
        <w:spacing w:line="360" w:lineRule="auto"/>
        <w:ind w:firstLine="643"/>
        <w:rPr>
          <w:rFonts w:eastAsia="仿宋_GB2312"/>
          <w:b/>
          <w:color w:val="auto"/>
          <w:kern w:val="2"/>
          <w:sz w:val="32"/>
          <w:szCs w:val="32"/>
          <w:highlight w:val="none"/>
        </w:rPr>
      </w:pPr>
      <w:r>
        <w:rPr>
          <w:rFonts w:eastAsia="仿宋_GB2312"/>
          <w:b/>
          <w:color w:val="auto"/>
          <w:sz w:val="32"/>
          <w:szCs w:val="32"/>
          <w:highlight w:val="none"/>
        </w:rPr>
        <w:t>（新疆万汇工程项目管理有限公司）</w:t>
      </w:r>
    </w:p>
    <w:p>
      <w:pPr>
        <w:ind w:left="602" w:hanging="602" w:hangingChars="200"/>
        <w:rPr>
          <w:rFonts w:eastAsia="仿宋_GB2312"/>
          <w:b/>
          <w:color w:val="auto"/>
          <w:sz w:val="30"/>
          <w:szCs w:val="30"/>
          <w:highlight w:val="none"/>
        </w:rPr>
      </w:pPr>
    </w:p>
    <w:p>
      <w:pPr>
        <w:ind w:left="602" w:hanging="602" w:hangingChars="200"/>
        <w:rPr>
          <w:rFonts w:eastAsia="仿宋_GB2312"/>
          <w:color w:val="auto"/>
          <w:sz w:val="30"/>
          <w:szCs w:val="30"/>
          <w:highlight w:val="none"/>
        </w:rPr>
      </w:pPr>
      <w:r>
        <w:rPr>
          <w:rFonts w:eastAsia="仿宋_GB2312"/>
          <w:b/>
          <w:color w:val="auto"/>
          <w:sz w:val="30"/>
          <w:szCs w:val="30"/>
          <w:highlight w:val="none"/>
        </w:rPr>
        <w:t>批准：</w:t>
      </w:r>
      <w:r>
        <w:rPr>
          <w:rFonts w:eastAsia="仿宋_GB2312"/>
          <w:color w:val="auto"/>
          <w:sz w:val="30"/>
          <w:szCs w:val="30"/>
          <w:highlight w:val="none"/>
        </w:rPr>
        <w:t>顾会刚（总经理）</w:t>
      </w:r>
    </w:p>
    <w:p>
      <w:pPr>
        <w:ind w:left="602" w:hanging="602" w:hangingChars="200"/>
        <w:rPr>
          <w:rFonts w:eastAsia="仿宋_GB2312"/>
          <w:b/>
          <w:color w:val="auto"/>
          <w:sz w:val="30"/>
          <w:szCs w:val="30"/>
          <w:highlight w:val="none"/>
        </w:rPr>
      </w:pPr>
    </w:p>
    <w:p>
      <w:pPr>
        <w:ind w:left="602" w:hanging="602" w:hangingChars="200"/>
        <w:rPr>
          <w:rFonts w:eastAsia="仿宋_GB2312"/>
          <w:color w:val="auto"/>
          <w:sz w:val="30"/>
          <w:szCs w:val="30"/>
          <w:highlight w:val="none"/>
        </w:rPr>
      </w:pPr>
      <w:r>
        <w:rPr>
          <w:rFonts w:eastAsia="仿宋_GB2312"/>
          <w:b/>
          <w:color w:val="auto"/>
          <w:sz w:val="30"/>
          <w:szCs w:val="30"/>
          <w:highlight w:val="none"/>
        </w:rPr>
        <w:t>核定：</w:t>
      </w:r>
      <w:r>
        <w:rPr>
          <w:rFonts w:eastAsia="仿宋_GB2312"/>
          <w:color w:val="auto"/>
          <w:sz w:val="30"/>
          <w:szCs w:val="30"/>
          <w:highlight w:val="none"/>
        </w:rPr>
        <w:t>佟婵娟（主任）</w:t>
      </w:r>
    </w:p>
    <w:p>
      <w:pPr>
        <w:ind w:left="602" w:hanging="602" w:hangingChars="200"/>
        <w:rPr>
          <w:rFonts w:eastAsia="仿宋_GB2312"/>
          <w:b/>
          <w:color w:val="auto"/>
          <w:sz w:val="30"/>
          <w:szCs w:val="30"/>
          <w:highlight w:val="none"/>
        </w:rPr>
      </w:pPr>
    </w:p>
    <w:p>
      <w:pPr>
        <w:ind w:left="602" w:hanging="602" w:hangingChars="200"/>
        <w:rPr>
          <w:rFonts w:eastAsia="仿宋_GB2312"/>
          <w:color w:val="auto"/>
          <w:sz w:val="30"/>
          <w:szCs w:val="30"/>
          <w:highlight w:val="none"/>
        </w:rPr>
      </w:pPr>
      <w:r>
        <w:rPr>
          <w:rFonts w:eastAsia="仿宋_GB2312"/>
          <w:b/>
          <w:color w:val="auto"/>
          <w:sz w:val="30"/>
          <w:szCs w:val="30"/>
          <w:highlight w:val="none"/>
        </w:rPr>
        <w:t>审查：</w:t>
      </w:r>
      <w:r>
        <w:rPr>
          <w:rFonts w:eastAsia="仿宋_GB2312"/>
          <w:color w:val="auto"/>
          <w:sz w:val="30"/>
          <w:szCs w:val="30"/>
          <w:highlight w:val="none"/>
        </w:rPr>
        <w:t>杨海英（工程师）</w:t>
      </w:r>
    </w:p>
    <w:p>
      <w:pPr>
        <w:ind w:left="602" w:hanging="602" w:hangingChars="200"/>
        <w:rPr>
          <w:rFonts w:eastAsia="仿宋_GB2312"/>
          <w:b/>
          <w:color w:val="auto"/>
          <w:sz w:val="30"/>
          <w:szCs w:val="30"/>
          <w:highlight w:val="none"/>
        </w:rPr>
      </w:pPr>
    </w:p>
    <w:p>
      <w:pPr>
        <w:ind w:left="602" w:hanging="602" w:hangingChars="200"/>
        <w:rPr>
          <w:rFonts w:eastAsia="仿宋_GB2312"/>
          <w:color w:val="auto"/>
          <w:sz w:val="30"/>
          <w:szCs w:val="30"/>
          <w:highlight w:val="none"/>
        </w:rPr>
      </w:pPr>
      <w:r>
        <w:rPr>
          <w:rFonts w:eastAsia="仿宋_GB2312"/>
          <w:b/>
          <w:color w:val="auto"/>
          <w:sz w:val="30"/>
          <w:szCs w:val="30"/>
          <w:highlight w:val="none"/>
        </w:rPr>
        <w:t>校核：</w:t>
      </w:r>
      <w:r>
        <w:rPr>
          <w:rFonts w:eastAsia="仿宋_GB2312"/>
          <w:color w:val="auto"/>
          <w:sz w:val="30"/>
          <w:szCs w:val="30"/>
          <w:highlight w:val="none"/>
        </w:rPr>
        <w:t>马勇强（工程师）</w:t>
      </w:r>
    </w:p>
    <w:p>
      <w:pPr>
        <w:ind w:left="602" w:hanging="602" w:hangingChars="200"/>
        <w:rPr>
          <w:rFonts w:eastAsia="仿宋_GB2312"/>
          <w:b/>
          <w:color w:val="auto"/>
          <w:sz w:val="30"/>
          <w:szCs w:val="30"/>
          <w:highlight w:val="none"/>
        </w:rPr>
      </w:pPr>
    </w:p>
    <w:p>
      <w:pPr>
        <w:ind w:left="602" w:hanging="602" w:hangingChars="200"/>
        <w:rPr>
          <w:rFonts w:eastAsia="仿宋_GB2312"/>
          <w:color w:val="auto"/>
          <w:sz w:val="30"/>
          <w:szCs w:val="30"/>
          <w:highlight w:val="none"/>
        </w:rPr>
      </w:pPr>
      <w:r>
        <w:rPr>
          <w:rFonts w:eastAsia="仿宋_GB2312"/>
          <w:b/>
          <w:color w:val="auto"/>
          <w:sz w:val="30"/>
          <w:szCs w:val="30"/>
          <w:highlight w:val="none"/>
        </w:rPr>
        <w:t>项目负责人：</w:t>
      </w:r>
      <w:r>
        <w:rPr>
          <w:rFonts w:hint="eastAsia" w:eastAsia="仿宋_GB2312"/>
          <w:color w:val="auto"/>
          <w:sz w:val="30"/>
          <w:szCs w:val="30"/>
          <w:highlight w:val="none"/>
          <w:lang w:eastAsia="zh-CN"/>
        </w:rPr>
        <w:t>张娜</w:t>
      </w:r>
      <w:r>
        <w:rPr>
          <w:rFonts w:eastAsia="仿宋_GB2312"/>
          <w:color w:val="auto"/>
          <w:sz w:val="30"/>
          <w:szCs w:val="30"/>
          <w:highlight w:val="none"/>
        </w:rPr>
        <w:t>（工程师）</w:t>
      </w:r>
    </w:p>
    <w:p>
      <w:pPr>
        <w:ind w:left="602" w:hanging="602" w:hangingChars="200"/>
        <w:rPr>
          <w:rFonts w:eastAsia="仿宋_GB2312"/>
          <w:b/>
          <w:color w:val="auto"/>
          <w:sz w:val="30"/>
          <w:szCs w:val="30"/>
          <w:highlight w:val="none"/>
        </w:rPr>
      </w:pPr>
    </w:p>
    <w:p>
      <w:pPr>
        <w:spacing w:line="480" w:lineRule="auto"/>
        <w:ind w:left="602" w:hanging="602" w:hangingChars="200"/>
        <w:rPr>
          <w:rFonts w:eastAsia="仿宋_GB2312"/>
          <w:color w:val="auto"/>
          <w:sz w:val="30"/>
          <w:szCs w:val="30"/>
          <w:highlight w:val="none"/>
        </w:rPr>
      </w:pPr>
      <w:r>
        <w:rPr>
          <w:rFonts w:eastAsia="仿宋_GB2312"/>
          <w:b/>
          <w:color w:val="auto"/>
          <w:sz w:val="30"/>
          <w:szCs w:val="30"/>
          <w:highlight w:val="none"/>
        </w:rPr>
        <w:t>编写：</w:t>
      </w:r>
      <w:r>
        <w:rPr>
          <w:rFonts w:hint="eastAsia" w:eastAsia="仿宋_GB2312"/>
          <w:color w:val="auto"/>
          <w:sz w:val="30"/>
          <w:szCs w:val="30"/>
          <w:highlight w:val="none"/>
          <w:lang w:eastAsia="zh-CN"/>
        </w:rPr>
        <w:t>张娜</w:t>
      </w:r>
      <w:r>
        <w:rPr>
          <w:rFonts w:eastAsia="仿宋_GB2312"/>
          <w:color w:val="auto"/>
          <w:sz w:val="30"/>
          <w:szCs w:val="30"/>
          <w:highlight w:val="none"/>
        </w:rPr>
        <w:t>（参编第三章至第六章以及附图）</w:t>
      </w:r>
    </w:p>
    <w:p>
      <w:pPr>
        <w:spacing w:line="480" w:lineRule="auto"/>
        <w:ind w:left="600" w:hanging="600" w:hangingChars="200"/>
        <w:rPr>
          <w:rFonts w:eastAsia="仿宋_GB2312"/>
          <w:color w:val="auto"/>
          <w:sz w:val="30"/>
          <w:szCs w:val="30"/>
          <w:highlight w:val="none"/>
        </w:rPr>
      </w:pPr>
    </w:p>
    <w:p>
      <w:pPr>
        <w:ind w:left="600" w:leftChars="250" w:firstLine="300" w:firstLineChars="100"/>
        <w:rPr>
          <w:rFonts w:eastAsia="仿宋_GB2312"/>
          <w:color w:val="auto"/>
          <w:sz w:val="30"/>
          <w:szCs w:val="30"/>
          <w:highlight w:val="none"/>
        </w:rPr>
      </w:pPr>
      <w:r>
        <w:rPr>
          <w:rFonts w:eastAsia="仿宋_GB2312"/>
          <w:color w:val="auto"/>
          <w:sz w:val="30"/>
          <w:szCs w:val="30"/>
          <w:highlight w:val="none"/>
        </w:rPr>
        <w:t>张豫珠（参编第一、二章、第七、八章以及附件）</w:t>
      </w:r>
    </w:p>
    <w:p>
      <w:pPr>
        <w:ind w:left="600" w:hanging="600" w:hangingChars="200"/>
        <w:rPr>
          <w:rFonts w:eastAsia="仿宋_GB2312"/>
          <w:color w:val="auto"/>
          <w:sz w:val="30"/>
          <w:szCs w:val="30"/>
          <w:highlight w:val="none"/>
        </w:rPr>
      </w:pPr>
    </w:p>
    <w:p>
      <w:pPr>
        <w:ind w:firstLine="0" w:firstLineChars="0"/>
        <w:jc w:val="center"/>
        <w:rPr>
          <w:color w:val="auto"/>
          <w:sz w:val="36"/>
          <w:szCs w:val="36"/>
          <w:highlight w:val="none"/>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417" w:bottom="1440" w:left="1417" w:header="851" w:footer="992" w:gutter="0"/>
          <w:pgBorders>
            <w:top w:val="none" w:sz="0" w:space="0"/>
            <w:left w:val="none" w:sz="0" w:space="0"/>
            <w:bottom w:val="none" w:sz="0" w:space="0"/>
            <w:right w:val="none" w:sz="0" w:space="0"/>
          </w:pgBorders>
          <w:pgNumType w:fmt="upperRoman" w:start="1"/>
          <w:cols w:space="720" w:num="1"/>
          <w:docGrid w:linePitch="326" w:charSpace="0"/>
        </w:sectPr>
      </w:pPr>
    </w:p>
    <w:p>
      <w:pPr>
        <w:pStyle w:val="75"/>
        <w:rPr>
          <w:color w:val="auto"/>
          <w:sz w:val="28"/>
          <w:highlight w:val="none"/>
        </w:rPr>
      </w:pPr>
      <w:r>
        <w:rPr>
          <w:rFonts w:hint="eastAsia"/>
          <w:color w:val="auto"/>
          <w:sz w:val="28"/>
          <w:highlight w:val="none"/>
          <w:lang w:eastAsia="zh-CN"/>
        </w:rPr>
        <w:t>伊宁县书香·雅居</w:t>
      </w:r>
      <w:r>
        <w:rPr>
          <w:color w:val="auto"/>
          <w:sz w:val="28"/>
          <w:highlight w:val="none"/>
        </w:rPr>
        <w:t>建设项目水土保持方案报告表</w:t>
      </w:r>
    </w:p>
    <w:tbl>
      <w:tblPr>
        <w:tblStyle w:val="27"/>
        <w:tblW w:w="51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1227"/>
        <w:gridCol w:w="134"/>
        <w:gridCol w:w="244"/>
        <w:gridCol w:w="11"/>
        <w:gridCol w:w="1616"/>
        <w:gridCol w:w="1317"/>
        <w:gridCol w:w="426"/>
        <w:gridCol w:w="689"/>
        <w:gridCol w:w="782"/>
        <w:gridCol w:w="14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828" w:type="pct"/>
            <w:vMerge w:val="restar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项目概况</w:t>
            </w:r>
          </w:p>
        </w:tc>
        <w:tc>
          <w:tcPr>
            <w:tcW w:w="719"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位置</w:t>
            </w:r>
          </w:p>
        </w:tc>
        <w:tc>
          <w:tcPr>
            <w:tcW w:w="3453" w:type="pct"/>
            <w:gridSpan w:val="8"/>
            <w:tcBorders>
              <w:tl2br w:val="nil"/>
              <w:tr2bl w:val="nil"/>
            </w:tcBorders>
            <w:shd w:val="clear" w:color="auto" w:fill="auto"/>
            <w:noWrap/>
            <w:tcMar>
              <w:top w:w="15" w:type="dxa"/>
              <w:left w:w="15" w:type="dxa"/>
              <w:right w:w="15" w:type="dxa"/>
            </w:tcMar>
            <w:vAlign w:val="center"/>
          </w:tcPr>
          <w:p>
            <w:pPr>
              <w:pStyle w:val="84"/>
              <w:rPr>
                <w:rFonts w:hint="eastAsia" w:eastAsia="仿宋_GB2312"/>
                <w:color w:val="auto"/>
                <w:sz w:val="18"/>
                <w:szCs w:val="18"/>
                <w:highlight w:val="none"/>
                <w:lang w:eastAsia="zh-CN"/>
              </w:rPr>
            </w:pPr>
            <w:r>
              <w:rPr>
                <w:color w:val="auto"/>
                <w:sz w:val="18"/>
                <w:szCs w:val="18"/>
                <w:highlight w:val="none"/>
              </w:rPr>
              <w:t>本项目位于</w:t>
            </w:r>
            <w:r>
              <w:rPr>
                <w:rFonts w:hint="eastAsia"/>
                <w:color w:val="auto"/>
                <w:sz w:val="18"/>
                <w:szCs w:val="18"/>
                <w:highlight w:val="none"/>
                <w:lang w:eastAsia="zh-CN"/>
              </w:rPr>
              <w:t>伊宁县公安局以南，新城路以北，文明路以东，703乡道以西，距离伊宁县县中心2.25km，中心地理坐标为东经81°49′93.13″、北纬43°96′76.00″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719"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建设内容</w:t>
            </w:r>
          </w:p>
        </w:tc>
        <w:tc>
          <w:tcPr>
            <w:tcW w:w="3453" w:type="pct"/>
            <w:gridSpan w:val="8"/>
            <w:tcBorders>
              <w:tl2br w:val="nil"/>
              <w:tr2bl w:val="nil"/>
            </w:tcBorders>
            <w:shd w:val="clear" w:color="auto" w:fill="auto"/>
            <w:noWrap/>
            <w:tcMar>
              <w:top w:w="15" w:type="dxa"/>
              <w:left w:w="15" w:type="dxa"/>
              <w:right w:w="15" w:type="dxa"/>
            </w:tcMar>
            <w:vAlign w:val="center"/>
          </w:tcPr>
          <w:p>
            <w:pPr>
              <w:pStyle w:val="84"/>
              <w:rPr>
                <w:rFonts w:hint="eastAsia" w:eastAsia="仿宋_GB2312"/>
                <w:color w:val="auto"/>
                <w:sz w:val="18"/>
                <w:szCs w:val="18"/>
                <w:highlight w:val="none"/>
                <w:lang w:eastAsia="zh-CN"/>
              </w:rPr>
            </w:pPr>
            <w:r>
              <w:rPr>
                <w:color w:val="auto"/>
                <w:sz w:val="18"/>
                <w:szCs w:val="18"/>
                <w:highlight w:val="none"/>
              </w:rPr>
              <w:t>本项目建筑面积为</w:t>
            </w:r>
            <w:r>
              <w:rPr>
                <w:rFonts w:hint="eastAsia"/>
                <w:color w:val="auto"/>
                <w:sz w:val="18"/>
                <w:szCs w:val="18"/>
                <w:highlight w:val="none"/>
                <w:lang w:val="en-US" w:eastAsia="zh-CN"/>
              </w:rPr>
              <w:t>38913</w:t>
            </w:r>
            <w:r>
              <w:rPr>
                <w:color w:val="auto"/>
                <w:sz w:val="18"/>
                <w:szCs w:val="18"/>
                <w:highlight w:val="none"/>
              </w:rPr>
              <w:t>m²（主要包括9栋多层住宅楼、1栋商业楼），</w:t>
            </w:r>
            <w:r>
              <w:rPr>
                <w:rFonts w:hint="default"/>
                <w:color w:val="auto"/>
                <w:sz w:val="18"/>
                <w:szCs w:val="18"/>
                <w:highlight w:val="none"/>
              </w:rPr>
              <w:t>包括包括9栋住宅建筑面积</w:t>
            </w:r>
            <w:r>
              <w:rPr>
                <w:rFonts w:hint="default"/>
                <w:color w:val="auto"/>
                <w:sz w:val="18"/>
                <w:szCs w:val="18"/>
                <w:highlight w:val="none"/>
                <w:lang w:val="en-US" w:eastAsia="zh-CN"/>
              </w:rPr>
              <w:t>31371</w:t>
            </w:r>
            <w:r>
              <w:rPr>
                <w:rFonts w:hint="default"/>
                <w:color w:val="auto"/>
                <w:sz w:val="18"/>
                <w:szCs w:val="18"/>
                <w:highlight w:val="none"/>
              </w:rPr>
              <w:t>m²，</w:t>
            </w:r>
            <w:r>
              <w:rPr>
                <w:rFonts w:hint="default"/>
                <w:color w:val="auto"/>
                <w:sz w:val="18"/>
                <w:szCs w:val="18"/>
                <w:highlight w:val="none"/>
                <w:lang w:val="en-US" w:eastAsia="zh-CN"/>
              </w:rPr>
              <w:t>2</w:t>
            </w:r>
            <w:r>
              <w:rPr>
                <w:rFonts w:hint="default"/>
                <w:color w:val="auto"/>
                <w:sz w:val="18"/>
                <w:szCs w:val="18"/>
                <w:highlight w:val="none"/>
              </w:rPr>
              <w:t>栋商业建筑面积</w:t>
            </w:r>
            <w:r>
              <w:rPr>
                <w:rFonts w:hint="default"/>
                <w:color w:val="auto"/>
                <w:sz w:val="18"/>
                <w:szCs w:val="18"/>
                <w:highlight w:val="none"/>
                <w:lang w:val="en-US" w:eastAsia="zh-CN"/>
              </w:rPr>
              <w:t>7505</w:t>
            </w:r>
            <w:r>
              <w:rPr>
                <w:rFonts w:hint="default"/>
                <w:color w:val="auto"/>
                <w:sz w:val="18"/>
                <w:szCs w:val="18"/>
                <w:highlight w:val="none"/>
              </w:rPr>
              <w:t>m²</w:t>
            </w:r>
            <w:r>
              <w:rPr>
                <w:rFonts w:hint="default"/>
                <w:color w:val="auto"/>
                <w:sz w:val="18"/>
                <w:szCs w:val="18"/>
                <w:highlight w:val="none"/>
                <w:lang w:eastAsia="zh-CN"/>
              </w:rPr>
              <w:t>，警卫室面积</w:t>
            </w:r>
            <w:r>
              <w:rPr>
                <w:rFonts w:hint="default"/>
                <w:color w:val="auto"/>
                <w:sz w:val="18"/>
                <w:szCs w:val="18"/>
                <w:highlight w:val="none"/>
                <w:lang w:val="en-US" w:eastAsia="zh-CN"/>
              </w:rPr>
              <w:t>12</w:t>
            </w:r>
            <w:r>
              <w:rPr>
                <w:rFonts w:hint="default"/>
                <w:color w:val="auto"/>
                <w:sz w:val="18"/>
                <w:szCs w:val="18"/>
                <w:highlight w:val="none"/>
              </w:rPr>
              <w:t>m²</w:t>
            </w:r>
            <w:r>
              <w:rPr>
                <w:rFonts w:hint="default"/>
                <w:color w:val="auto"/>
                <w:sz w:val="18"/>
                <w:szCs w:val="18"/>
                <w:highlight w:val="none"/>
                <w:lang w:val="en-US" w:eastAsia="zh-CN"/>
              </w:rPr>
              <w:t>，垃圾收集点20</w:t>
            </w:r>
            <w:r>
              <w:rPr>
                <w:rFonts w:hint="default"/>
                <w:color w:val="auto"/>
                <w:sz w:val="18"/>
                <w:szCs w:val="18"/>
                <w:highlight w:val="none"/>
              </w:rPr>
              <w:t>m²</w:t>
            </w:r>
            <w:r>
              <w:rPr>
                <w:rFonts w:hint="default"/>
                <w:color w:val="auto"/>
                <w:sz w:val="18"/>
                <w:szCs w:val="18"/>
                <w:highlight w:val="none"/>
                <w:lang w:val="en-US" w:eastAsia="zh-CN"/>
              </w:rPr>
              <w:t>，</w:t>
            </w:r>
            <w:r>
              <w:rPr>
                <w:rFonts w:hint="default"/>
                <w:color w:val="auto"/>
                <w:sz w:val="18"/>
                <w:szCs w:val="18"/>
                <w:highlight w:val="none"/>
                <w:lang w:eastAsia="zh-CN"/>
              </w:rPr>
              <w:t>天然气调压站</w:t>
            </w:r>
            <w:r>
              <w:rPr>
                <w:rFonts w:hint="default"/>
                <w:color w:val="auto"/>
                <w:sz w:val="18"/>
                <w:szCs w:val="18"/>
                <w:highlight w:val="none"/>
                <w:lang w:val="en-US" w:eastAsia="zh-CN"/>
              </w:rPr>
              <w:t>5</w:t>
            </w:r>
            <w:r>
              <w:rPr>
                <w:rFonts w:hint="default"/>
                <w:color w:val="auto"/>
                <w:sz w:val="18"/>
                <w:szCs w:val="18"/>
                <w:highlight w:val="none"/>
              </w:rPr>
              <w:t>m²</w:t>
            </w:r>
            <w:r>
              <w:rPr>
                <w:rFonts w:hint="eastAsia"/>
                <w:color w:val="auto"/>
                <w:sz w:val="18"/>
                <w:szCs w:val="18"/>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719"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建设性质</w:t>
            </w:r>
          </w:p>
        </w:tc>
        <w:tc>
          <w:tcPr>
            <w:tcW w:w="988"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新建</w:t>
            </w:r>
          </w:p>
        </w:tc>
        <w:tc>
          <w:tcPr>
            <w:tcW w:w="921"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总投资（万元）</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rFonts w:hint="eastAsia" w:eastAsia="仿宋_GB2312"/>
                <w:color w:val="auto"/>
                <w:sz w:val="18"/>
                <w:szCs w:val="18"/>
                <w:highlight w:val="none"/>
                <w:lang w:eastAsia="zh-CN"/>
              </w:rPr>
            </w:pPr>
            <w:r>
              <w:rPr>
                <w:rFonts w:hint="eastAsia"/>
                <w:color w:val="auto"/>
                <w:sz w:val="18"/>
                <w:szCs w:val="18"/>
                <w:highlight w:val="none"/>
                <w:lang w:eastAsia="zh-CN"/>
              </w:rPr>
              <w:t>11000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719" w:type="pct"/>
            <w:gridSpan w:val="2"/>
            <w:vMerge w:val="restar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土建投资（万元）</w:t>
            </w:r>
          </w:p>
        </w:tc>
        <w:tc>
          <w:tcPr>
            <w:tcW w:w="988" w:type="pct"/>
            <w:gridSpan w:val="3"/>
            <w:vMerge w:val="restart"/>
            <w:tcBorders>
              <w:tl2br w:val="nil"/>
              <w:tr2bl w:val="nil"/>
            </w:tcBorders>
            <w:shd w:val="clear" w:color="auto" w:fill="auto"/>
            <w:noWrap/>
            <w:tcMar>
              <w:top w:w="15" w:type="dxa"/>
              <w:left w:w="15" w:type="dxa"/>
              <w:right w:w="15" w:type="dxa"/>
            </w:tcMar>
            <w:vAlign w:val="center"/>
          </w:tcPr>
          <w:p>
            <w:pPr>
              <w:pStyle w:val="84"/>
              <w:rPr>
                <w:rFonts w:hint="eastAsia" w:eastAsia="仿宋_GB2312"/>
                <w:color w:val="auto"/>
                <w:sz w:val="18"/>
                <w:szCs w:val="18"/>
                <w:highlight w:val="none"/>
                <w:lang w:eastAsia="zh-CN"/>
              </w:rPr>
            </w:pPr>
            <w:r>
              <w:rPr>
                <w:rFonts w:hint="eastAsia"/>
                <w:color w:val="auto"/>
                <w:sz w:val="18"/>
                <w:szCs w:val="18"/>
                <w:highlight w:val="none"/>
                <w:lang w:eastAsia="zh-CN"/>
              </w:rPr>
              <w:t>6600</w:t>
            </w:r>
          </w:p>
        </w:tc>
        <w:tc>
          <w:tcPr>
            <w:tcW w:w="921" w:type="pct"/>
            <w:gridSpan w:val="2"/>
            <w:vMerge w:val="restar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占地面积（hm</w:t>
            </w:r>
            <w:r>
              <w:rPr>
                <w:rFonts w:eastAsia="宋体"/>
                <w:color w:val="auto"/>
                <w:sz w:val="18"/>
                <w:szCs w:val="18"/>
                <w:highlight w:val="none"/>
              </w:rPr>
              <w:t>²</w:t>
            </w:r>
            <w:r>
              <w:rPr>
                <w:color w:val="auto"/>
                <w:sz w:val="18"/>
                <w:szCs w:val="18"/>
                <w:highlight w:val="none"/>
              </w:rPr>
              <w:t>）</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rFonts w:hint="default" w:eastAsia="仿宋_GB2312"/>
                <w:color w:val="auto"/>
                <w:sz w:val="18"/>
                <w:szCs w:val="18"/>
                <w:highlight w:val="none"/>
                <w:lang w:val="en-US" w:eastAsia="zh-CN"/>
              </w:rPr>
            </w:pPr>
            <w:r>
              <w:rPr>
                <w:color w:val="auto"/>
                <w:sz w:val="18"/>
                <w:szCs w:val="18"/>
                <w:highlight w:val="none"/>
              </w:rPr>
              <w:t>永久：2.</w:t>
            </w:r>
            <w:r>
              <w:rPr>
                <w:rFonts w:hint="eastAsia"/>
                <w:color w:val="auto"/>
                <w:sz w:val="18"/>
                <w:szCs w:val="18"/>
                <w:highlight w:val="none"/>
                <w:lang w:val="en-US" w:eastAsia="zh-CN"/>
              </w:rPr>
              <w:t>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719" w:type="pct"/>
            <w:gridSpan w:val="2"/>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988" w:type="pct"/>
            <w:gridSpan w:val="3"/>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921" w:type="pct"/>
            <w:gridSpan w:val="2"/>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rFonts w:hint="eastAsia" w:eastAsia="仿宋_GB2312"/>
                <w:color w:val="auto"/>
                <w:sz w:val="18"/>
                <w:szCs w:val="18"/>
                <w:highlight w:val="none"/>
                <w:lang w:eastAsia="zh-CN"/>
              </w:rPr>
            </w:pPr>
            <w:r>
              <w:rPr>
                <w:color w:val="auto"/>
                <w:sz w:val="18"/>
                <w:szCs w:val="18"/>
                <w:highlight w:val="none"/>
              </w:rPr>
              <w:t>临时：</w:t>
            </w:r>
            <w:r>
              <w:rPr>
                <w:rFonts w:hint="eastAsia"/>
                <w:color w:val="auto"/>
                <w:sz w:val="18"/>
                <w:szCs w:val="18"/>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719"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开工时间</w:t>
            </w:r>
          </w:p>
        </w:tc>
        <w:tc>
          <w:tcPr>
            <w:tcW w:w="988"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2020年</w:t>
            </w:r>
            <w:r>
              <w:rPr>
                <w:rFonts w:hint="eastAsia"/>
                <w:color w:val="auto"/>
                <w:sz w:val="18"/>
                <w:szCs w:val="18"/>
                <w:highlight w:val="none"/>
                <w:lang w:val="en-US" w:eastAsia="zh-CN"/>
              </w:rPr>
              <w:t>4</w:t>
            </w:r>
            <w:r>
              <w:rPr>
                <w:color w:val="auto"/>
                <w:sz w:val="18"/>
                <w:szCs w:val="18"/>
                <w:highlight w:val="none"/>
              </w:rPr>
              <w:t>月</w:t>
            </w:r>
          </w:p>
        </w:tc>
        <w:tc>
          <w:tcPr>
            <w:tcW w:w="921"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完工时间</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2021年</w:t>
            </w:r>
            <w:r>
              <w:rPr>
                <w:rFonts w:hint="eastAsia"/>
                <w:color w:val="auto"/>
                <w:sz w:val="18"/>
                <w:szCs w:val="18"/>
                <w:highlight w:val="none"/>
                <w:lang w:val="en-US" w:eastAsia="zh-CN"/>
              </w:rPr>
              <w:t>10</w:t>
            </w:r>
            <w:r>
              <w:rPr>
                <w:color w:val="auto"/>
                <w:sz w:val="18"/>
                <w:szCs w:val="18"/>
                <w:highlight w:val="none"/>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719" w:type="pct"/>
            <w:gridSpan w:val="2"/>
            <w:vMerge w:val="restar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土石方（万m³）</w:t>
            </w:r>
          </w:p>
        </w:tc>
        <w:tc>
          <w:tcPr>
            <w:tcW w:w="988"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挖方</w:t>
            </w:r>
          </w:p>
        </w:tc>
        <w:tc>
          <w:tcPr>
            <w:tcW w:w="696"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填方</w:t>
            </w:r>
          </w:p>
        </w:tc>
        <w:tc>
          <w:tcPr>
            <w:tcW w:w="1002"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借方</w:t>
            </w:r>
          </w:p>
        </w:tc>
        <w:tc>
          <w:tcPr>
            <w:tcW w:w="766"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余（弃）方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719" w:type="pct"/>
            <w:gridSpan w:val="2"/>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988" w:type="pct"/>
            <w:gridSpan w:val="3"/>
            <w:tcBorders>
              <w:tl2br w:val="nil"/>
              <w:tr2bl w:val="nil"/>
            </w:tcBorders>
            <w:shd w:val="clear" w:color="auto" w:fill="auto"/>
            <w:noWrap/>
            <w:tcMar>
              <w:top w:w="15" w:type="dxa"/>
              <w:left w:w="15" w:type="dxa"/>
              <w:right w:w="15" w:type="dxa"/>
            </w:tcMar>
            <w:vAlign w:val="center"/>
          </w:tcPr>
          <w:p>
            <w:pPr>
              <w:pStyle w:val="84"/>
              <w:rPr>
                <w:rFonts w:hint="eastAsia" w:eastAsia="仿宋_GB2312"/>
                <w:color w:val="auto"/>
                <w:sz w:val="18"/>
                <w:szCs w:val="18"/>
                <w:highlight w:val="none"/>
                <w:lang w:eastAsia="zh-CN"/>
              </w:rPr>
            </w:pPr>
            <w:r>
              <w:rPr>
                <w:color w:val="auto"/>
                <w:sz w:val="18"/>
                <w:szCs w:val="18"/>
                <w:highlight w:val="none"/>
              </w:rPr>
              <w:t>2.1</w:t>
            </w:r>
            <w:r>
              <w:rPr>
                <w:rFonts w:hint="eastAsia"/>
                <w:color w:val="auto"/>
                <w:sz w:val="18"/>
                <w:szCs w:val="18"/>
                <w:highlight w:val="none"/>
                <w:lang w:val="en-US" w:eastAsia="zh-CN"/>
              </w:rPr>
              <w:t>8</w:t>
            </w:r>
          </w:p>
        </w:tc>
        <w:tc>
          <w:tcPr>
            <w:tcW w:w="696" w:type="pct"/>
            <w:tcBorders>
              <w:tl2br w:val="nil"/>
              <w:tr2bl w:val="nil"/>
            </w:tcBorders>
            <w:shd w:val="clear" w:color="auto" w:fill="auto"/>
            <w:noWrap/>
            <w:tcMar>
              <w:top w:w="15" w:type="dxa"/>
              <w:left w:w="15" w:type="dxa"/>
              <w:right w:w="15" w:type="dxa"/>
            </w:tcMar>
            <w:vAlign w:val="center"/>
          </w:tcPr>
          <w:p>
            <w:pPr>
              <w:pStyle w:val="84"/>
              <w:rPr>
                <w:rFonts w:hint="eastAsia" w:eastAsia="仿宋_GB2312"/>
                <w:color w:val="auto"/>
                <w:sz w:val="18"/>
                <w:szCs w:val="18"/>
                <w:highlight w:val="none"/>
                <w:lang w:eastAsia="zh-CN"/>
              </w:rPr>
            </w:pPr>
            <w:r>
              <w:rPr>
                <w:color w:val="auto"/>
                <w:sz w:val="18"/>
                <w:szCs w:val="18"/>
                <w:highlight w:val="none"/>
              </w:rPr>
              <w:t>2.1</w:t>
            </w:r>
            <w:r>
              <w:rPr>
                <w:rFonts w:hint="eastAsia"/>
                <w:color w:val="auto"/>
                <w:sz w:val="18"/>
                <w:szCs w:val="18"/>
                <w:highlight w:val="none"/>
                <w:lang w:val="en-US" w:eastAsia="zh-CN"/>
              </w:rPr>
              <w:t>8</w:t>
            </w:r>
          </w:p>
        </w:tc>
        <w:tc>
          <w:tcPr>
            <w:tcW w:w="1002"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w:t>
            </w:r>
          </w:p>
        </w:tc>
        <w:tc>
          <w:tcPr>
            <w:tcW w:w="766"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719"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取土（石、渣）场</w:t>
            </w:r>
          </w:p>
        </w:tc>
        <w:tc>
          <w:tcPr>
            <w:tcW w:w="3453" w:type="pct"/>
            <w:gridSpan w:val="8"/>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719"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弃土（石、渣）场</w:t>
            </w:r>
          </w:p>
        </w:tc>
        <w:tc>
          <w:tcPr>
            <w:tcW w:w="3453" w:type="pct"/>
            <w:gridSpan w:val="8"/>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0" w:hRule="exact"/>
          <w:jc w:val="center"/>
        </w:trPr>
        <w:tc>
          <w:tcPr>
            <w:tcW w:w="828" w:type="pct"/>
            <w:vMerge w:val="restar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项目区概况</w:t>
            </w:r>
          </w:p>
        </w:tc>
        <w:tc>
          <w:tcPr>
            <w:tcW w:w="719"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涉及重点防治区</w:t>
            </w:r>
          </w:p>
          <w:p>
            <w:pPr>
              <w:pStyle w:val="84"/>
              <w:rPr>
                <w:color w:val="auto"/>
                <w:sz w:val="18"/>
                <w:szCs w:val="18"/>
                <w:highlight w:val="none"/>
              </w:rPr>
            </w:pPr>
            <w:r>
              <w:rPr>
                <w:color w:val="auto"/>
                <w:sz w:val="18"/>
                <w:szCs w:val="18"/>
                <w:highlight w:val="none"/>
              </w:rPr>
              <w:t>情况</w:t>
            </w:r>
          </w:p>
        </w:tc>
        <w:tc>
          <w:tcPr>
            <w:tcW w:w="988"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省级水土流失重点预防区和重点治理区</w:t>
            </w:r>
          </w:p>
        </w:tc>
        <w:tc>
          <w:tcPr>
            <w:tcW w:w="921"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地貌类型</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冲洪积平原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8" w:hRule="exac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719"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原地貌土壤侵蚀模数[t/(km²·a)]</w:t>
            </w:r>
          </w:p>
        </w:tc>
        <w:tc>
          <w:tcPr>
            <w:tcW w:w="988"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1000</w:t>
            </w:r>
          </w:p>
        </w:tc>
        <w:tc>
          <w:tcPr>
            <w:tcW w:w="921"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容许土壤流失量[t/(km²·a)]</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3" w:hRule="exact"/>
          <w:jc w:val="center"/>
        </w:trPr>
        <w:tc>
          <w:tcPr>
            <w:tcW w:w="828"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项目选址（线）水土保持评价</w:t>
            </w:r>
          </w:p>
        </w:tc>
        <w:tc>
          <w:tcPr>
            <w:tcW w:w="4172" w:type="pct"/>
            <w:gridSpan w:val="10"/>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此项目选址不存在水土保持制约性因素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5" w:hRule="exact"/>
          <w:jc w:val="center"/>
        </w:trPr>
        <w:tc>
          <w:tcPr>
            <w:tcW w:w="828"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预测水土流失总量</w:t>
            </w:r>
          </w:p>
        </w:tc>
        <w:tc>
          <w:tcPr>
            <w:tcW w:w="4172" w:type="pct"/>
            <w:gridSpan w:val="10"/>
            <w:tcBorders>
              <w:tl2br w:val="nil"/>
              <w:tr2bl w:val="nil"/>
            </w:tcBorders>
            <w:shd w:val="clear" w:color="auto" w:fill="auto"/>
            <w:noWrap/>
            <w:tcMar>
              <w:top w:w="15" w:type="dxa"/>
              <w:left w:w="15" w:type="dxa"/>
              <w:right w:w="15" w:type="dxa"/>
            </w:tcMar>
            <w:vAlign w:val="center"/>
          </w:tcPr>
          <w:p>
            <w:pPr>
              <w:pStyle w:val="84"/>
              <w:rPr>
                <w:rFonts w:hint="eastAsia" w:eastAsia="仿宋_GB2312"/>
                <w:color w:val="auto"/>
                <w:sz w:val="18"/>
                <w:szCs w:val="18"/>
                <w:highlight w:val="none"/>
                <w:lang w:eastAsia="zh-CN"/>
              </w:rPr>
            </w:pPr>
            <w:r>
              <w:rPr>
                <w:rFonts w:hint="eastAsia"/>
                <w:color w:val="auto"/>
                <w:sz w:val="18"/>
                <w:szCs w:val="18"/>
                <w:highlight w:val="none"/>
                <w:lang w:eastAsia="zh-CN"/>
              </w:rPr>
              <w:t>410t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防治责任范围</w:t>
            </w:r>
          </w:p>
        </w:tc>
        <w:tc>
          <w:tcPr>
            <w:tcW w:w="4172" w:type="pct"/>
            <w:gridSpan w:val="10"/>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rFonts w:hint="eastAsia"/>
                <w:color w:val="auto"/>
                <w:sz w:val="18"/>
                <w:szCs w:val="18"/>
                <w:highlight w:val="none"/>
                <w:lang w:val="en-US" w:eastAsia="zh-CN"/>
              </w:rPr>
              <w:t>2.9</w:t>
            </w:r>
            <w:r>
              <w:rPr>
                <w:color w:val="auto"/>
                <w:sz w:val="18"/>
                <w:szCs w:val="18"/>
                <w:highlight w:val="none"/>
              </w:rPr>
              <w:t>6hm</w:t>
            </w:r>
            <w:r>
              <w:rPr>
                <w:rFonts w:eastAsia="宋体"/>
                <w:color w:val="auto"/>
                <w:sz w:val="18"/>
                <w:szCs w:val="18"/>
                <w:highlight w:val="none"/>
              </w:rPr>
              <w:t>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vMerge w:val="restar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防治标准等级及目标</w:t>
            </w:r>
          </w:p>
        </w:tc>
        <w:tc>
          <w:tcPr>
            <w:tcW w:w="848"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防治标准等级</w:t>
            </w:r>
          </w:p>
        </w:tc>
        <w:tc>
          <w:tcPr>
            <w:tcW w:w="3324" w:type="pct"/>
            <w:gridSpan w:val="7"/>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北方风沙区一级标准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854" w:type="pct"/>
            <w:gridSpan w:val="4"/>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水土流失治理度（%）</w:t>
            </w:r>
          </w:p>
        </w:tc>
        <w:tc>
          <w:tcPr>
            <w:tcW w:w="854"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85</w:t>
            </w:r>
          </w:p>
        </w:tc>
        <w:tc>
          <w:tcPr>
            <w:tcW w:w="1285"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土壤流失控制比</w:t>
            </w:r>
          </w:p>
        </w:tc>
        <w:tc>
          <w:tcPr>
            <w:tcW w:w="1179"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854" w:type="pct"/>
            <w:gridSpan w:val="4"/>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渣土防护率（%）</w:t>
            </w:r>
          </w:p>
        </w:tc>
        <w:tc>
          <w:tcPr>
            <w:tcW w:w="854"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89</w:t>
            </w:r>
          </w:p>
        </w:tc>
        <w:tc>
          <w:tcPr>
            <w:tcW w:w="1285"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表土保护率（%）</w:t>
            </w:r>
          </w:p>
        </w:tc>
        <w:tc>
          <w:tcPr>
            <w:tcW w:w="1179"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854" w:type="pct"/>
            <w:gridSpan w:val="4"/>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林草植被恢复率（%）</w:t>
            </w:r>
          </w:p>
        </w:tc>
        <w:tc>
          <w:tcPr>
            <w:tcW w:w="854"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93</w:t>
            </w:r>
          </w:p>
        </w:tc>
        <w:tc>
          <w:tcPr>
            <w:tcW w:w="1285"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林草覆盖率（%）</w:t>
            </w:r>
          </w:p>
        </w:tc>
        <w:tc>
          <w:tcPr>
            <w:tcW w:w="1179" w:type="pct"/>
            <w:gridSpan w:val="2"/>
            <w:tcBorders>
              <w:tl2br w:val="nil"/>
              <w:tr2bl w:val="nil"/>
            </w:tcBorders>
            <w:shd w:val="clear" w:color="auto" w:fill="auto"/>
            <w:noWrap/>
            <w:tcMar>
              <w:top w:w="15" w:type="dxa"/>
              <w:left w:w="15" w:type="dxa"/>
              <w:right w:w="15" w:type="dxa"/>
            </w:tcMar>
            <w:vAlign w:val="center"/>
          </w:tcPr>
          <w:p>
            <w:pPr>
              <w:pStyle w:val="84"/>
              <w:rPr>
                <w:rFonts w:hint="eastAsia" w:eastAsia="仿宋_GB2312"/>
                <w:color w:val="auto"/>
                <w:sz w:val="18"/>
                <w:szCs w:val="18"/>
                <w:highlight w:val="none"/>
                <w:lang w:eastAsia="zh-CN"/>
              </w:rPr>
            </w:pPr>
            <w:r>
              <w:rPr>
                <w:color w:val="auto"/>
                <w:sz w:val="18"/>
                <w:szCs w:val="18"/>
                <w:highlight w:val="none"/>
              </w:rPr>
              <w:t>2</w:t>
            </w:r>
            <w:r>
              <w:rPr>
                <w:rFonts w:hint="eastAsia"/>
                <w:color w:val="auto"/>
                <w:sz w:val="18"/>
                <w:szCs w:val="18"/>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exact"/>
          <w:jc w:val="center"/>
        </w:trPr>
        <w:tc>
          <w:tcPr>
            <w:tcW w:w="828"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水土保持</w:t>
            </w:r>
          </w:p>
          <w:p>
            <w:pPr>
              <w:pStyle w:val="84"/>
              <w:rPr>
                <w:color w:val="auto"/>
                <w:sz w:val="18"/>
                <w:szCs w:val="18"/>
                <w:highlight w:val="none"/>
              </w:rPr>
            </w:pPr>
            <w:r>
              <w:rPr>
                <w:color w:val="auto"/>
                <w:sz w:val="18"/>
                <w:szCs w:val="18"/>
                <w:highlight w:val="none"/>
              </w:rPr>
              <w:t>措施</w:t>
            </w:r>
          </w:p>
        </w:tc>
        <w:tc>
          <w:tcPr>
            <w:tcW w:w="4172" w:type="pct"/>
            <w:gridSpan w:val="10"/>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土地平整</w:t>
            </w:r>
            <w:r>
              <w:rPr>
                <w:rFonts w:hint="eastAsia"/>
                <w:color w:val="auto"/>
                <w:sz w:val="18"/>
                <w:szCs w:val="18"/>
                <w:highlight w:val="none"/>
                <w:lang w:val="en-US" w:eastAsia="zh-CN"/>
              </w:rPr>
              <w:t>2.22</w:t>
            </w:r>
            <w:r>
              <w:rPr>
                <w:color w:val="auto"/>
                <w:sz w:val="18"/>
                <w:szCs w:val="18"/>
                <w:highlight w:val="none"/>
              </w:rPr>
              <w:t>hm</w:t>
            </w:r>
            <w:r>
              <w:rPr>
                <w:rFonts w:eastAsia="宋体"/>
                <w:color w:val="auto"/>
                <w:sz w:val="18"/>
                <w:szCs w:val="18"/>
                <w:highlight w:val="none"/>
              </w:rPr>
              <w:t>²</w:t>
            </w:r>
            <w:r>
              <w:rPr>
                <w:color w:val="auto"/>
                <w:sz w:val="18"/>
                <w:szCs w:val="18"/>
                <w:highlight w:val="none"/>
              </w:rPr>
              <w:t>、全面整地</w:t>
            </w:r>
            <w:r>
              <w:rPr>
                <w:rFonts w:hint="eastAsia"/>
                <w:color w:val="auto"/>
                <w:sz w:val="18"/>
                <w:szCs w:val="18"/>
                <w:highlight w:val="none"/>
                <w:lang w:val="en-US" w:eastAsia="zh-CN"/>
              </w:rPr>
              <w:t>1.20</w:t>
            </w:r>
            <w:r>
              <w:rPr>
                <w:color w:val="auto"/>
                <w:sz w:val="18"/>
                <w:szCs w:val="18"/>
                <w:highlight w:val="none"/>
              </w:rPr>
              <w:t>hm</w:t>
            </w:r>
            <w:r>
              <w:rPr>
                <w:rFonts w:eastAsia="宋体"/>
                <w:color w:val="auto"/>
                <w:sz w:val="18"/>
                <w:szCs w:val="18"/>
                <w:highlight w:val="none"/>
              </w:rPr>
              <w:t>²</w:t>
            </w:r>
            <w:r>
              <w:rPr>
                <w:color w:val="auto"/>
                <w:sz w:val="18"/>
                <w:szCs w:val="18"/>
                <w:highlight w:val="none"/>
              </w:rPr>
              <w:t>、景观绿化</w:t>
            </w:r>
            <w:r>
              <w:rPr>
                <w:rFonts w:hint="eastAsia"/>
                <w:color w:val="auto"/>
                <w:sz w:val="18"/>
                <w:szCs w:val="18"/>
                <w:highlight w:val="none"/>
                <w:lang w:val="en-US" w:eastAsia="zh-CN"/>
              </w:rPr>
              <w:t>1.20</w:t>
            </w:r>
            <w:r>
              <w:rPr>
                <w:color w:val="auto"/>
                <w:sz w:val="18"/>
                <w:szCs w:val="18"/>
                <w:highlight w:val="none"/>
              </w:rPr>
              <w:t>hm</w:t>
            </w:r>
            <w:r>
              <w:rPr>
                <w:rFonts w:eastAsia="宋体"/>
                <w:color w:val="auto"/>
                <w:sz w:val="18"/>
                <w:szCs w:val="18"/>
                <w:highlight w:val="none"/>
              </w:rPr>
              <w:t>²</w:t>
            </w:r>
            <w:r>
              <w:rPr>
                <w:color w:val="auto"/>
                <w:sz w:val="18"/>
                <w:szCs w:val="18"/>
                <w:highlight w:val="none"/>
              </w:rPr>
              <w:t>及配套微喷灌溉设施、彩钢板围栏1</w:t>
            </w:r>
            <w:r>
              <w:rPr>
                <w:rFonts w:hint="eastAsia"/>
                <w:color w:val="auto"/>
                <w:sz w:val="18"/>
                <w:szCs w:val="18"/>
                <w:highlight w:val="none"/>
                <w:lang w:val="en-US" w:eastAsia="zh-CN"/>
              </w:rPr>
              <w:t>000</w:t>
            </w:r>
            <w:r>
              <w:rPr>
                <w:color w:val="auto"/>
                <w:sz w:val="18"/>
                <w:szCs w:val="18"/>
                <w:highlight w:val="none"/>
              </w:rPr>
              <w:t>m、防尘网苫盖</w:t>
            </w:r>
            <w:r>
              <w:rPr>
                <w:rFonts w:hint="eastAsia"/>
                <w:color w:val="auto"/>
                <w:sz w:val="18"/>
                <w:szCs w:val="18"/>
                <w:highlight w:val="none"/>
                <w:lang w:val="en-US" w:eastAsia="zh-CN"/>
              </w:rPr>
              <w:t>1600</w:t>
            </w:r>
            <w:r>
              <w:rPr>
                <w:color w:val="auto"/>
                <w:sz w:val="18"/>
                <w:szCs w:val="18"/>
                <w:highlight w:val="none"/>
              </w:rPr>
              <w:t>m²、洒水</w:t>
            </w:r>
            <w:r>
              <w:rPr>
                <w:rFonts w:hint="eastAsia"/>
                <w:color w:val="auto"/>
                <w:sz w:val="18"/>
                <w:szCs w:val="18"/>
                <w:highlight w:val="none"/>
                <w:lang w:val="en-US" w:eastAsia="zh-CN"/>
              </w:rPr>
              <w:t>2455.</w:t>
            </w:r>
            <w:r>
              <w:rPr>
                <w:color w:val="auto"/>
                <w:sz w:val="18"/>
                <w:szCs w:val="18"/>
                <w:highlight w:val="none"/>
              </w:rPr>
              <w:t>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vMerge w:val="restar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水土保持投资估算</w:t>
            </w:r>
          </w:p>
        </w:tc>
        <w:tc>
          <w:tcPr>
            <w:tcW w:w="648"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工程措施</w:t>
            </w:r>
          </w:p>
        </w:tc>
        <w:tc>
          <w:tcPr>
            <w:tcW w:w="1059" w:type="pct"/>
            <w:gridSpan w:val="4"/>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rFonts w:hint="eastAsia"/>
                <w:color w:val="auto"/>
                <w:sz w:val="18"/>
                <w:szCs w:val="18"/>
                <w:highlight w:val="none"/>
                <w:lang w:val="en-US" w:eastAsia="zh-CN"/>
              </w:rPr>
              <w:t>15.03</w:t>
            </w:r>
            <w:r>
              <w:rPr>
                <w:color w:val="auto"/>
                <w:sz w:val="18"/>
                <w:szCs w:val="18"/>
                <w:highlight w:val="none"/>
              </w:rPr>
              <w:t>万元</w:t>
            </w:r>
          </w:p>
        </w:tc>
        <w:tc>
          <w:tcPr>
            <w:tcW w:w="921"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植物措施</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rFonts w:hint="eastAsia"/>
                <w:color w:val="auto"/>
                <w:sz w:val="18"/>
                <w:szCs w:val="18"/>
                <w:highlight w:val="none"/>
                <w:lang w:val="en-US" w:eastAsia="zh-CN"/>
              </w:rPr>
              <w:t>18.27</w:t>
            </w:r>
            <w:r>
              <w:rPr>
                <w:color w:val="auto"/>
                <w:sz w:val="18"/>
                <w:szCs w:val="18"/>
                <w:highlight w:val="none"/>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exac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648"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临时措施</w:t>
            </w:r>
          </w:p>
        </w:tc>
        <w:tc>
          <w:tcPr>
            <w:tcW w:w="1059" w:type="pct"/>
            <w:gridSpan w:val="4"/>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rFonts w:hint="eastAsia"/>
                <w:color w:val="auto"/>
                <w:sz w:val="18"/>
                <w:szCs w:val="18"/>
                <w:highlight w:val="none"/>
                <w:lang w:val="en-US" w:eastAsia="zh-CN"/>
              </w:rPr>
              <w:t>8.67</w:t>
            </w:r>
            <w:r>
              <w:rPr>
                <w:color w:val="auto"/>
                <w:sz w:val="18"/>
                <w:szCs w:val="18"/>
                <w:highlight w:val="none"/>
              </w:rPr>
              <w:t>万元</w:t>
            </w:r>
          </w:p>
        </w:tc>
        <w:tc>
          <w:tcPr>
            <w:tcW w:w="921"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水土保持补偿费</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rFonts w:hint="eastAsia" w:eastAsia="仿宋_GB2312"/>
                <w:color w:val="auto"/>
                <w:sz w:val="18"/>
                <w:szCs w:val="18"/>
                <w:highlight w:val="none"/>
                <w:lang w:eastAsia="zh-CN"/>
              </w:rPr>
            </w:pPr>
            <w:r>
              <w:rPr>
                <w:rFonts w:hint="eastAsia"/>
                <w:color w:val="auto"/>
                <w:sz w:val="18"/>
                <w:szCs w:val="18"/>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648" w:type="pct"/>
            <w:vMerge w:val="restar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独立费用</w:t>
            </w:r>
          </w:p>
        </w:tc>
        <w:tc>
          <w:tcPr>
            <w:tcW w:w="1059" w:type="pct"/>
            <w:gridSpan w:val="4"/>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建设管理费</w:t>
            </w:r>
          </w:p>
        </w:tc>
        <w:tc>
          <w:tcPr>
            <w:tcW w:w="2464" w:type="pct"/>
            <w:gridSpan w:val="5"/>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0.3</w:t>
            </w:r>
            <w:r>
              <w:rPr>
                <w:rFonts w:hint="eastAsia"/>
                <w:color w:val="auto"/>
                <w:sz w:val="18"/>
                <w:szCs w:val="18"/>
                <w:highlight w:val="none"/>
                <w:lang w:val="en-US" w:eastAsia="zh-CN"/>
              </w:rPr>
              <w:t>3</w:t>
            </w:r>
            <w:r>
              <w:rPr>
                <w:color w:val="auto"/>
                <w:sz w:val="18"/>
                <w:szCs w:val="18"/>
                <w:highlight w:val="none"/>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64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1059" w:type="pct"/>
            <w:gridSpan w:val="4"/>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水土保持监理费</w:t>
            </w:r>
          </w:p>
        </w:tc>
        <w:tc>
          <w:tcPr>
            <w:tcW w:w="2464" w:type="pct"/>
            <w:gridSpan w:val="5"/>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1.50万元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64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1059" w:type="pct"/>
            <w:gridSpan w:val="4"/>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科研勘探设计费</w:t>
            </w:r>
          </w:p>
        </w:tc>
        <w:tc>
          <w:tcPr>
            <w:tcW w:w="2464" w:type="pct"/>
            <w:gridSpan w:val="5"/>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rFonts w:hint="eastAsia"/>
                <w:color w:val="auto"/>
                <w:sz w:val="18"/>
                <w:szCs w:val="18"/>
                <w:highlight w:val="none"/>
                <w:lang w:val="en-US" w:eastAsia="zh-CN"/>
              </w:rPr>
              <w:t>2.0</w:t>
            </w:r>
            <w:r>
              <w:rPr>
                <w:color w:val="auto"/>
                <w:sz w:val="18"/>
                <w:szCs w:val="18"/>
                <w:highlight w:val="none"/>
              </w:rPr>
              <w:t>0万元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64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1059" w:type="pct"/>
            <w:gridSpan w:val="4"/>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水土保持监测费</w:t>
            </w:r>
          </w:p>
        </w:tc>
        <w:tc>
          <w:tcPr>
            <w:tcW w:w="2464" w:type="pct"/>
            <w:gridSpan w:val="5"/>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exac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64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1059" w:type="pct"/>
            <w:gridSpan w:val="4"/>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水土保持设施验收费</w:t>
            </w:r>
          </w:p>
        </w:tc>
        <w:tc>
          <w:tcPr>
            <w:tcW w:w="2464" w:type="pct"/>
            <w:gridSpan w:val="5"/>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2.</w:t>
            </w:r>
            <w:r>
              <w:rPr>
                <w:rFonts w:hint="eastAsia"/>
                <w:color w:val="auto"/>
                <w:sz w:val="18"/>
                <w:szCs w:val="18"/>
                <w:highlight w:val="none"/>
                <w:lang w:val="en-US" w:eastAsia="zh-CN"/>
              </w:rPr>
              <w:t>5</w:t>
            </w:r>
            <w:r>
              <w:rPr>
                <w:color w:val="auto"/>
                <w:sz w:val="18"/>
                <w:szCs w:val="18"/>
                <w:highlight w:val="none"/>
              </w:rPr>
              <w:t>0万元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1708" w:type="pct"/>
            <w:gridSpan w:val="5"/>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基本预备费</w:t>
            </w:r>
          </w:p>
        </w:tc>
        <w:tc>
          <w:tcPr>
            <w:tcW w:w="2464" w:type="pct"/>
            <w:gridSpan w:val="5"/>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rFonts w:hint="eastAsia"/>
                <w:color w:val="auto"/>
                <w:sz w:val="18"/>
                <w:szCs w:val="18"/>
                <w:highlight w:val="none"/>
                <w:lang w:val="en-US" w:eastAsia="zh-CN"/>
              </w:rPr>
              <w:t>1.36</w:t>
            </w:r>
            <w:r>
              <w:rPr>
                <w:color w:val="auto"/>
                <w:sz w:val="18"/>
                <w:szCs w:val="18"/>
                <w:highlight w:val="none"/>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exact"/>
          <w:jc w:val="center"/>
        </w:trPr>
        <w:tc>
          <w:tcPr>
            <w:tcW w:w="828" w:type="pct"/>
            <w:vMerge w:val="continue"/>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p>
        </w:tc>
        <w:tc>
          <w:tcPr>
            <w:tcW w:w="2628" w:type="pct"/>
            <w:gridSpan w:val="7"/>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总投资</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rFonts w:hint="eastAsia"/>
                <w:color w:val="auto"/>
                <w:sz w:val="18"/>
                <w:szCs w:val="18"/>
                <w:highlight w:val="none"/>
                <w:lang w:val="en-US" w:eastAsia="zh-CN"/>
              </w:rPr>
              <w:t>49.66万元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8" w:hRule="exact"/>
          <w:jc w:val="center"/>
        </w:trPr>
        <w:tc>
          <w:tcPr>
            <w:tcW w:w="828"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编制单位</w:t>
            </w:r>
          </w:p>
        </w:tc>
        <w:tc>
          <w:tcPr>
            <w:tcW w:w="1708" w:type="pct"/>
            <w:gridSpan w:val="5"/>
            <w:tcBorders>
              <w:tl2br w:val="nil"/>
              <w:tr2bl w:val="nil"/>
            </w:tcBorders>
            <w:shd w:val="clear" w:color="auto" w:fill="auto"/>
            <w:tcMar>
              <w:top w:w="15" w:type="dxa"/>
              <w:left w:w="15" w:type="dxa"/>
              <w:right w:w="15" w:type="dxa"/>
            </w:tcMar>
            <w:vAlign w:val="center"/>
          </w:tcPr>
          <w:p>
            <w:pPr>
              <w:pStyle w:val="84"/>
              <w:rPr>
                <w:color w:val="auto"/>
                <w:sz w:val="18"/>
                <w:szCs w:val="18"/>
                <w:highlight w:val="none"/>
              </w:rPr>
            </w:pPr>
            <w:r>
              <w:rPr>
                <w:color w:val="auto"/>
                <w:sz w:val="18"/>
                <w:szCs w:val="18"/>
                <w:highlight w:val="none"/>
              </w:rPr>
              <w:t>新疆万汇工程项目管理有限公司</w:t>
            </w:r>
          </w:p>
        </w:tc>
        <w:tc>
          <w:tcPr>
            <w:tcW w:w="921"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建设单位</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rFonts w:hint="eastAsia" w:eastAsia="仿宋_GB2312"/>
                <w:color w:val="auto"/>
                <w:sz w:val="18"/>
                <w:szCs w:val="18"/>
                <w:highlight w:val="none"/>
                <w:lang w:eastAsia="zh-CN"/>
              </w:rPr>
            </w:pPr>
            <w:r>
              <w:rPr>
                <w:rFonts w:hint="eastAsia"/>
                <w:color w:val="auto"/>
                <w:sz w:val="18"/>
                <w:szCs w:val="18"/>
                <w:highlight w:val="none"/>
                <w:lang w:eastAsia="zh-CN"/>
              </w:rPr>
              <w:t>伊宁县城市保障性住房投资建设管理有限公司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2" w:hRule="exact"/>
          <w:jc w:val="center"/>
        </w:trPr>
        <w:tc>
          <w:tcPr>
            <w:tcW w:w="828"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法人代表及电话</w:t>
            </w:r>
          </w:p>
        </w:tc>
        <w:tc>
          <w:tcPr>
            <w:tcW w:w="1708" w:type="pct"/>
            <w:gridSpan w:val="5"/>
            <w:tcBorders>
              <w:tl2br w:val="nil"/>
              <w:tr2bl w:val="nil"/>
            </w:tcBorders>
            <w:shd w:val="clear" w:color="auto" w:fill="auto"/>
            <w:tcMar>
              <w:top w:w="15" w:type="dxa"/>
              <w:left w:w="15" w:type="dxa"/>
              <w:right w:w="15" w:type="dxa"/>
            </w:tcMar>
            <w:vAlign w:val="center"/>
          </w:tcPr>
          <w:p>
            <w:pPr>
              <w:pStyle w:val="84"/>
              <w:rPr>
                <w:color w:val="auto"/>
                <w:sz w:val="18"/>
                <w:szCs w:val="18"/>
                <w:highlight w:val="none"/>
              </w:rPr>
            </w:pPr>
            <w:r>
              <w:rPr>
                <w:color w:val="auto"/>
                <w:sz w:val="18"/>
                <w:szCs w:val="18"/>
                <w:highlight w:val="none"/>
              </w:rPr>
              <w:t>顾会刚；13999262838</w:t>
            </w:r>
          </w:p>
        </w:tc>
        <w:tc>
          <w:tcPr>
            <w:tcW w:w="921"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法人代表及电话</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rFonts w:hint="eastAsia"/>
                <w:color w:val="auto"/>
                <w:sz w:val="18"/>
                <w:szCs w:val="18"/>
                <w:highlight w:val="none"/>
                <w:lang w:eastAsia="zh-CN"/>
              </w:rPr>
              <w:t>鞠华山</w:t>
            </w:r>
            <w:r>
              <w:rPr>
                <w:color w:val="auto"/>
                <w:sz w:val="18"/>
                <w:szCs w:val="18"/>
                <w:highlight w:val="none"/>
              </w:rPr>
              <w:t xml:space="preserve"> 0999-4022588</w:t>
            </w:r>
          </w:p>
          <w:p>
            <w:pPr>
              <w:pStyle w:val="84"/>
              <w:rPr>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6" w:hRule="exact"/>
          <w:jc w:val="center"/>
        </w:trPr>
        <w:tc>
          <w:tcPr>
            <w:tcW w:w="828"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地址</w:t>
            </w:r>
          </w:p>
        </w:tc>
        <w:tc>
          <w:tcPr>
            <w:tcW w:w="1708" w:type="pct"/>
            <w:gridSpan w:val="5"/>
            <w:tcBorders>
              <w:tl2br w:val="nil"/>
              <w:tr2bl w:val="nil"/>
            </w:tcBorders>
            <w:shd w:val="clear" w:color="auto" w:fill="auto"/>
            <w:tcMar>
              <w:top w:w="15" w:type="dxa"/>
              <w:left w:w="15" w:type="dxa"/>
              <w:right w:w="15" w:type="dxa"/>
            </w:tcMar>
            <w:vAlign w:val="center"/>
          </w:tcPr>
          <w:p>
            <w:pPr>
              <w:pStyle w:val="84"/>
              <w:rPr>
                <w:color w:val="auto"/>
                <w:sz w:val="18"/>
                <w:szCs w:val="18"/>
                <w:highlight w:val="none"/>
              </w:rPr>
            </w:pPr>
            <w:r>
              <w:rPr>
                <w:color w:val="auto"/>
                <w:sz w:val="18"/>
                <w:szCs w:val="18"/>
                <w:highlight w:val="none"/>
              </w:rPr>
              <w:t>新疆乌鲁木齐经济技术开发区（头屯河区）凤凰山街353号亚欧贸易中心2号商务综合楼1910室</w:t>
            </w:r>
          </w:p>
        </w:tc>
        <w:tc>
          <w:tcPr>
            <w:tcW w:w="921"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地址</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新疆伊犁州伊宁县火车站路万特5号商业楼A区5A/7区7段78号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邮编</w:t>
            </w:r>
          </w:p>
        </w:tc>
        <w:tc>
          <w:tcPr>
            <w:tcW w:w="1708" w:type="pct"/>
            <w:gridSpan w:val="5"/>
            <w:tcBorders>
              <w:tl2br w:val="nil"/>
              <w:tr2bl w:val="nil"/>
            </w:tcBorders>
            <w:shd w:val="clear" w:color="auto" w:fill="auto"/>
            <w:tcMar>
              <w:top w:w="15" w:type="dxa"/>
              <w:left w:w="15" w:type="dxa"/>
              <w:right w:w="15" w:type="dxa"/>
            </w:tcMar>
            <w:vAlign w:val="center"/>
          </w:tcPr>
          <w:p>
            <w:pPr>
              <w:pStyle w:val="84"/>
              <w:rPr>
                <w:color w:val="auto"/>
                <w:sz w:val="18"/>
                <w:szCs w:val="18"/>
                <w:highlight w:val="none"/>
              </w:rPr>
            </w:pPr>
            <w:r>
              <w:rPr>
                <w:color w:val="auto"/>
                <w:sz w:val="18"/>
                <w:szCs w:val="18"/>
                <w:highlight w:val="none"/>
              </w:rPr>
              <w:t>83000</w:t>
            </w:r>
          </w:p>
        </w:tc>
        <w:tc>
          <w:tcPr>
            <w:tcW w:w="921"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邮编</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835</w:t>
            </w:r>
            <w:r>
              <w:rPr>
                <w:rFonts w:hint="eastAsia"/>
                <w:color w:val="auto"/>
                <w:sz w:val="18"/>
                <w:szCs w:val="18"/>
                <w:highlight w:val="none"/>
                <w:lang w:val="en-US" w:eastAsia="zh-CN"/>
              </w:rPr>
              <w:t>1</w:t>
            </w:r>
            <w:r>
              <w:rPr>
                <w:color w:val="auto"/>
                <w:sz w:val="18"/>
                <w:szCs w:val="18"/>
                <w:highlight w:val="none"/>
              </w:rPr>
              <w:t>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联系人及电话</w:t>
            </w:r>
          </w:p>
        </w:tc>
        <w:tc>
          <w:tcPr>
            <w:tcW w:w="1708" w:type="pct"/>
            <w:gridSpan w:val="5"/>
            <w:tcBorders>
              <w:tl2br w:val="nil"/>
              <w:tr2bl w:val="nil"/>
            </w:tcBorders>
            <w:shd w:val="clear" w:color="auto" w:fill="auto"/>
            <w:tcMar>
              <w:top w:w="15" w:type="dxa"/>
              <w:left w:w="15" w:type="dxa"/>
              <w:right w:w="15" w:type="dxa"/>
            </w:tcMar>
            <w:vAlign w:val="center"/>
          </w:tcPr>
          <w:p>
            <w:pPr>
              <w:pStyle w:val="84"/>
              <w:rPr>
                <w:rFonts w:hint="eastAsia" w:eastAsia="仿宋_GB2312"/>
                <w:color w:val="auto"/>
                <w:sz w:val="18"/>
                <w:szCs w:val="18"/>
                <w:highlight w:val="none"/>
                <w:lang w:eastAsia="zh-CN"/>
              </w:rPr>
            </w:pPr>
            <w:r>
              <w:rPr>
                <w:rFonts w:hint="eastAsia"/>
                <w:color w:val="auto"/>
                <w:sz w:val="18"/>
                <w:szCs w:val="18"/>
                <w:highlight w:val="none"/>
                <w:lang w:eastAsia="zh-CN"/>
              </w:rPr>
              <w:t>张娜</w:t>
            </w:r>
            <w:r>
              <w:rPr>
                <w:color w:val="auto"/>
                <w:sz w:val="18"/>
                <w:szCs w:val="18"/>
                <w:highlight w:val="none"/>
              </w:rPr>
              <w:t xml:space="preserve"> </w:t>
            </w:r>
            <w:r>
              <w:rPr>
                <w:rFonts w:hint="eastAsia"/>
                <w:color w:val="auto"/>
                <w:sz w:val="18"/>
                <w:szCs w:val="18"/>
                <w:highlight w:val="none"/>
                <w:lang w:eastAsia="zh-CN"/>
              </w:rPr>
              <w:t>18599409989</w:t>
            </w:r>
          </w:p>
        </w:tc>
        <w:tc>
          <w:tcPr>
            <w:tcW w:w="921"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联系人及电话</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rFonts w:hint="default"/>
                <w:color w:val="auto"/>
                <w:sz w:val="18"/>
                <w:szCs w:val="18"/>
                <w:highlight w:val="none"/>
                <w:lang w:val="en-US"/>
              </w:rPr>
            </w:pPr>
            <w:r>
              <w:rPr>
                <w:rFonts w:hint="eastAsia"/>
                <w:color w:val="auto"/>
                <w:sz w:val="18"/>
                <w:szCs w:val="18"/>
                <w:highlight w:val="none"/>
                <w:lang w:eastAsia="zh-CN"/>
              </w:rPr>
              <w:t>孙磊</w:t>
            </w:r>
            <w:r>
              <w:rPr>
                <w:rFonts w:hint="eastAsia"/>
                <w:color w:val="auto"/>
                <w:sz w:val="18"/>
                <w:szCs w:val="18"/>
                <w:highlight w:val="none"/>
                <w:lang w:val="en-US" w:eastAsia="zh-CN"/>
              </w:rPr>
              <w:t xml:space="preserve"> 18609995359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电子信箱</w:t>
            </w:r>
          </w:p>
        </w:tc>
        <w:tc>
          <w:tcPr>
            <w:tcW w:w="1708" w:type="pct"/>
            <w:gridSpan w:val="5"/>
            <w:tcBorders>
              <w:tl2br w:val="nil"/>
              <w:tr2bl w:val="nil"/>
            </w:tcBorders>
            <w:shd w:val="clear" w:color="auto" w:fill="auto"/>
            <w:tcMar>
              <w:top w:w="15" w:type="dxa"/>
              <w:left w:w="15" w:type="dxa"/>
              <w:right w:w="15" w:type="dxa"/>
            </w:tcMar>
            <w:vAlign w:val="center"/>
          </w:tcPr>
          <w:p>
            <w:pPr>
              <w:pStyle w:val="84"/>
              <w:rPr>
                <w:color w:val="auto"/>
                <w:sz w:val="18"/>
                <w:szCs w:val="18"/>
                <w:highlight w:val="none"/>
              </w:rPr>
            </w:pPr>
            <w:r>
              <w:rPr>
                <w:rFonts w:hint="eastAsia"/>
                <w:color w:val="auto"/>
                <w:sz w:val="18"/>
                <w:szCs w:val="18"/>
                <w:highlight w:val="none"/>
                <w:lang w:eastAsia="zh-CN"/>
              </w:rPr>
              <w:t>371197562</w:t>
            </w:r>
            <w:r>
              <w:rPr>
                <w:color w:val="auto"/>
                <w:sz w:val="18"/>
                <w:szCs w:val="18"/>
                <w:highlight w:val="none"/>
              </w:rPr>
              <w:t xml:space="preserve">@qq.com </w:t>
            </w:r>
          </w:p>
        </w:tc>
        <w:tc>
          <w:tcPr>
            <w:tcW w:w="921"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电子信箱</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441038978@qq.com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828" w:type="pct"/>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传真</w:t>
            </w:r>
          </w:p>
        </w:tc>
        <w:tc>
          <w:tcPr>
            <w:tcW w:w="1708" w:type="pct"/>
            <w:gridSpan w:val="5"/>
            <w:tcBorders>
              <w:tl2br w:val="nil"/>
              <w:tr2bl w:val="nil"/>
            </w:tcBorders>
            <w:shd w:val="clear" w:color="auto" w:fill="auto"/>
            <w:tcMar>
              <w:top w:w="15" w:type="dxa"/>
              <w:left w:w="15" w:type="dxa"/>
              <w:right w:w="15" w:type="dxa"/>
            </w:tcMar>
            <w:vAlign w:val="center"/>
          </w:tcPr>
          <w:p>
            <w:pPr>
              <w:pStyle w:val="84"/>
              <w:rPr>
                <w:rFonts w:hint="eastAsia" w:eastAsia="仿宋_GB2312"/>
                <w:color w:val="auto"/>
                <w:sz w:val="18"/>
                <w:szCs w:val="18"/>
                <w:highlight w:val="none"/>
                <w:lang w:eastAsia="zh-CN"/>
              </w:rPr>
            </w:pPr>
            <w:r>
              <w:rPr>
                <w:rFonts w:hint="eastAsia"/>
                <w:color w:val="auto"/>
                <w:sz w:val="18"/>
                <w:szCs w:val="18"/>
                <w:highlight w:val="none"/>
                <w:lang w:val="en-US" w:eastAsia="zh-CN"/>
              </w:rPr>
              <w:t>/</w:t>
            </w:r>
          </w:p>
        </w:tc>
        <w:tc>
          <w:tcPr>
            <w:tcW w:w="921" w:type="pct"/>
            <w:gridSpan w:val="2"/>
            <w:tcBorders>
              <w:tl2br w:val="nil"/>
              <w:tr2bl w:val="nil"/>
            </w:tcBorders>
            <w:shd w:val="clear" w:color="auto" w:fill="auto"/>
            <w:noWrap/>
            <w:tcMar>
              <w:top w:w="15" w:type="dxa"/>
              <w:left w:w="15" w:type="dxa"/>
              <w:right w:w="15" w:type="dxa"/>
            </w:tcMar>
            <w:vAlign w:val="center"/>
          </w:tcPr>
          <w:p>
            <w:pPr>
              <w:pStyle w:val="84"/>
              <w:rPr>
                <w:color w:val="auto"/>
                <w:sz w:val="18"/>
                <w:szCs w:val="18"/>
                <w:highlight w:val="none"/>
              </w:rPr>
            </w:pPr>
            <w:r>
              <w:rPr>
                <w:color w:val="auto"/>
                <w:sz w:val="18"/>
                <w:szCs w:val="18"/>
                <w:highlight w:val="none"/>
              </w:rPr>
              <w:t>传真</w:t>
            </w:r>
          </w:p>
        </w:tc>
        <w:tc>
          <w:tcPr>
            <w:tcW w:w="1543" w:type="pct"/>
            <w:gridSpan w:val="3"/>
            <w:tcBorders>
              <w:tl2br w:val="nil"/>
              <w:tr2bl w:val="nil"/>
            </w:tcBorders>
            <w:shd w:val="clear" w:color="auto" w:fill="auto"/>
            <w:noWrap/>
            <w:tcMar>
              <w:top w:w="15" w:type="dxa"/>
              <w:left w:w="15" w:type="dxa"/>
              <w:right w:w="15" w:type="dxa"/>
            </w:tcMar>
            <w:vAlign w:val="center"/>
          </w:tcPr>
          <w:p>
            <w:pPr>
              <w:pStyle w:val="84"/>
              <w:rPr>
                <w:rFonts w:hint="eastAsia" w:eastAsia="仿宋_GB2312"/>
                <w:color w:val="auto"/>
                <w:sz w:val="18"/>
                <w:szCs w:val="18"/>
                <w:highlight w:val="none"/>
                <w:lang w:val="en-US" w:eastAsia="zh-CN"/>
              </w:rPr>
            </w:pPr>
            <w:r>
              <w:rPr>
                <w:rFonts w:hint="eastAsia"/>
                <w:color w:val="auto"/>
                <w:sz w:val="18"/>
                <w:szCs w:val="18"/>
                <w:highlight w:val="none"/>
                <w:lang w:val="en-US" w:eastAsia="zh-CN"/>
              </w:rPr>
              <w:t>/</w:t>
            </w:r>
          </w:p>
        </w:tc>
      </w:tr>
    </w:tbl>
    <w:p>
      <w:pPr>
        <w:spacing w:line="400" w:lineRule="exact"/>
        <w:ind w:firstLine="0" w:firstLineChars="0"/>
        <w:rPr>
          <w:b/>
          <w:color w:val="auto"/>
          <w:sz w:val="32"/>
          <w:highlight w:val="none"/>
        </w:rPr>
        <w:sectPr>
          <w:pgSz w:w="11906" w:h="16838"/>
          <w:pgMar w:top="1440" w:right="1417" w:bottom="1440" w:left="1417" w:header="851" w:footer="992" w:gutter="0"/>
          <w:pgBorders>
            <w:top w:val="none" w:sz="0" w:space="0"/>
            <w:left w:val="none" w:sz="0" w:space="0"/>
            <w:bottom w:val="none" w:sz="0" w:space="0"/>
            <w:right w:val="none" w:sz="0" w:space="0"/>
          </w:pgBorders>
          <w:pgNumType w:fmt="upperRoman" w:start="1"/>
          <w:cols w:space="720" w:num="1"/>
          <w:docGrid w:linePitch="326" w:charSpace="0"/>
        </w:sectPr>
      </w:pPr>
    </w:p>
    <w:p>
      <w:pPr>
        <w:ind w:firstLine="0" w:firstLineChars="0"/>
        <w:jc w:val="center"/>
        <w:rPr>
          <w:rFonts w:hint="default" w:ascii="Times New Roman" w:hAnsi="Times New Roman" w:eastAsia="仿宋_GB2312" w:cs="Times New Roman"/>
          <w:b/>
          <w:color w:val="auto"/>
          <w:sz w:val="44"/>
          <w:szCs w:val="32"/>
          <w:highlight w:val="none"/>
        </w:rPr>
      </w:pPr>
      <w:r>
        <w:rPr>
          <w:rFonts w:hint="default" w:ascii="Times New Roman" w:hAnsi="Times New Roman" w:eastAsia="仿宋_GB2312" w:cs="Times New Roman"/>
          <w:b/>
          <w:color w:val="auto"/>
          <w:sz w:val="44"/>
          <w:szCs w:val="32"/>
          <w:highlight w:val="none"/>
        </w:rPr>
        <w:t>目  录</w:t>
      </w:r>
    </w:p>
    <w:p>
      <w:pPr>
        <w:pStyle w:val="22"/>
        <w:tabs>
          <w:tab w:val="right" w:leader="dot" w:pos="8844"/>
        </w:tabs>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TOC \o "1-2" \h \z \u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HYPERLINK \l _Toc14349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1 综合说明</w:t>
      </w:r>
      <w:r>
        <w:rPr>
          <w:rFonts w:hint="default" w:ascii="Times New Roman" w:hAnsi="Times New Roman" w:eastAsia="仿宋_GB2312" w:cs="Times New Roman"/>
          <w:color w:val="auto"/>
          <w:sz w:val="32"/>
          <w:szCs w:val="24"/>
          <w:highlight w:val="none"/>
        </w:rPr>
        <w:tab/>
      </w: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PAGEREF _Toc14349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1</w:t>
      </w:r>
      <w:r>
        <w:rPr>
          <w:rFonts w:hint="default" w:ascii="Times New Roman" w:hAnsi="Times New Roman" w:eastAsia="仿宋_GB2312" w:cs="Times New Roman"/>
          <w:color w:val="auto"/>
          <w:sz w:val="32"/>
          <w:szCs w:val="24"/>
          <w:highlight w:val="none"/>
        </w:rPr>
        <w:fldChar w:fldCharType="end"/>
      </w:r>
      <w:r>
        <w:rPr>
          <w:rFonts w:hint="default" w:ascii="Times New Roman" w:hAnsi="Times New Roman" w:eastAsia="仿宋_GB2312" w:cs="Times New Roman"/>
          <w:color w:val="auto"/>
          <w:sz w:val="32"/>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_Toc28973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1.1 项目简况</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_Toc28973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_Toc6870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1.2 编制依据</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_Toc6870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5</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_Toc23467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1.3 设计水平年</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_Toc23467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7</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_Toc26859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1.4 水土流失防治责任范围</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_Toc26859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_Toc30304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1.5 水土流失防治目标</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_Toc30304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_Toc275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1.6 项目水土保持评价结论</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_Toc275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9</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_Toc4022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1.7 水土流失预测结果</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_Toc4022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11</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_Toc16328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1.8 水土保持措施布设成果</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_Toc16328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11</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_Toc8978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1.9 水土保持监测方案</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_Toc8978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12</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_Toc18536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1.10 水土保持投资及效益分析成果</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_Toc18536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12</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_Toc11705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1.11 结论</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_Toc11705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13</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2"/>
        <w:tabs>
          <w:tab w:val="right" w:leader="dot" w:pos="8844"/>
        </w:tabs>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HYPERLINK \l _Toc29946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2 项目概况</w:t>
      </w:r>
      <w:r>
        <w:rPr>
          <w:rFonts w:hint="default" w:ascii="Times New Roman" w:hAnsi="Times New Roman" w:eastAsia="仿宋_GB2312" w:cs="Times New Roman"/>
          <w:color w:val="auto"/>
          <w:sz w:val="32"/>
          <w:szCs w:val="24"/>
          <w:highlight w:val="none"/>
        </w:rPr>
        <w:tab/>
      </w: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PAGEREF _Toc29946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14</w:t>
      </w:r>
      <w:r>
        <w:rPr>
          <w:rFonts w:hint="default" w:ascii="Times New Roman" w:hAnsi="Times New Roman" w:eastAsia="仿宋_GB2312" w:cs="Times New Roman"/>
          <w:color w:val="auto"/>
          <w:sz w:val="32"/>
          <w:szCs w:val="24"/>
          <w:highlight w:val="none"/>
        </w:rPr>
        <w:fldChar w:fldCharType="end"/>
      </w:r>
      <w:r>
        <w:rPr>
          <w:rFonts w:hint="default" w:ascii="Times New Roman" w:hAnsi="Times New Roman" w:eastAsia="仿宋_GB2312" w:cs="Times New Roman"/>
          <w:color w:val="auto"/>
          <w:sz w:val="32"/>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_Toc5133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2.1 项目组成及工程布置</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_Toc5133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14</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_Toc2310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2.2 施工组织</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_Toc2310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25</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_Toc24945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2.3 工程占地</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_Toc24945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28</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_Toc26712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2.4 土石方平衡</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_Toc26712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28</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_Toc16538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2.5 拆迁（移民）安置与专项设施改（迁）建</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_Toc16538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30</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_Toc22688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2.6 施工进度</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_Toc22688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30</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_Toc14102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2.7 自然概况</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_Toc14102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30</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2"/>
        <w:tabs>
          <w:tab w:val="right" w:leader="dot" w:pos="8844"/>
        </w:tabs>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HYPERLINK \l _Toc19791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3 项目水土保持评价</w:t>
      </w:r>
      <w:r>
        <w:rPr>
          <w:rFonts w:hint="default" w:ascii="Times New Roman" w:hAnsi="Times New Roman" w:eastAsia="仿宋_GB2312" w:cs="Times New Roman"/>
          <w:color w:val="auto"/>
          <w:sz w:val="32"/>
          <w:szCs w:val="24"/>
          <w:highlight w:val="none"/>
        </w:rPr>
        <w:tab/>
      </w: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PAGEREF _Toc19791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36</w:t>
      </w:r>
      <w:r>
        <w:rPr>
          <w:rFonts w:hint="default" w:ascii="Times New Roman" w:hAnsi="Times New Roman" w:eastAsia="仿宋_GB2312" w:cs="Times New Roman"/>
          <w:color w:val="auto"/>
          <w:sz w:val="32"/>
          <w:szCs w:val="24"/>
          <w:highlight w:val="none"/>
        </w:rPr>
        <w:fldChar w:fldCharType="end"/>
      </w:r>
      <w:r>
        <w:rPr>
          <w:rFonts w:hint="default" w:ascii="Times New Roman" w:hAnsi="Times New Roman" w:eastAsia="仿宋_GB2312" w:cs="Times New Roman"/>
          <w:color w:val="auto"/>
          <w:sz w:val="32"/>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_Toc17992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3.1 主体工程选址（线）水土保持评价</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_Toc17992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36</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_Toc30497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3.2 建设方案与布局水土保持评价</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_Toc30497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38</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_Toc25915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3.3 主体工程设计中水土保持措施界定</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_Toc25915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43</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2"/>
        <w:tabs>
          <w:tab w:val="right" w:leader="dot" w:pos="8844"/>
        </w:tabs>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HYPERLINK \l _Toc23858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4 水土流失分析与预测</w:t>
      </w:r>
      <w:r>
        <w:rPr>
          <w:rFonts w:hint="default" w:ascii="Times New Roman" w:hAnsi="Times New Roman" w:eastAsia="仿宋_GB2312" w:cs="Times New Roman"/>
          <w:color w:val="auto"/>
          <w:sz w:val="32"/>
          <w:szCs w:val="24"/>
          <w:highlight w:val="none"/>
        </w:rPr>
        <w:tab/>
      </w: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PAGEREF _Toc23858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45</w:t>
      </w:r>
      <w:r>
        <w:rPr>
          <w:rFonts w:hint="default" w:ascii="Times New Roman" w:hAnsi="Times New Roman" w:eastAsia="仿宋_GB2312" w:cs="Times New Roman"/>
          <w:color w:val="auto"/>
          <w:sz w:val="32"/>
          <w:szCs w:val="24"/>
          <w:highlight w:val="none"/>
        </w:rPr>
        <w:fldChar w:fldCharType="end"/>
      </w:r>
      <w:r>
        <w:rPr>
          <w:rFonts w:hint="default" w:ascii="Times New Roman" w:hAnsi="Times New Roman" w:eastAsia="仿宋_GB2312" w:cs="Times New Roman"/>
          <w:color w:val="auto"/>
          <w:sz w:val="32"/>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_Toc8682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4.1 水土流失现状</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_Toc8682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45</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_Toc13210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4.2 水土流失影响因素分析</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_Toc13210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46</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_Toc28149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4.3 土壤流失量预测</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_Toc28149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48</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_Toc978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4.4 水土流失危害分析</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_Toc978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53</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_Toc31199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4.5指导性意见</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_Toc31199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53</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2"/>
        <w:tabs>
          <w:tab w:val="right" w:leader="dot" w:pos="8844"/>
        </w:tabs>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HYPERLINK \l _Toc7550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5 水土保持措施</w:t>
      </w:r>
      <w:r>
        <w:rPr>
          <w:rFonts w:hint="default" w:ascii="Times New Roman" w:hAnsi="Times New Roman" w:eastAsia="仿宋_GB2312" w:cs="Times New Roman"/>
          <w:color w:val="auto"/>
          <w:sz w:val="32"/>
          <w:szCs w:val="24"/>
          <w:highlight w:val="none"/>
        </w:rPr>
        <w:tab/>
      </w: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PAGEREF _Toc7550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56</w:t>
      </w:r>
      <w:r>
        <w:rPr>
          <w:rFonts w:hint="default" w:ascii="Times New Roman" w:hAnsi="Times New Roman" w:eastAsia="仿宋_GB2312" w:cs="Times New Roman"/>
          <w:color w:val="auto"/>
          <w:sz w:val="32"/>
          <w:szCs w:val="24"/>
          <w:highlight w:val="none"/>
        </w:rPr>
        <w:fldChar w:fldCharType="end"/>
      </w:r>
      <w:r>
        <w:rPr>
          <w:rFonts w:hint="default" w:ascii="Times New Roman" w:hAnsi="Times New Roman" w:eastAsia="仿宋_GB2312" w:cs="Times New Roman"/>
          <w:color w:val="auto"/>
          <w:sz w:val="32"/>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_Toc23359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5.1 防治区划分</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_Toc23359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56</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_Toc14927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5.2 措施总体布局</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_Toc14927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57</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_Toc23958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5.3 分区措施布设</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_Toc23958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58</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_Toc22033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5.4 施工要求</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_Toc22033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64</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2"/>
        <w:tabs>
          <w:tab w:val="right" w:leader="dot" w:pos="8844"/>
        </w:tabs>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HYPERLINK \l _Toc6813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6 水土保持监测</w:t>
      </w:r>
      <w:r>
        <w:rPr>
          <w:rFonts w:hint="default" w:ascii="Times New Roman" w:hAnsi="Times New Roman" w:eastAsia="仿宋_GB2312" w:cs="Times New Roman"/>
          <w:color w:val="auto"/>
          <w:sz w:val="32"/>
          <w:szCs w:val="24"/>
          <w:highlight w:val="none"/>
        </w:rPr>
        <w:tab/>
      </w: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PAGEREF _Toc6813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67</w:t>
      </w:r>
      <w:r>
        <w:rPr>
          <w:rFonts w:hint="default" w:ascii="Times New Roman" w:hAnsi="Times New Roman" w:eastAsia="仿宋_GB2312" w:cs="Times New Roman"/>
          <w:color w:val="auto"/>
          <w:sz w:val="32"/>
          <w:szCs w:val="24"/>
          <w:highlight w:val="none"/>
        </w:rPr>
        <w:fldChar w:fldCharType="end"/>
      </w:r>
      <w:r>
        <w:rPr>
          <w:rFonts w:hint="default" w:ascii="Times New Roman" w:hAnsi="Times New Roman" w:eastAsia="仿宋_GB2312" w:cs="Times New Roman"/>
          <w:color w:val="auto"/>
          <w:sz w:val="32"/>
          <w:szCs w:val="24"/>
          <w:highlight w:val="none"/>
        </w:rPr>
        <w:fldChar w:fldCharType="end"/>
      </w:r>
    </w:p>
    <w:p>
      <w:pPr>
        <w:pStyle w:val="22"/>
        <w:tabs>
          <w:tab w:val="right" w:leader="dot" w:pos="8844"/>
        </w:tabs>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HYPERLINK \l _Toc1069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7 水土保持投资估算及效益分析</w:t>
      </w:r>
      <w:r>
        <w:rPr>
          <w:rFonts w:hint="default" w:ascii="Times New Roman" w:hAnsi="Times New Roman" w:eastAsia="仿宋_GB2312" w:cs="Times New Roman"/>
          <w:color w:val="auto"/>
          <w:sz w:val="32"/>
          <w:szCs w:val="24"/>
          <w:highlight w:val="none"/>
        </w:rPr>
        <w:tab/>
      </w: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PAGEREF _Toc1069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68</w:t>
      </w:r>
      <w:r>
        <w:rPr>
          <w:rFonts w:hint="default" w:ascii="Times New Roman" w:hAnsi="Times New Roman" w:eastAsia="仿宋_GB2312" w:cs="Times New Roman"/>
          <w:color w:val="auto"/>
          <w:sz w:val="32"/>
          <w:szCs w:val="24"/>
          <w:highlight w:val="none"/>
        </w:rPr>
        <w:fldChar w:fldCharType="end"/>
      </w:r>
      <w:r>
        <w:rPr>
          <w:rFonts w:hint="default" w:ascii="Times New Roman" w:hAnsi="Times New Roman" w:eastAsia="仿宋_GB2312" w:cs="Times New Roman"/>
          <w:color w:val="auto"/>
          <w:sz w:val="32"/>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_Toc7760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7.1 投资估算</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_Toc7760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68</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_Toc5662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7.2 效益分析</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_Toc5662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76</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2"/>
        <w:tabs>
          <w:tab w:val="right" w:leader="dot" w:pos="8844"/>
        </w:tabs>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HYPERLINK \l _Toc15360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8 水土保持管理</w:t>
      </w:r>
      <w:r>
        <w:rPr>
          <w:rFonts w:hint="default" w:ascii="Times New Roman" w:hAnsi="Times New Roman" w:eastAsia="仿宋_GB2312" w:cs="Times New Roman"/>
          <w:color w:val="auto"/>
          <w:sz w:val="32"/>
          <w:szCs w:val="24"/>
          <w:highlight w:val="none"/>
        </w:rPr>
        <w:tab/>
      </w:r>
      <w:r>
        <w:rPr>
          <w:rFonts w:hint="default" w:ascii="Times New Roman" w:hAnsi="Times New Roman" w:eastAsia="仿宋_GB2312" w:cs="Times New Roman"/>
          <w:color w:val="auto"/>
          <w:sz w:val="32"/>
          <w:szCs w:val="24"/>
          <w:highlight w:val="none"/>
        </w:rPr>
        <w:fldChar w:fldCharType="begin"/>
      </w:r>
      <w:r>
        <w:rPr>
          <w:rFonts w:hint="default" w:ascii="Times New Roman" w:hAnsi="Times New Roman" w:eastAsia="仿宋_GB2312" w:cs="Times New Roman"/>
          <w:color w:val="auto"/>
          <w:sz w:val="32"/>
          <w:szCs w:val="24"/>
          <w:highlight w:val="none"/>
        </w:rPr>
        <w:instrText xml:space="preserve"> PAGEREF _Toc15360 </w:instrText>
      </w:r>
      <w:r>
        <w:rPr>
          <w:rFonts w:hint="default" w:ascii="Times New Roman" w:hAnsi="Times New Roman" w:eastAsia="仿宋_GB2312" w:cs="Times New Roman"/>
          <w:color w:val="auto"/>
          <w:sz w:val="32"/>
          <w:szCs w:val="24"/>
          <w:highlight w:val="none"/>
        </w:rPr>
        <w:fldChar w:fldCharType="separate"/>
      </w:r>
      <w:r>
        <w:rPr>
          <w:rFonts w:hint="default" w:ascii="Times New Roman" w:hAnsi="Times New Roman" w:eastAsia="仿宋_GB2312" w:cs="Times New Roman"/>
          <w:color w:val="auto"/>
          <w:sz w:val="32"/>
          <w:szCs w:val="24"/>
          <w:highlight w:val="none"/>
        </w:rPr>
        <w:t>80</w:t>
      </w:r>
      <w:r>
        <w:rPr>
          <w:rFonts w:hint="default" w:ascii="Times New Roman" w:hAnsi="Times New Roman" w:eastAsia="仿宋_GB2312" w:cs="Times New Roman"/>
          <w:color w:val="auto"/>
          <w:sz w:val="32"/>
          <w:szCs w:val="24"/>
          <w:highlight w:val="none"/>
        </w:rPr>
        <w:fldChar w:fldCharType="end"/>
      </w:r>
      <w:r>
        <w:rPr>
          <w:rFonts w:hint="default" w:ascii="Times New Roman" w:hAnsi="Times New Roman" w:eastAsia="仿宋_GB2312" w:cs="Times New Roman"/>
          <w:color w:val="auto"/>
          <w:sz w:val="32"/>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_Toc17066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8.1 组织管理</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_Toc17066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80</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_Toc9512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8.2 后续设计</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_Toc9512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80</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_Toc15336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8.3 水土保持监测</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_Toc15336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81</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_Toc6122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8.4 水土保持监理</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_Toc6122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81</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_Toc21071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8.5 水土保持施工</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_Toc21071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81</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pStyle w:val="23"/>
        <w:tabs>
          <w:tab w:val="right" w:leader="dot" w:pos="8844"/>
        </w:tabs>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HYPERLINK \l _Toc27217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8.6 水土保持设施验收</w:t>
      </w:r>
      <w:r>
        <w:rPr>
          <w:rFonts w:hint="default" w:ascii="Times New Roman" w:hAnsi="Times New Roman" w:eastAsia="仿宋_GB2312" w:cs="Times New Roman"/>
          <w:color w:val="auto"/>
          <w:sz w:val="28"/>
          <w:szCs w:val="24"/>
          <w:highlight w:val="none"/>
        </w:rPr>
        <w:tab/>
      </w:r>
      <w:r>
        <w:rPr>
          <w:rFonts w:hint="default" w:ascii="Times New Roman" w:hAnsi="Times New Roman" w:eastAsia="仿宋_GB2312" w:cs="Times New Roman"/>
          <w:color w:val="auto"/>
          <w:sz w:val="28"/>
          <w:szCs w:val="24"/>
          <w:highlight w:val="none"/>
        </w:rPr>
        <w:fldChar w:fldCharType="begin"/>
      </w:r>
      <w:r>
        <w:rPr>
          <w:rFonts w:hint="default" w:ascii="Times New Roman" w:hAnsi="Times New Roman" w:eastAsia="仿宋_GB2312" w:cs="Times New Roman"/>
          <w:color w:val="auto"/>
          <w:sz w:val="28"/>
          <w:szCs w:val="24"/>
          <w:highlight w:val="none"/>
        </w:rPr>
        <w:instrText xml:space="preserve"> PAGEREF _Toc27217 </w:instrText>
      </w:r>
      <w:r>
        <w:rPr>
          <w:rFonts w:hint="default" w:ascii="Times New Roman" w:hAnsi="Times New Roman" w:eastAsia="仿宋_GB2312" w:cs="Times New Roman"/>
          <w:color w:val="auto"/>
          <w:sz w:val="28"/>
          <w:szCs w:val="24"/>
          <w:highlight w:val="none"/>
        </w:rPr>
        <w:fldChar w:fldCharType="separate"/>
      </w:r>
      <w:r>
        <w:rPr>
          <w:rFonts w:hint="default" w:ascii="Times New Roman" w:hAnsi="Times New Roman" w:eastAsia="仿宋_GB2312" w:cs="Times New Roman"/>
          <w:color w:val="auto"/>
          <w:sz w:val="28"/>
          <w:szCs w:val="24"/>
          <w:highlight w:val="none"/>
        </w:rPr>
        <w:t>81</w:t>
      </w:r>
      <w:r>
        <w:rPr>
          <w:rFonts w:hint="default" w:ascii="Times New Roman" w:hAnsi="Times New Roman" w:eastAsia="仿宋_GB2312" w:cs="Times New Roman"/>
          <w:color w:val="auto"/>
          <w:sz w:val="28"/>
          <w:szCs w:val="24"/>
          <w:highlight w:val="none"/>
        </w:rPr>
        <w:fldChar w:fldCharType="end"/>
      </w:r>
      <w:r>
        <w:rPr>
          <w:rFonts w:hint="default" w:ascii="Times New Roman" w:hAnsi="Times New Roman" w:eastAsia="仿宋_GB2312" w:cs="Times New Roman"/>
          <w:color w:val="auto"/>
          <w:sz w:val="28"/>
          <w:szCs w:val="24"/>
          <w:highlight w:val="none"/>
        </w:rPr>
        <w:fldChar w:fldCharType="end"/>
      </w:r>
    </w:p>
    <w:p>
      <w:pPr>
        <w:ind w:firstLine="560"/>
        <w:rPr>
          <w:rFonts w:eastAsia="仿宋_GB2312"/>
          <w:b/>
          <w:bCs/>
          <w:color w:val="auto"/>
          <w:sz w:val="28"/>
          <w:szCs w:val="28"/>
          <w:highlight w:val="none"/>
        </w:rPr>
      </w:pPr>
      <w:r>
        <w:rPr>
          <w:rFonts w:hint="default" w:ascii="Times New Roman" w:hAnsi="Times New Roman" w:eastAsia="仿宋_GB2312" w:cs="Times New Roman"/>
          <w:color w:val="auto"/>
          <w:sz w:val="28"/>
          <w:szCs w:val="24"/>
          <w:highlight w:val="none"/>
        </w:rPr>
        <w:fldChar w:fldCharType="end"/>
      </w:r>
      <w:r>
        <w:rPr>
          <w:rFonts w:eastAsia="仿宋_GB2312"/>
          <w:b/>
          <w:bCs/>
          <w:color w:val="auto"/>
          <w:sz w:val="28"/>
          <w:szCs w:val="28"/>
          <w:highlight w:val="none"/>
        </w:rPr>
        <w:br w:type="page"/>
      </w:r>
    </w:p>
    <w:p>
      <w:pPr>
        <w:pStyle w:val="128"/>
        <w:ind w:firstLine="238" w:firstLineChars="74"/>
        <w:rPr>
          <w:rFonts w:eastAsia="仿宋_GB2312"/>
          <w:b/>
          <w:color w:val="auto"/>
          <w:sz w:val="32"/>
          <w:szCs w:val="32"/>
          <w:highlight w:val="none"/>
        </w:rPr>
      </w:pPr>
      <w:r>
        <w:rPr>
          <w:rFonts w:eastAsia="仿宋_GB2312"/>
          <w:b/>
          <w:color w:val="auto"/>
          <w:sz w:val="32"/>
          <w:szCs w:val="32"/>
          <w:highlight w:val="none"/>
        </w:rPr>
        <w:t>附表:</w:t>
      </w:r>
    </w:p>
    <w:p>
      <w:pPr>
        <w:pStyle w:val="128"/>
        <w:ind w:firstLine="480"/>
        <w:rPr>
          <w:rFonts w:eastAsia="仿宋_GB2312"/>
          <w:color w:val="auto"/>
          <w:highlight w:val="none"/>
        </w:rPr>
      </w:pPr>
      <w:r>
        <w:rPr>
          <w:rFonts w:eastAsia="仿宋_GB2312"/>
          <w:color w:val="auto"/>
          <w:highlight w:val="none"/>
        </w:rPr>
        <w:t>附表1、单价分析表；</w:t>
      </w:r>
    </w:p>
    <w:p>
      <w:pPr>
        <w:pStyle w:val="128"/>
        <w:ind w:firstLine="238" w:firstLineChars="74"/>
        <w:rPr>
          <w:rFonts w:eastAsia="仿宋_GB2312"/>
          <w:b/>
          <w:color w:val="auto"/>
          <w:sz w:val="32"/>
          <w:szCs w:val="32"/>
          <w:highlight w:val="none"/>
        </w:rPr>
      </w:pPr>
    </w:p>
    <w:p>
      <w:pPr>
        <w:pStyle w:val="128"/>
        <w:ind w:firstLine="238" w:firstLineChars="74"/>
        <w:rPr>
          <w:rFonts w:eastAsia="仿宋_GB2312"/>
          <w:b/>
          <w:color w:val="auto"/>
          <w:sz w:val="32"/>
          <w:szCs w:val="32"/>
          <w:highlight w:val="none"/>
        </w:rPr>
      </w:pPr>
      <w:r>
        <w:rPr>
          <w:rFonts w:eastAsia="仿宋_GB2312"/>
          <w:b/>
          <w:color w:val="auto"/>
          <w:sz w:val="32"/>
          <w:szCs w:val="32"/>
          <w:highlight w:val="none"/>
        </w:rPr>
        <w:t>附件:</w:t>
      </w:r>
    </w:p>
    <w:p>
      <w:pPr>
        <w:pStyle w:val="128"/>
        <w:ind w:firstLine="480"/>
        <w:rPr>
          <w:rFonts w:eastAsia="仿宋_GB2312"/>
          <w:color w:val="auto"/>
          <w:highlight w:val="none"/>
        </w:rPr>
      </w:pPr>
      <w:r>
        <w:rPr>
          <w:rFonts w:eastAsia="仿宋_GB2312"/>
          <w:color w:val="auto"/>
          <w:highlight w:val="none"/>
        </w:rPr>
        <w:t>附件1、水土保持方案编制委托书；</w:t>
      </w:r>
    </w:p>
    <w:p>
      <w:pPr>
        <w:pStyle w:val="128"/>
        <w:ind w:firstLine="480"/>
        <w:rPr>
          <w:rFonts w:eastAsia="仿宋_GB2312"/>
          <w:color w:val="auto"/>
          <w:highlight w:val="none"/>
        </w:rPr>
      </w:pPr>
      <w:r>
        <w:rPr>
          <w:rFonts w:eastAsia="仿宋_GB2312"/>
          <w:color w:val="auto"/>
          <w:highlight w:val="none"/>
        </w:rPr>
        <w:t>附件2、备案证；</w:t>
      </w:r>
    </w:p>
    <w:p>
      <w:pPr>
        <w:pStyle w:val="128"/>
        <w:ind w:firstLine="480"/>
        <w:rPr>
          <w:rFonts w:eastAsia="仿宋_GB2312"/>
          <w:color w:val="auto"/>
          <w:highlight w:val="none"/>
        </w:rPr>
      </w:pPr>
      <w:r>
        <w:rPr>
          <w:rFonts w:eastAsia="仿宋_GB2312"/>
          <w:color w:val="auto"/>
          <w:highlight w:val="none"/>
        </w:rPr>
        <w:t>附件</w:t>
      </w:r>
      <w:r>
        <w:rPr>
          <w:rFonts w:hint="eastAsia" w:eastAsia="仿宋_GB2312"/>
          <w:color w:val="auto"/>
          <w:highlight w:val="none"/>
          <w:lang w:val="en-US" w:eastAsia="zh-CN"/>
        </w:rPr>
        <w:t>3</w:t>
      </w:r>
      <w:r>
        <w:rPr>
          <w:rFonts w:eastAsia="仿宋_GB2312"/>
          <w:color w:val="auto"/>
          <w:highlight w:val="none"/>
        </w:rPr>
        <w:t>、建设用地</w:t>
      </w:r>
      <w:r>
        <w:rPr>
          <w:rFonts w:hint="eastAsia" w:eastAsia="仿宋_GB2312"/>
          <w:color w:val="auto"/>
          <w:highlight w:val="none"/>
          <w:lang w:eastAsia="zh-CN"/>
        </w:rPr>
        <w:t>预审意见</w:t>
      </w:r>
      <w:r>
        <w:rPr>
          <w:rFonts w:eastAsia="仿宋_GB2312"/>
          <w:color w:val="auto"/>
          <w:highlight w:val="none"/>
        </w:rPr>
        <w:t>；</w:t>
      </w:r>
    </w:p>
    <w:p>
      <w:pPr>
        <w:pStyle w:val="128"/>
        <w:ind w:firstLine="480"/>
        <w:rPr>
          <w:rFonts w:eastAsia="仿宋_GB2312"/>
          <w:color w:val="auto"/>
          <w:highlight w:val="none"/>
        </w:rPr>
      </w:pPr>
      <w:r>
        <w:rPr>
          <w:rFonts w:eastAsia="仿宋_GB2312"/>
          <w:color w:val="auto"/>
          <w:highlight w:val="none"/>
        </w:rPr>
        <w:t>附件</w:t>
      </w:r>
      <w:r>
        <w:rPr>
          <w:rFonts w:hint="eastAsia" w:eastAsia="仿宋_GB2312"/>
          <w:color w:val="auto"/>
          <w:highlight w:val="none"/>
          <w:lang w:val="en-US" w:eastAsia="zh-CN"/>
        </w:rPr>
        <w:t>4</w:t>
      </w:r>
      <w:r>
        <w:rPr>
          <w:rFonts w:eastAsia="仿宋_GB2312"/>
          <w:color w:val="auto"/>
          <w:highlight w:val="none"/>
        </w:rPr>
        <w:t>、建设项目环境影响登记表；</w:t>
      </w:r>
    </w:p>
    <w:p>
      <w:pPr>
        <w:pStyle w:val="128"/>
        <w:ind w:firstLine="480"/>
        <w:rPr>
          <w:rFonts w:hint="eastAsia" w:eastAsia="仿宋_GB2312"/>
          <w:color w:val="auto"/>
          <w:highlight w:val="none"/>
          <w:lang w:val="en-US" w:eastAsia="zh-CN"/>
        </w:rPr>
      </w:pPr>
      <w:r>
        <w:rPr>
          <w:rFonts w:hint="eastAsia" w:eastAsia="仿宋_GB2312"/>
          <w:color w:val="auto"/>
          <w:highlight w:val="none"/>
          <w:lang w:eastAsia="zh-CN"/>
        </w:rPr>
        <w:t>附件</w:t>
      </w:r>
      <w:r>
        <w:rPr>
          <w:rFonts w:hint="eastAsia" w:eastAsia="仿宋_GB2312"/>
          <w:color w:val="auto"/>
          <w:highlight w:val="none"/>
          <w:lang w:val="en-US" w:eastAsia="zh-CN"/>
        </w:rPr>
        <w:t>5、生产建设项目申报水土保持方案通知书；</w:t>
      </w:r>
    </w:p>
    <w:p>
      <w:pPr>
        <w:pStyle w:val="128"/>
        <w:ind w:firstLine="480"/>
        <w:rPr>
          <w:rFonts w:hint="eastAsia" w:eastAsia="仿宋_GB2312"/>
          <w:color w:val="auto"/>
          <w:lang w:val="en-US" w:eastAsia="zh-CN"/>
        </w:rPr>
      </w:pPr>
      <w:r>
        <w:rPr>
          <w:rFonts w:hint="eastAsia" w:eastAsia="仿宋_GB2312"/>
          <w:color w:val="auto"/>
          <w:lang w:eastAsia="zh-CN"/>
        </w:rPr>
        <w:t>附件</w:t>
      </w:r>
      <w:r>
        <w:rPr>
          <w:rFonts w:hint="eastAsia" w:eastAsia="仿宋_GB2312"/>
          <w:color w:val="auto"/>
          <w:lang w:val="en-US" w:eastAsia="zh-CN"/>
        </w:rPr>
        <w:t>6、专家初审意见；</w:t>
      </w:r>
    </w:p>
    <w:p>
      <w:pPr>
        <w:pStyle w:val="128"/>
        <w:ind w:firstLine="480"/>
        <w:rPr>
          <w:rFonts w:hint="default" w:eastAsia="仿宋_GB2312"/>
          <w:color w:val="auto"/>
          <w:lang w:val="en-US" w:eastAsia="zh-CN"/>
        </w:rPr>
      </w:pPr>
      <w:r>
        <w:rPr>
          <w:rFonts w:hint="eastAsia" w:eastAsia="仿宋_GB2312"/>
          <w:color w:val="auto"/>
          <w:lang w:val="en-US" w:eastAsia="zh-CN"/>
        </w:rPr>
        <w:t>附件7、修改说明；</w:t>
      </w:r>
    </w:p>
    <w:p>
      <w:pPr>
        <w:pStyle w:val="128"/>
        <w:ind w:firstLine="480"/>
        <w:rPr>
          <w:rFonts w:hint="default" w:eastAsia="仿宋_GB2312"/>
          <w:color w:val="auto"/>
          <w:lang w:val="en-US" w:eastAsia="zh-CN"/>
        </w:rPr>
      </w:pPr>
      <w:r>
        <w:rPr>
          <w:rFonts w:hint="eastAsia" w:eastAsia="仿宋_GB2312"/>
          <w:color w:val="auto"/>
          <w:lang w:val="en-US" w:eastAsia="zh-CN"/>
        </w:rPr>
        <w:t>附件8、专家复审意见；</w:t>
      </w:r>
    </w:p>
    <w:p>
      <w:pPr>
        <w:pStyle w:val="128"/>
        <w:ind w:firstLine="480"/>
        <w:rPr>
          <w:rFonts w:hint="default" w:eastAsia="仿宋_GB2312"/>
          <w:color w:val="auto"/>
          <w:highlight w:val="none"/>
          <w:lang w:val="en-US" w:eastAsia="zh-CN"/>
        </w:rPr>
      </w:pPr>
    </w:p>
    <w:p>
      <w:pPr>
        <w:pStyle w:val="128"/>
        <w:ind w:firstLine="238" w:firstLineChars="74"/>
        <w:rPr>
          <w:rFonts w:eastAsia="仿宋_GB2312"/>
          <w:b/>
          <w:color w:val="auto"/>
          <w:sz w:val="32"/>
          <w:szCs w:val="32"/>
          <w:highlight w:val="none"/>
        </w:rPr>
      </w:pPr>
      <w:bookmarkStart w:id="2" w:name="_Toc452729562"/>
      <w:bookmarkStart w:id="3" w:name="_Toc370050983"/>
      <w:bookmarkStart w:id="4" w:name="_Toc379804300"/>
      <w:bookmarkStart w:id="5" w:name="_Toc421798835"/>
      <w:bookmarkStart w:id="6" w:name="_Toc394051109"/>
      <w:bookmarkStart w:id="7" w:name="_Toc420589290"/>
      <w:bookmarkStart w:id="8" w:name="_Toc425510562"/>
      <w:bookmarkStart w:id="9" w:name="_Toc421798906"/>
      <w:bookmarkStart w:id="10" w:name="_Toc392181689"/>
      <w:bookmarkStart w:id="11" w:name="_Toc370324889"/>
      <w:bookmarkStart w:id="12" w:name="_Toc389470362"/>
      <w:bookmarkStart w:id="13" w:name="_Toc394737623"/>
      <w:bookmarkStart w:id="14" w:name="_Toc422067507"/>
      <w:bookmarkStart w:id="15" w:name="_Toc398465307"/>
      <w:r>
        <w:rPr>
          <w:rFonts w:eastAsia="仿宋_GB2312"/>
          <w:b/>
          <w:color w:val="auto"/>
          <w:sz w:val="32"/>
          <w:szCs w:val="32"/>
          <w:highlight w:val="none"/>
        </w:rPr>
        <w:t>附图</w:t>
      </w:r>
      <w:bookmarkEnd w:id="2"/>
      <w:bookmarkEnd w:id="3"/>
      <w:bookmarkEnd w:id="4"/>
      <w:bookmarkEnd w:id="5"/>
      <w:bookmarkEnd w:id="6"/>
      <w:bookmarkEnd w:id="7"/>
      <w:bookmarkEnd w:id="8"/>
      <w:bookmarkEnd w:id="9"/>
      <w:bookmarkEnd w:id="10"/>
      <w:bookmarkEnd w:id="11"/>
      <w:bookmarkEnd w:id="12"/>
      <w:bookmarkEnd w:id="13"/>
      <w:bookmarkEnd w:id="14"/>
      <w:bookmarkEnd w:id="15"/>
      <w:r>
        <w:rPr>
          <w:rFonts w:eastAsia="仿宋_GB2312"/>
          <w:b/>
          <w:color w:val="auto"/>
          <w:sz w:val="32"/>
          <w:szCs w:val="32"/>
          <w:highlight w:val="none"/>
        </w:rPr>
        <w:t>:</w:t>
      </w:r>
    </w:p>
    <w:p>
      <w:pPr>
        <w:ind w:firstLine="48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附图01、项目地理位置图；</w:t>
      </w:r>
    </w:p>
    <w:p>
      <w:pPr>
        <w:ind w:firstLine="48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附图02、项目区水系图；</w:t>
      </w:r>
    </w:p>
    <w:p>
      <w:pPr>
        <w:ind w:firstLine="48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附图03、项目区土壤侵蚀强度分布图；</w:t>
      </w:r>
    </w:p>
    <w:p>
      <w:pPr>
        <w:ind w:firstLine="48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附图04、项目总体布置图；</w:t>
      </w:r>
    </w:p>
    <w:p>
      <w:pPr>
        <w:ind w:firstLine="48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附图05、分区防治措施措施总体布局图；</w:t>
      </w:r>
    </w:p>
    <w:p>
      <w:pPr>
        <w:ind w:firstLine="48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附图6</w:t>
      </w:r>
      <w:r>
        <w:rPr>
          <w:rFonts w:hint="default"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eastAsia="zh-CN"/>
        </w:rPr>
        <w:t>管沟开挖土方</w:t>
      </w:r>
      <w:r>
        <w:rPr>
          <w:rFonts w:hint="default" w:ascii="Times New Roman" w:hAnsi="Times New Roman" w:eastAsia="仿宋_GB2312" w:cs="Times New Roman"/>
          <w:color w:val="auto"/>
          <w:sz w:val="24"/>
          <w:szCs w:val="24"/>
          <w:highlight w:val="none"/>
        </w:rPr>
        <w:t>防尘网苫盖典型设计图；</w:t>
      </w:r>
    </w:p>
    <w:p>
      <w:pPr>
        <w:ind w:firstLine="48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附图6</w:t>
      </w:r>
      <w:r>
        <w:rPr>
          <w:rFonts w:hint="default"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eastAsia="zh-CN"/>
        </w:rPr>
        <w:t>土地平整</w:t>
      </w:r>
      <w:r>
        <w:rPr>
          <w:rFonts w:hint="default" w:ascii="Times New Roman" w:hAnsi="Times New Roman" w:eastAsia="仿宋_GB2312" w:cs="Times New Roman"/>
          <w:color w:val="auto"/>
          <w:sz w:val="24"/>
          <w:szCs w:val="24"/>
          <w:highlight w:val="none"/>
        </w:rPr>
        <w:t>典型设计图；</w:t>
      </w:r>
    </w:p>
    <w:p>
      <w:pPr>
        <w:ind w:firstLine="48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附图6</w:t>
      </w:r>
      <w:r>
        <w:rPr>
          <w:rFonts w:hint="default" w:ascii="Times New Roman" w:hAnsi="Times New Roman"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eastAsia="zh-CN"/>
        </w:rPr>
        <w:t>临时堆土</w:t>
      </w:r>
      <w:r>
        <w:rPr>
          <w:rFonts w:hint="default" w:ascii="Times New Roman" w:hAnsi="Times New Roman" w:eastAsia="仿宋_GB2312" w:cs="Times New Roman"/>
          <w:color w:val="auto"/>
          <w:sz w:val="24"/>
          <w:szCs w:val="24"/>
          <w:highlight w:val="none"/>
        </w:rPr>
        <w:t>防尘网苫盖典型设计图；</w:t>
      </w:r>
    </w:p>
    <w:p>
      <w:pPr>
        <w:ind w:firstLine="48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附图07、彩钢板围栏典型设计图；</w:t>
      </w:r>
    </w:p>
    <w:p>
      <w:pPr>
        <w:ind w:firstLine="480"/>
        <w:rPr>
          <w:rFonts w:eastAsia="仿宋_GB2312"/>
          <w:color w:val="auto"/>
          <w:highlight w:val="none"/>
        </w:rPr>
      </w:pPr>
      <w:r>
        <w:rPr>
          <w:rFonts w:hint="default" w:ascii="Times New Roman" w:hAnsi="Times New Roman" w:eastAsia="仿宋_GB2312" w:cs="Times New Roman"/>
          <w:color w:val="auto"/>
          <w:sz w:val="24"/>
          <w:szCs w:val="24"/>
          <w:highlight w:val="none"/>
        </w:rPr>
        <w:t>附图0</w:t>
      </w:r>
      <w:r>
        <w:rPr>
          <w:rFonts w:hint="default" w:ascii="Times New Roman" w:hAnsi="Times New Roman" w:eastAsia="仿宋_GB2312" w:cs="Times New Roman"/>
          <w:color w:val="auto"/>
          <w:sz w:val="24"/>
          <w:szCs w:val="24"/>
          <w:highlight w:val="none"/>
          <w:lang w:val="en-US" w:eastAsia="zh-CN"/>
        </w:rPr>
        <w:t>8</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eastAsia="zh-CN"/>
        </w:rPr>
        <w:t>管沟开挖横断面</w:t>
      </w:r>
      <w:r>
        <w:rPr>
          <w:rFonts w:hint="default" w:ascii="Times New Roman" w:hAnsi="Times New Roman" w:eastAsia="仿宋_GB2312" w:cs="Times New Roman"/>
          <w:color w:val="auto"/>
          <w:sz w:val="24"/>
          <w:szCs w:val="24"/>
          <w:highlight w:val="none"/>
        </w:rPr>
        <w:t>典型设计图；</w:t>
      </w:r>
    </w:p>
    <w:p>
      <w:pPr>
        <w:ind w:firstLine="480"/>
        <w:rPr>
          <w:color w:val="auto"/>
          <w:highlight w:val="none"/>
        </w:rPr>
      </w:pPr>
    </w:p>
    <w:p>
      <w:pPr>
        <w:ind w:firstLine="480"/>
        <w:rPr>
          <w:color w:val="auto"/>
          <w:highlight w:val="none"/>
        </w:rPr>
      </w:pPr>
    </w:p>
    <w:p>
      <w:pPr>
        <w:ind w:firstLine="480"/>
        <w:rPr>
          <w:color w:val="auto"/>
          <w:highlight w:val="none"/>
        </w:rPr>
        <w:sectPr>
          <w:headerReference r:id="rId15" w:type="default"/>
          <w:footerReference r:id="rId16" w:type="default"/>
          <w:pgSz w:w="11906" w:h="16838"/>
          <w:pgMar w:top="1440" w:right="1531" w:bottom="1440" w:left="1531" w:header="851" w:footer="992" w:gutter="0"/>
          <w:pgBorders>
            <w:top w:val="none" w:sz="0" w:space="0"/>
            <w:left w:val="none" w:sz="0" w:space="0"/>
            <w:bottom w:val="none" w:sz="0" w:space="0"/>
            <w:right w:val="none" w:sz="0" w:space="0"/>
          </w:pgBorders>
          <w:pgNumType w:fmt="upperRoman" w:start="1" w:chapStyle="1"/>
          <w:cols w:space="720" w:num="1"/>
          <w:docGrid w:linePitch="312" w:charSpace="0"/>
        </w:sectPr>
      </w:pPr>
      <w:bookmarkStart w:id="16" w:name="_Toc437269299"/>
    </w:p>
    <w:p>
      <w:pPr>
        <w:pStyle w:val="65"/>
        <w:rPr>
          <w:color w:val="auto"/>
          <w:highlight w:val="none"/>
        </w:rPr>
      </w:pPr>
      <w:bookmarkStart w:id="17" w:name="_Toc14349"/>
      <w:r>
        <w:rPr>
          <w:color w:val="auto"/>
          <w:highlight w:val="none"/>
        </w:rPr>
        <w:t>1 综合说明</w:t>
      </w:r>
      <w:bookmarkEnd w:id="0"/>
      <w:bookmarkEnd w:id="16"/>
      <w:bookmarkEnd w:id="17"/>
    </w:p>
    <w:p>
      <w:pPr>
        <w:pStyle w:val="66"/>
        <w:rPr>
          <w:color w:val="auto"/>
          <w:highlight w:val="none"/>
        </w:rPr>
      </w:pPr>
      <w:bookmarkStart w:id="18" w:name="_Toc198879318"/>
      <w:bookmarkStart w:id="19" w:name="_Toc198990052"/>
      <w:bookmarkStart w:id="20" w:name="_Toc198879108"/>
      <w:bookmarkStart w:id="21" w:name="_Toc162326791"/>
      <w:bookmarkStart w:id="22" w:name="_Toc198879555"/>
      <w:bookmarkStart w:id="23" w:name="_Toc168888752"/>
      <w:bookmarkStart w:id="24" w:name="_Toc204083327"/>
      <w:bookmarkStart w:id="25" w:name="_Toc181347827"/>
      <w:bookmarkStart w:id="26" w:name="_Toc169012205"/>
      <w:bookmarkStart w:id="27" w:name="_Toc198989709"/>
      <w:bookmarkStart w:id="28" w:name="_Toc204572529"/>
      <w:bookmarkStart w:id="29" w:name="_Toc282985257"/>
      <w:bookmarkStart w:id="30" w:name="_Toc417412290"/>
      <w:bookmarkStart w:id="31" w:name="_Toc334008411"/>
      <w:bookmarkStart w:id="32" w:name="_Toc221895964"/>
      <w:bookmarkStart w:id="33" w:name="_Toc209160997"/>
      <w:bookmarkStart w:id="34" w:name="_Toc221896088"/>
      <w:bookmarkStart w:id="35" w:name="_Toc207625491"/>
      <w:bookmarkStart w:id="36" w:name="_Toc207625675"/>
      <w:bookmarkStart w:id="37" w:name="_Toc281388969"/>
      <w:bookmarkStart w:id="38" w:name="_Toc232508567"/>
      <w:bookmarkStart w:id="39" w:name="_Toc209161094"/>
      <w:bookmarkStart w:id="40" w:name="_Toc225781495"/>
      <w:bookmarkStart w:id="41" w:name="_Toc207700347"/>
      <w:bookmarkStart w:id="42" w:name="_Toc204752353"/>
      <w:bookmarkStart w:id="43" w:name="_Toc221895757"/>
      <w:bookmarkStart w:id="44" w:name="_Toc286261298"/>
      <w:bookmarkStart w:id="45" w:name="_Toc212541491"/>
      <w:bookmarkStart w:id="46" w:name="_Toc28973"/>
      <w:r>
        <w:rPr>
          <w:color w:val="auto"/>
          <w:highlight w:val="none"/>
        </w:rPr>
        <w:t>1.1</w:t>
      </w:r>
      <w:bookmarkEnd w:id="18"/>
      <w:bookmarkEnd w:id="19"/>
      <w:bookmarkEnd w:id="20"/>
      <w:bookmarkEnd w:id="21"/>
      <w:bookmarkEnd w:id="22"/>
      <w:bookmarkEnd w:id="23"/>
      <w:bookmarkEnd w:id="24"/>
      <w:bookmarkEnd w:id="25"/>
      <w:bookmarkEnd w:id="26"/>
      <w:bookmarkEnd w:id="27"/>
      <w:r>
        <w:rPr>
          <w:color w:val="auto"/>
          <w:highlight w:val="none"/>
        </w:rPr>
        <w:t xml:space="preserve">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color w:val="auto"/>
          <w:highlight w:val="none"/>
        </w:rPr>
        <w:t>项目简况</w:t>
      </w:r>
      <w:bookmarkEnd w:id="46"/>
    </w:p>
    <w:p>
      <w:pPr>
        <w:pStyle w:val="69"/>
        <w:rPr>
          <w:color w:val="auto"/>
          <w:highlight w:val="none"/>
        </w:rPr>
      </w:pPr>
      <w:r>
        <w:rPr>
          <w:color w:val="auto"/>
          <w:highlight w:val="none"/>
        </w:rPr>
        <w:t>1.1.1 项目基本情况</w:t>
      </w:r>
    </w:p>
    <w:p>
      <w:pPr>
        <w:pStyle w:val="72"/>
        <w:rPr>
          <w:color w:val="auto"/>
          <w:highlight w:val="none"/>
        </w:rPr>
      </w:pPr>
      <w:r>
        <w:rPr>
          <w:color w:val="auto"/>
          <w:highlight w:val="none"/>
        </w:rPr>
        <w:t>1.1.1.1 项目建设必要性</w:t>
      </w:r>
    </w:p>
    <w:p>
      <w:pPr>
        <w:pStyle w:val="56"/>
        <w:ind w:firstLine="480"/>
        <w:rPr>
          <w:color w:val="auto"/>
          <w:highlight w:val="none"/>
        </w:rPr>
      </w:pPr>
      <w:r>
        <w:rPr>
          <w:color w:val="auto"/>
          <w:highlight w:val="none"/>
        </w:rPr>
        <w:t>随着社会经济的发展，世界各地因工业化推进城市化，城市化伴经济、人口和用地规模的扩大，城市中出现了一系列随着的经济问题、社会问题和环境问题。主要表现为：绿地面积少，城市环境质量差;交通拥挤，居住条件差；就业困难、失业人数增多、治安问题；贫困、内城衰落、人口老龄化、传统文化风貌破坏。建设城市新区，成为现代城市发展的必然选择。城市新区具有自我的独立性，又依托于城市整体；具有自我的城市功能又与旧城区功能相辅相成；一个立足于</w:t>
      </w:r>
      <w:r>
        <w:rPr>
          <w:color w:val="auto"/>
          <w:highlight w:val="none"/>
        </w:rPr>
        <w:fldChar w:fldCharType="begin"/>
      </w:r>
      <w:r>
        <w:rPr>
          <w:color w:val="auto"/>
          <w:highlight w:val="none"/>
        </w:rPr>
        <w:instrText xml:space="preserve"> HYPERLINK "https://baike.baidu.com/item/%E9%83%8A%E5%8C%BA%E5%8C%96" \t "_blank" </w:instrText>
      </w:r>
      <w:r>
        <w:rPr>
          <w:color w:val="auto"/>
          <w:highlight w:val="none"/>
        </w:rPr>
        <w:fldChar w:fldCharType="separate"/>
      </w:r>
      <w:r>
        <w:rPr>
          <w:rStyle w:val="34"/>
          <w:color w:val="auto"/>
          <w:highlight w:val="none"/>
          <w:u w:val="none"/>
        </w:rPr>
        <w:t>郊区化</w:t>
      </w:r>
      <w:r>
        <w:rPr>
          <w:rStyle w:val="34"/>
          <w:color w:val="auto"/>
          <w:highlight w:val="none"/>
          <w:u w:val="none"/>
        </w:rPr>
        <w:fldChar w:fldCharType="end"/>
      </w:r>
      <w:r>
        <w:rPr>
          <w:color w:val="auto"/>
          <w:highlight w:val="none"/>
        </w:rPr>
        <w:t>是指地处郊区范围，分担老城区的部分功能，相对于城市传统的中心区、乡村地区，在地域空间上具有相对明确的发展界限的集中城市化区域，具有完整性和独立性的特征的城市功能形态称之为城市新区城市新区无论是在空间上、还是在社会组织管理系统上都存在可感知和可被认同的界线，是城市复杂大系统下的一个子系统，有利于促进人口迁移，促进老城区改造，加快城市整体建设的步伐。</w:t>
      </w:r>
    </w:p>
    <w:p>
      <w:pPr>
        <w:pStyle w:val="56"/>
        <w:ind w:firstLine="480"/>
        <w:rPr>
          <w:color w:val="auto"/>
          <w:highlight w:val="none"/>
        </w:rPr>
      </w:pPr>
      <w:r>
        <w:rPr>
          <w:rFonts w:hint="eastAsia"/>
          <w:color w:val="auto"/>
          <w:highlight w:val="none"/>
          <w:lang w:eastAsia="zh-CN"/>
        </w:rPr>
        <w:t>伊宁</w:t>
      </w:r>
      <w:r>
        <w:rPr>
          <w:color w:val="auto"/>
          <w:highlight w:val="none"/>
        </w:rPr>
        <w:t>县是我国西部边疆少数民族的老城区，受历史遗留问题的影响，老城区集中集中连片棚户区较多，区域内棚户区危房数量大、配套基础设施差，居民居住条件及环境恶劣，区域布局混乱现象突出。受资金等条件限制，</w:t>
      </w:r>
      <w:r>
        <w:rPr>
          <w:rFonts w:hint="eastAsia"/>
          <w:color w:val="auto"/>
          <w:highlight w:val="none"/>
          <w:lang w:eastAsia="zh-CN"/>
        </w:rPr>
        <w:t>伊宁</w:t>
      </w:r>
      <w:r>
        <w:rPr>
          <w:color w:val="auto"/>
          <w:highlight w:val="none"/>
        </w:rPr>
        <w:t>县棚户区改造进度步伐缓慢，区域现状严重影响着各民族生命财产安全，制约着</w:t>
      </w:r>
      <w:r>
        <w:rPr>
          <w:rFonts w:hint="eastAsia"/>
          <w:color w:val="auto"/>
          <w:highlight w:val="none"/>
          <w:lang w:eastAsia="zh-CN"/>
        </w:rPr>
        <w:t>伊宁</w:t>
      </w:r>
      <w:r>
        <w:rPr>
          <w:color w:val="auto"/>
          <w:highlight w:val="none"/>
        </w:rPr>
        <w:t>县新型城镇化的建设步伐。同时</w:t>
      </w:r>
      <w:r>
        <w:rPr>
          <w:rFonts w:hint="eastAsia"/>
          <w:color w:val="auto"/>
          <w:highlight w:val="none"/>
          <w:lang w:eastAsia="zh-CN"/>
        </w:rPr>
        <w:t>伊宁</w:t>
      </w:r>
      <w:r>
        <w:rPr>
          <w:color w:val="auto"/>
          <w:highlight w:val="none"/>
        </w:rPr>
        <w:t>县为相应新型城镇化建设的号召，开发建设新区，现阶段道路、学校、各类设施等基础设施建设完善，为加快新区建设，政府鼓励地区房地产开发建设，完善区域人居环境及相应住房建设，缓解老城区人口住房压力，给棚户区改造、拆迁带来一定契机，间接促进区域老城区改造，加快新型城镇化建设。现阶段</w:t>
      </w:r>
      <w:r>
        <w:rPr>
          <w:rFonts w:hint="eastAsia"/>
          <w:color w:val="auto"/>
          <w:highlight w:val="none"/>
          <w:lang w:eastAsia="zh-CN"/>
        </w:rPr>
        <w:t>伊宁县书香·雅居</w:t>
      </w:r>
      <w:r>
        <w:rPr>
          <w:color w:val="auto"/>
          <w:highlight w:val="none"/>
        </w:rPr>
        <w:t>建设项目区周边建成的小区较少，大部分仍为空地，因此本项目建设有利于加快新区城镇化建设，建成后将促进老城区人口移居新区，加快新区聚集人口数量的步伐，促进新区建设。</w:t>
      </w:r>
    </w:p>
    <w:p>
      <w:pPr>
        <w:pStyle w:val="56"/>
        <w:ind w:firstLine="480"/>
        <w:rPr>
          <w:color w:val="auto"/>
          <w:highlight w:val="none"/>
        </w:rPr>
      </w:pPr>
      <w:r>
        <w:rPr>
          <w:color w:val="auto"/>
          <w:highlight w:val="none"/>
        </w:rPr>
        <w:t>综上所述，</w:t>
      </w:r>
      <w:r>
        <w:rPr>
          <w:rFonts w:hint="eastAsia"/>
          <w:color w:val="auto"/>
          <w:highlight w:val="none"/>
          <w:lang w:eastAsia="zh-CN"/>
        </w:rPr>
        <w:t>伊宁县书香·雅居</w:t>
      </w:r>
      <w:r>
        <w:rPr>
          <w:color w:val="auto"/>
          <w:highlight w:val="none"/>
        </w:rPr>
        <w:t>建设项目的建设有利于节约有限资源，提高资源利用率，带动周边产业发展，带动区域的经济社会发展，加快新区建设，加快</w:t>
      </w:r>
      <w:r>
        <w:rPr>
          <w:rFonts w:hint="eastAsia"/>
          <w:color w:val="auto"/>
          <w:highlight w:val="none"/>
          <w:lang w:eastAsia="zh-CN"/>
        </w:rPr>
        <w:t>伊宁</w:t>
      </w:r>
      <w:r>
        <w:rPr>
          <w:color w:val="auto"/>
          <w:highlight w:val="none"/>
        </w:rPr>
        <w:t>县新型城镇化建设的步伐。因此</w:t>
      </w:r>
      <w:r>
        <w:rPr>
          <w:rFonts w:hint="eastAsia"/>
          <w:color w:val="auto"/>
          <w:highlight w:val="none"/>
          <w:lang w:eastAsia="zh-CN"/>
        </w:rPr>
        <w:t>伊宁县书香·雅居</w:t>
      </w:r>
      <w:r>
        <w:rPr>
          <w:color w:val="auto"/>
          <w:highlight w:val="none"/>
        </w:rPr>
        <w:t>建设项目的建设是必要的。</w:t>
      </w:r>
    </w:p>
    <w:p>
      <w:pPr>
        <w:pStyle w:val="72"/>
        <w:rPr>
          <w:color w:val="auto"/>
          <w:highlight w:val="none"/>
        </w:rPr>
      </w:pPr>
      <w:r>
        <w:rPr>
          <w:color w:val="auto"/>
          <w:highlight w:val="none"/>
        </w:rPr>
        <w:t>1.1.1.2 地理位置</w:t>
      </w:r>
    </w:p>
    <w:p>
      <w:pPr>
        <w:pStyle w:val="56"/>
        <w:ind w:firstLine="480"/>
        <w:rPr>
          <w:color w:val="auto"/>
          <w:highlight w:val="none"/>
        </w:rPr>
      </w:pPr>
      <w:r>
        <w:rPr>
          <w:color w:val="auto"/>
          <w:highlight w:val="none"/>
        </w:rPr>
        <w:t>本项目位于</w:t>
      </w:r>
      <w:r>
        <w:rPr>
          <w:rFonts w:hint="eastAsia"/>
          <w:color w:val="auto"/>
          <w:highlight w:val="none"/>
          <w:lang w:eastAsia="zh-CN"/>
        </w:rPr>
        <w:t>伊宁县公安局以南，新城路以北，文明路以东，703乡道以西，距离伊宁县县中心2.25km</w:t>
      </w:r>
      <w:r>
        <w:rPr>
          <w:color w:val="auto"/>
          <w:highlight w:val="none"/>
        </w:rPr>
        <w:t>。项目区场地周边地势平坦，交通便利，形状比较规整</w:t>
      </w:r>
      <w:r>
        <w:rPr>
          <w:rFonts w:hint="eastAsia"/>
          <w:color w:val="auto"/>
          <w:highlight w:val="none"/>
          <w:lang w:eastAsia="zh-CN"/>
        </w:rPr>
        <w:t>，中心地理坐标为东经81°49′93.13″、北纬43°96′76.00″</w:t>
      </w:r>
      <w:r>
        <w:rPr>
          <w:color w:val="auto"/>
          <w:highlight w:val="none"/>
        </w:rPr>
        <w:t>。具体见项目区地理位置图。</w:t>
      </w:r>
    </w:p>
    <w:p>
      <w:pPr>
        <w:pStyle w:val="72"/>
        <w:rPr>
          <w:color w:val="auto"/>
          <w:highlight w:val="none"/>
        </w:rPr>
      </w:pPr>
      <w:r>
        <w:rPr>
          <w:color w:val="auto"/>
          <w:highlight w:val="none"/>
        </w:rPr>
        <w:t>1.1.1.3 基本情况</w:t>
      </w:r>
    </w:p>
    <w:p>
      <w:pPr>
        <w:pStyle w:val="56"/>
        <w:ind w:firstLine="480"/>
        <w:rPr>
          <w:color w:val="auto"/>
          <w:highlight w:val="none"/>
        </w:rPr>
      </w:pPr>
      <w:r>
        <w:rPr>
          <w:rFonts w:hint="eastAsia"/>
          <w:color w:val="auto"/>
          <w:highlight w:val="none"/>
          <w:lang w:eastAsia="zh-CN"/>
        </w:rPr>
        <w:t>伊宁县书香·雅居</w:t>
      </w:r>
      <w:r>
        <w:rPr>
          <w:color w:val="auto"/>
          <w:highlight w:val="none"/>
        </w:rPr>
        <w:t>建设项目为新建建设类项目，建设单位为</w:t>
      </w:r>
      <w:r>
        <w:rPr>
          <w:rFonts w:hint="eastAsia"/>
          <w:color w:val="auto"/>
          <w:highlight w:val="none"/>
          <w:lang w:eastAsia="zh-CN"/>
        </w:rPr>
        <w:t>伊宁县城市保障性住房投资建设管理有限公司</w:t>
      </w:r>
      <w:r>
        <w:rPr>
          <w:color w:val="auto"/>
          <w:highlight w:val="none"/>
        </w:rPr>
        <w:t>。</w:t>
      </w:r>
    </w:p>
    <w:p>
      <w:pPr>
        <w:pStyle w:val="56"/>
        <w:ind w:firstLine="480"/>
        <w:rPr>
          <w:color w:val="auto"/>
          <w:highlight w:val="none"/>
        </w:rPr>
      </w:pPr>
      <w:r>
        <w:rPr>
          <w:rFonts w:hint="default" w:ascii="Times New Roman" w:hAnsi="Times New Roman" w:eastAsia="仿宋_GB2312" w:cs="Times New Roman"/>
          <w:color w:val="auto"/>
          <w:highlight w:val="none"/>
        </w:rPr>
        <w:t>本项目</w:t>
      </w:r>
      <w:r>
        <w:rPr>
          <w:rFonts w:hint="default" w:ascii="Times New Roman" w:hAnsi="Times New Roman" w:eastAsia="仿宋_GB2312" w:cs="Times New Roman"/>
          <w:color w:val="auto"/>
          <w:highlight w:val="none"/>
          <w:lang w:eastAsia="zh-CN"/>
        </w:rPr>
        <w:t>总</w:t>
      </w:r>
      <w:r>
        <w:rPr>
          <w:rFonts w:hint="default" w:ascii="Times New Roman" w:hAnsi="Times New Roman" w:eastAsia="仿宋_GB2312" w:cs="Times New Roman"/>
          <w:color w:val="auto"/>
          <w:highlight w:val="none"/>
        </w:rPr>
        <w:t>建筑面积为</w:t>
      </w:r>
      <w:r>
        <w:rPr>
          <w:rFonts w:hint="default" w:ascii="Times New Roman" w:hAnsi="Times New Roman" w:eastAsia="仿宋_GB2312" w:cs="Times New Roman"/>
          <w:color w:val="auto"/>
          <w:highlight w:val="none"/>
          <w:lang w:val="en-US" w:eastAsia="zh-CN"/>
        </w:rPr>
        <w:t>38913</w:t>
      </w:r>
      <w:r>
        <w:rPr>
          <w:rFonts w:hint="default" w:ascii="Times New Roman" w:hAnsi="Times New Roman" w:eastAsia="仿宋_GB2312" w:cs="Times New Roman"/>
          <w:color w:val="auto"/>
          <w:highlight w:val="none"/>
        </w:rPr>
        <w:t>m²（主要包括9栋多层住宅楼、</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rPr>
        <w:t>栋商业楼</w:t>
      </w:r>
      <w:r>
        <w:rPr>
          <w:rFonts w:hint="default" w:ascii="Times New Roman" w:hAnsi="Times New Roman" w:eastAsia="仿宋_GB2312" w:cs="Times New Roman"/>
          <w:color w:val="auto"/>
          <w:highlight w:val="none"/>
          <w:lang w:eastAsia="zh-CN"/>
        </w:rPr>
        <w:t>、警卫室、垃圾收集站、天然气调压站</w:t>
      </w:r>
      <w:r>
        <w:rPr>
          <w:rFonts w:hint="default" w:ascii="Times New Roman" w:hAnsi="Times New Roman" w:eastAsia="仿宋_GB2312" w:cs="Times New Roman"/>
          <w:color w:val="auto"/>
          <w:highlight w:val="none"/>
        </w:rPr>
        <w:t>），包括9栋住宅</w:t>
      </w:r>
      <w:r>
        <w:rPr>
          <w:rFonts w:hint="default" w:ascii="Times New Roman" w:hAnsi="Times New Roman" w:eastAsia="仿宋_GB2312" w:cs="Times New Roman"/>
          <w:color w:val="auto"/>
          <w:highlight w:val="none"/>
          <w:lang w:eastAsia="zh-CN"/>
        </w:rPr>
        <w:t>地上</w:t>
      </w:r>
      <w:r>
        <w:rPr>
          <w:rFonts w:hint="default" w:ascii="Times New Roman" w:hAnsi="Times New Roman" w:eastAsia="仿宋_GB2312" w:cs="Times New Roman"/>
          <w:color w:val="auto"/>
          <w:highlight w:val="none"/>
        </w:rPr>
        <w:t>建筑面积2</w:t>
      </w:r>
      <w:r>
        <w:rPr>
          <w:rFonts w:hint="default" w:ascii="Times New Roman" w:hAnsi="Times New Roman" w:eastAsia="仿宋_GB2312" w:cs="Times New Roman"/>
          <w:color w:val="auto"/>
          <w:highlight w:val="none"/>
          <w:lang w:val="en-US" w:eastAsia="zh-CN"/>
        </w:rPr>
        <w:t>6988</w:t>
      </w:r>
      <w:r>
        <w:rPr>
          <w:rFonts w:hint="default" w:ascii="Times New Roman" w:hAnsi="Times New Roman" w:eastAsia="仿宋_GB2312" w:cs="Times New Roman"/>
          <w:color w:val="auto"/>
          <w:highlight w:val="none"/>
        </w:rPr>
        <w:t>m²，</w:t>
      </w:r>
      <w:r>
        <w:rPr>
          <w:rFonts w:hint="default" w:ascii="Times New Roman" w:hAnsi="Times New Roman" w:eastAsia="仿宋_GB2312" w:cs="Times New Roman"/>
          <w:color w:val="auto"/>
          <w:highlight w:val="none"/>
          <w:lang w:eastAsia="zh-CN"/>
        </w:rPr>
        <w:t>地下</w:t>
      </w:r>
      <w:r>
        <w:rPr>
          <w:rFonts w:hint="default" w:ascii="Times New Roman" w:hAnsi="Times New Roman" w:eastAsia="仿宋_GB2312" w:cs="Times New Roman"/>
          <w:color w:val="auto"/>
          <w:highlight w:val="none"/>
        </w:rPr>
        <w:t>建筑面积</w:t>
      </w:r>
      <w:r>
        <w:rPr>
          <w:rFonts w:hint="default" w:ascii="Times New Roman" w:hAnsi="Times New Roman" w:eastAsia="仿宋_GB2312" w:cs="Times New Roman"/>
          <w:color w:val="auto"/>
          <w:highlight w:val="none"/>
          <w:lang w:val="en-US" w:eastAsia="zh-CN"/>
        </w:rPr>
        <w:t>4383</w:t>
      </w:r>
      <w:r>
        <w:rPr>
          <w:rFonts w:hint="default" w:ascii="Times New Roman" w:hAnsi="Times New Roman" w:eastAsia="仿宋_GB2312" w:cs="Times New Roman"/>
          <w:color w:val="auto"/>
          <w:highlight w:val="none"/>
        </w:rPr>
        <w:t>m²</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rPr>
        <w:t>栋商业</w:t>
      </w:r>
      <w:r>
        <w:rPr>
          <w:rFonts w:hint="default" w:ascii="Times New Roman" w:hAnsi="Times New Roman" w:eastAsia="仿宋_GB2312" w:cs="Times New Roman"/>
          <w:color w:val="auto"/>
          <w:highlight w:val="none"/>
          <w:lang w:eastAsia="zh-CN"/>
        </w:rPr>
        <w:t>楼地上</w:t>
      </w:r>
      <w:r>
        <w:rPr>
          <w:rFonts w:hint="default" w:ascii="Times New Roman" w:hAnsi="Times New Roman" w:eastAsia="仿宋_GB2312" w:cs="Times New Roman"/>
          <w:color w:val="auto"/>
          <w:highlight w:val="none"/>
        </w:rPr>
        <w:t>建筑面积</w:t>
      </w:r>
      <w:r>
        <w:rPr>
          <w:rFonts w:hint="default" w:ascii="Times New Roman" w:hAnsi="Times New Roman" w:eastAsia="仿宋_GB2312" w:cs="Times New Roman"/>
          <w:color w:val="auto"/>
          <w:highlight w:val="none"/>
          <w:lang w:val="en-US" w:eastAsia="zh-CN"/>
        </w:rPr>
        <w:t>6945</w:t>
      </w:r>
      <w:r>
        <w:rPr>
          <w:rFonts w:hint="default" w:ascii="Times New Roman" w:hAnsi="Times New Roman" w:eastAsia="仿宋_GB2312" w:cs="Times New Roman"/>
          <w:color w:val="auto"/>
          <w:highlight w:val="none"/>
        </w:rPr>
        <w:t>m²；地下建筑面积</w:t>
      </w:r>
      <w:r>
        <w:rPr>
          <w:rFonts w:hint="default" w:ascii="Times New Roman" w:hAnsi="Times New Roman" w:eastAsia="仿宋_GB2312" w:cs="Times New Roman"/>
          <w:color w:val="auto"/>
          <w:highlight w:val="none"/>
          <w:lang w:val="en-US" w:eastAsia="zh-CN"/>
        </w:rPr>
        <w:t>560</w:t>
      </w:r>
      <w:r>
        <w:rPr>
          <w:rFonts w:hint="default" w:ascii="Times New Roman" w:hAnsi="Times New Roman" w:eastAsia="仿宋_GB2312" w:cs="Times New Roman"/>
          <w:color w:val="auto"/>
          <w:highlight w:val="none"/>
        </w:rPr>
        <w:t>m²</w:t>
      </w:r>
      <w:r>
        <w:rPr>
          <w:rFonts w:hint="eastAsia" w:cs="Times New Roman"/>
          <w:color w:val="auto"/>
          <w:highlight w:val="none"/>
          <w:lang w:eastAsia="zh-CN"/>
        </w:rPr>
        <w:t>（注：</w:t>
      </w:r>
      <w:r>
        <w:rPr>
          <w:rFonts w:hint="eastAsia" w:cs="Times New Roman"/>
          <w:color w:val="auto"/>
          <w:highlight w:val="none"/>
          <w:lang w:val="en-US" w:eastAsia="zh-CN"/>
        </w:rPr>
        <w:t>2#商业楼地下部分为消防水池、消防泵房、配电室</w:t>
      </w:r>
      <w:r>
        <w:rPr>
          <w:rFonts w:hint="eastAsia" w:cs="Times New Roman"/>
          <w:color w:val="auto"/>
          <w:highlight w:val="none"/>
          <w:lang w:eastAsia="zh-CN"/>
        </w:rPr>
        <w:t>）</w:t>
      </w:r>
      <w:r>
        <w:rPr>
          <w:rFonts w:hint="default" w:ascii="Times New Roman" w:hAnsi="Times New Roman" w:eastAsia="仿宋_GB2312" w:cs="Times New Roman"/>
          <w:color w:val="auto"/>
          <w:highlight w:val="none"/>
          <w:lang w:eastAsia="zh-CN"/>
        </w:rPr>
        <w:t>；警卫室建筑面积</w:t>
      </w:r>
      <w:r>
        <w:rPr>
          <w:rFonts w:hint="default" w:ascii="Times New Roman" w:hAnsi="Times New Roman" w:eastAsia="仿宋_GB2312" w:cs="Times New Roman"/>
          <w:color w:val="auto"/>
          <w:highlight w:val="none"/>
          <w:lang w:val="en-US" w:eastAsia="zh-CN"/>
        </w:rPr>
        <w:t>12</w:t>
      </w:r>
      <w:r>
        <w:rPr>
          <w:rFonts w:hint="default" w:ascii="Times New Roman" w:hAnsi="Times New Roman" w:eastAsia="仿宋_GB2312" w:cs="Times New Roman"/>
          <w:color w:val="auto"/>
          <w:highlight w:val="none"/>
        </w:rPr>
        <w:t>m²，</w:t>
      </w:r>
      <w:r>
        <w:rPr>
          <w:rFonts w:hint="default" w:ascii="Times New Roman" w:hAnsi="Times New Roman" w:eastAsia="仿宋_GB2312" w:cs="Times New Roman"/>
          <w:color w:val="auto"/>
          <w:highlight w:val="none"/>
          <w:lang w:eastAsia="zh-CN"/>
        </w:rPr>
        <w:t>垃圾收集点</w:t>
      </w:r>
      <w:r>
        <w:rPr>
          <w:rFonts w:hint="default" w:ascii="Times New Roman" w:hAnsi="Times New Roman" w:eastAsia="仿宋_GB2312" w:cs="Times New Roman"/>
          <w:color w:val="auto"/>
          <w:highlight w:val="none"/>
          <w:lang w:val="en-US" w:eastAsia="zh-CN"/>
        </w:rPr>
        <w:t>20</w:t>
      </w:r>
      <w:r>
        <w:rPr>
          <w:rFonts w:hint="default" w:ascii="Times New Roman" w:hAnsi="Times New Roman" w:eastAsia="仿宋_GB2312" w:cs="Times New Roman"/>
          <w:color w:val="auto"/>
          <w:highlight w:val="none"/>
        </w:rPr>
        <w:t>m²</w:t>
      </w:r>
      <w:r>
        <w:rPr>
          <w:rFonts w:hint="default" w:ascii="Times New Roman" w:hAnsi="Times New Roman" w:eastAsia="仿宋_GB2312" w:cs="Times New Roman"/>
          <w:color w:val="auto"/>
          <w:highlight w:val="none"/>
          <w:lang w:eastAsia="zh-CN"/>
        </w:rPr>
        <w:t>，天然气调压站</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rPr>
        <w:t>m²</w:t>
      </w:r>
      <w:r>
        <w:rPr>
          <w:color w:val="auto"/>
          <w:highlight w:val="none"/>
        </w:rPr>
        <w:t>。</w:t>
      </w:r>
    </w:p>
    <w:p>
      <w:pPr>
        <w:pStyle w:val="56"/>
        <w:ind w:firstLine="480"/>
        <w:rPr>
          <w:color w:val="auto"/>
          <w:highlight w:val="none"/>
        </w:rPr>
      </w:pPr>
      <w:r>
        <w:rPr>
          <w:color w:val="auto"/>
          <w:highlight w:val="none"/>
        </w:rPr>
        <w:t>本项目主要由建构筑物区、绿化区、道路及硬化区、管线工程区以及施工生产区组成。项目建设总占地面积</w:t>
      </w:r>
      <w:r>
        <w:rPr>
          <w:rFonts w:hint="eastAsia"/>
          <w:color w:val="auto"/>
          <w:highlight w:val="none"/>
          <w:lang w:val="en-US" w:eastAsia="zh-CN"/>
        </w:rPr>
        <w:t>2.9</w:t>
      </w:r>
      <w:r>
        <w:rPr>
          <w:color w:val="auto"/>
          <w:highlight w:val="none"/>
        </w:rPr>
        <w:t>6hm²，</w:t>
      </w:r>
      <w:r>
        <w:rPr>
          <w:rFonts w:hint="eastAsia"/>
          <w:color w:val="auto"/>
          <w:highlight w:val="none"/>
          <w:lang w:eastAsia="zh-CN"/>
        </w:rPr>
        <w:t>均为</w:t>
      </w:r>
      <w:r>
        <w:rPr>
          <w:color w:val="auto"/>
          <w:highlight w:val="none"/>
        </w:rPr>
        <w:t>永久占地，占地类型为住宅用地。</w:t>
      </w:r>
    </w:p>
    <w:p>
      <w:pPr>
        <w:pStyle w:val="56"/>
        <w:ind w:firstLine="480"/>
        <w:rPr>
          <w:color w:val="auto"/>
          <w:highlight w:val="none"/>
        </w:rPr>
      </w:pPr>
      <w:r>
        <w:rPr>
          <w:color w:val="auto"/>
          <w:highlight w:val="none"/>
        </w:rPr>
        <w:t>根据主体资料，本工程总挖方2.1</w:t>
      </w:r>
      <w:r>
        <w:rPr>
          <w:rFonts w:hint="eastAsia"/>
          <w:color w:val="auto"/>
          <w:highlight w:val="none"/>
          <w:lang w:val="en-US" w:eastAsia="zh-CN"/>
        </w:rPr>
        <w:t>8</w:t>
      </w:r>
      <w:r>
        <w:rPr>
          <w:color w:val="auto"/>
          <w:highlight w:val="none"/>
        </w:rPr>
        <w:t>万m³，填方2.1</w:t>
      </w:r>
      <w:r>
        <w:rPr>
          <w:rFonts w:hint="eastAsia"/>
          <w:color w:val="auto"/>
          <w:highlight w:val="none"/>
          <w:lang w:val="en-US" w:eastAsia="zh-CN"/>
        </w:rPr>
        <w:t>8</w:t>
      </w:r>
      <w:r>
        <w:rPr>
          <w:color w:val="auto"/>
          <w:highlight w:val="none"/>
        </w:rPr>
        <w:t>万m³，无借方，无弃方。涉及土方主要为建构筑物基础和管沟开挖回填。</w:t>
      </w:r>
    </w:p>
    <w:p>
      <w:pPr>
        <w:pStyle w:val="56"/>
        <w:ind w:firstLine="480"/>
        <w:rPr>
          <w:color w:val="auto"/>
          <w:highlight w:val="none"/>
        </w:rPr>
      </w:pPr>
      <w:r>
        <w:rPr>
          <w:color w:val="auto"/>
          <w:highlight w:val="none"/>
        </w:rPr>
        <w:t>项目区占地范围内无居民点以及生产设施等，本项目建设不存在拆迁安置问题。</w:t>
      </w:r>
    </w:p>
    <w:p>
      <w:pPr>
        <w:pStyle w:val="56"/>
        <w:ind w:firstLine="480"/>
        <w:rPr>
          <w:color w:val="auto"/>
          <w:highlight w:val="none"/>
        </w:rPr>
      </w:pPr>
      <w:r>
        <w:rPr>
          <w:color w:val="auto"/>
          <w:highlight w:val="none"/>
        </w:rPr>
        <w:t>本工程已于2020年</w:t>
      </w:r>
      <w:r>
        <w:rPr>
          <w:rFonts w:hint="eastAsia"/>
          <w:color w:val="auto"/>
          <w:highlight w:val="none"/>
          <w:lang w:val="en-US" w:eastAsia="zh-CN"/>
        </w:rPr>
        <w:t>4</w:t>
      </w:r>
      <w:r>
        <w:rPr>
          <w:color w:val="auto"/>
          <w:highlight w:val="none"/>
        </w:rPr>
        <w:t>月开始施工，计划于202</w:t>
      </w:r>
      <w:r>
        <w:rPr>
          <w:rFonts w:hint="eastAsia"/>
          <w:color w:val="auto"/>
          <w:highlight w:val="none"/>
        </w:rPr>
        <w:t>1</w:t>
      </w:r>
      <w:r>
        <w:rPr>
          <w:color w:val="auto"/>
          <w:highlight w:val="none"/>
        </w:rPr>
        <w:t>年</w:t>
      </w:r>
      <w:r>
        <w:rPr>
          <w:rFonts w:hint="eastAsia"/>
          <w:color w:val="auto"/>
          <w:highlight w:val="none"/>
          <w:lang w:val="en-US" w:eastAsia="zh-CN"/>
        </w:rPr>
        <w:t>10</w:t>
      </w:r>
      <w:r>
        <w:rPr>
          <w:color w:val="auto"/>
          <w:highlight w:val="none"/>
        </w:rPr>
        <w:t>月完工，总工期1</w:t>
      </w:r>
      <w:r>
        <w:rPr>
          <w:rFonts w:hint="eastAsia"/>
          <w:color w:val="auto"/>
          <w:highlight w:val="none"/>
          <w:lang w:val="en-US" w:eastAsia="zh-CN"/>
        </w:rPr>
        <w:t>9</w:t>
      </w:r>
      <w:r>
        <w:rPr>
          <w:color w:val="auto"/>
          <w:highlight w:val="none"/>
        </w:rPr>
        <w:t>个月。项目建设总投资</w:t>
      </w:r>
      <w:r>
        <w:rPr>
          <w:rFonts w:hint="eastAsia"/>
          <w:color w:val="auto"/>
          <w:highlight w:val="none"/>
          <w:lang w:eastAsia="zh-CN"/>
        </w:rPr>
        <w:t>11000</w:t>
      </w:r>
      <w:r>
        <w:rPr>
          <w:color w:val="auto"/>
          <w:highlight w:val="none"/>
        </w:rPr>
        <w:t>万元，其中土建投资</w:t>
      </w:r>
      <w:r>
        <w:rPr>
          <w:rFonts w:hint="eastAsia"/>
          <w:color w:val="auto"/>
          <w:highlight w:val="none"/>
          <w:lang w:eastAsia="zh-CN"/>
        </w:rPr>
        <w:t>6600</w:t>
      </w:r>
      <w:r>
        <w:rPr>
          <w:color w:val="auto"/>
          <w:highlight w:val="none"/>
        </w:rPr>
        <w:t>万元，均由建设单位自筹解决。</w:t>
      </w:r>
    </w:p>
    <w:p>
      <w:pPr>
        <w:pStyle w:val="69"/>
        <w:rPr>
          <w:color w:val="auto"/>
          <w:highlight w:val="none"/>
        </w:rPr>
      </w:pPr>
      <w:r>
        <w:rPr>
          <w:color w:val="auto"/>
          <w:highlight w:val="none"/>
        </w:rPr>
        <w:t>1.1.2 项目前期工作情况进展</w:t>
      </w:r>
    </w:p>
    <w:p>
      <w:pPr>
        <w:pStyle w:val="56"/>
        <w:ind w:firstLine="480"/>
        <w:rPr>
          <w:color w:val="auto"/>
          <w:highlight w:val="none"/>
        </w:rPr>
      </w:pPr>
      <w:r>
        <w:rPr>
          <w:color w:val="auto"/>
          <w:highlight w:val="none"/>
        </w:rPr>
        <w:t>（1）项目前期工作情况</w:t>
      </w:r>
    </w:p>
    <w:p>
      <w:pPr>
        <w:pStyle w:val="56"/>
        <w:ind w:firstLine="480"/>
        <w:rPr>
          <w:color w:val="auto"/>
          <w:highlight w:val="none"/>
        </w:rPr>
      </w:pPr>
      <w:r>
        <w:rPr>
          <w:color w:val="auto"/>
          <w:highlight w:val="none"/>
        </w:rPr>
        <w:t>建设单位</w:t>
      </w:r>
      <w:r>
        <w:rPr>
          <w:rFonts w:hint="eastAsia"/>
          <w:color w:val="auto"/>
          <w:highlight w:val="none"/>
          <w:lang w:eastAsia="zh-CN"/>
        </w:rPr>
        <w:t>伊宁县城市保障性住房投资建设管理有限公司</w:t>
      </w:r>
      <w:r>
        <w:rPr>
          <w:color w:val="auto"/>
          <w:highlight w:val="none"/>
        </w:rPr>
        <w:t>委托</w:t>
      </w:r>
      <w:r>
        <w:rPr>
          <w:rFonts w:hint="eastAsia"/>
          <w:color w:val="auto"/>
          <w:highlight w:val="none"/>
        </w:rPr>
        <w:t>伊犁鼎轩建筑设计院有限公司</w:t>
      </w:r>
      <w:r>
        <w:rPr>
          <w:color w:val="auto"/>
          <w:highlight w:val="none"/>
        </w:rPr>
        <w:t>完成</w:t>
      </w:r>
      <w:r>
        <w:rPr>
          <w:rFonts w:hint="eastAsia"/>
          <w:color w:val="auto"/>
          <w:highlight w:val="none"/>
          <w:lang w:eastAsia="zh-CN"/>
        </w:rPr>
        <w:t>本项目</w:t>
      </w:r>
      <w:r>
        <w:rPr>
          <w:color w:val="auto"/>
          <w:highlight w:val="none"/>
        </w:rPr>
        <w:t>总平面布置图及配套设施图设计。</w:t>
      </w:r>
    </w:p>
    <w:p>
      <w:pPr>
        <w:pStyle w:val="56"/>
        <w:ind w:firstLine="480"/>
        <w:rPr>
          <w:color w:val="auto"/>
          <w:highlight w:val="none"/>
        </w:rPr>
      </w:pPr>
      <w:r>
        <w:rPr>
          <w:color w:val="auto"/>
          <w:highlight w:val="none"/>
        </w:rPr>
        <w:t>建设单位</w:t>
      </w:r>
      <w:r>
        <w:rPr>
          <w:rFonts w:hint="eastAsia"/>
          <w:color w:val="auto"/>
          <w:highlight w:val="none"/>
          <w:lang w:eastAsia="zh-CN"/>
        </w:rPr>
        <w:t>伊宁县城市保障性住房投资建设管理有限公司</w:t>
      </w:r>
      <w:r>
        <w:rPr>
          <w:color w:val="auto"/>
          <w:highlight w:val="none"/>
        </w:rPr>
        <w:t>于20</w:t>
      </w:r>
      <w:r>
        <w:rPr>
          <w:rFonts w:hint="eastAsia"/>
          <w:color w:val="auto"/>
          <w:highlight w:val="none"/>
          <w:lang w:val="en-US" w:eastAsia="zh-CN"/>
        </w:rPr>
        <w:t>19</w:t>
      </w:r>
      <w:r>
        <w:rPr>
          <w:color w:val="auto"/>
          <w:highlight w:val="none"/>
        </w:rPr>
        <w:t>年1</w:t>
      </w:r>
      <w:r>
        <w:rPr>
          <w:rFonts w:hint="eastAsia"/>
          <w:color w:val="auto"/>
          <w:highlight w:val="none"/>
          <w:lang w:val="en-US" w:eastAsia="zh-CN"/>
        </w:rPr>
        <w:t>0</w:t>
      </w:r>
      <w:r>
        <w:rPr>
          <w:color w:val="auto"/>
          <w:highlight w:val="none"/>
        </w:rPr>
        <w:t>月取得</w:t>
      </w:r>
      <w:r>
        <w:rPr>
          <w:rFonts w:hint="eastAsia"/>
          <w:color w:val="auto"/>
          <w:highlight w:val="none"/>
          <w:lang w:eastAsia="zh-CN"/>
        </w:rPr>
        <w:t>伊宁</w:t>
      </w:r>
      <w:r>
        <w:rPr>
          <w:color w:val="auto"/>
          <w:highlight w:val="none"/>
        </w:rPr>
        <w:t>县自然资源局下发的建设用地</w:t>
      </w:r>
      <w:r>
        <w:rPr>
          <w:rFonts w:hint="eastAsia"/>
          <w:color w:val="auto"/>
          <w:highlight w:val="none"/>
          <w:lang w:eastAsia="zh-CN"/>
        </w:rPr>
        <w:t>预审意见</w:t>
      </w:r>
      <w:r>
        <w:rPr>
          <w:color w:val="auto"/>
          <w:highlight w:val="none"/>
        </w:rPr>
        <w:t>，确定建设占地总计2</w:t>
      </w:r>
      <w:r>
        <w:rPr>
          <w:rFonts w:hint="eastAsia"/>
          <w:color w:val="auto"/>
          <w:highlight w:val="none"/>
          <w:lang w:val="en-US" w:eastAsia="zh-CN"/>
        </w:rPr>
        <w:t>9598</w:t>
      </w:r>
      <w:r>
        <w:rPr>
          <w:color w:val="auto"/>
          <w:highlight w:val="none"/>
        </w:rPr>
        <w:t>m</w:t>
      </w:r>
      <w:r>
        <w:rPr>
          <w:rFonts w:eastAsia="宋体"/>
          <w:color w:val="auto"/>
          <w:highlight w:val="none"/>
        </w:rPr>
        <w:t>²</w:t>
      </w:r>
      <w:r>
        <w:rPr>
          <w:color w:val="auto"/>
          <w:highlight w:val="none"/>
        </w:rPr>
        <w:t>。</w:t>
      </w:r>
    </w:p>
    <w:p>
      <w:pPr>
        <w:pStyle w:val="56"/>
        <w:ind w:firstLine="480"/>
        <w:rPr>
          <w:color w:val="auto"/>
          <w:highlight w:val="none"/>
        </w:rPr>
      </w:pPr>
      <w:r>
        <w:rPr>
          <w:color w:val="auto"/>
          <w:highlight w:val="none"/>
        </w:rPr>
        <w:t>建设单位</w:t>
      </w:r>
      <w:r>
        <w:rPr>
          <w:rFonts w:hint="eastAsia"/>
          <w:color w:val="auto"/>
          <w:highlight w:val="none"/>
          <w:lang w:eastAsia="zh-CN"/>
        </w:rPr>
        <w:t>伊宁县城市保障性住房投资建设管理有限公司</w:t>
      </w:r>
      <w:r>
        <w:rPr>
          <w:color w:val="auto"/>
          <w:highlight w:val="none"/>
        </w:rPr>
        <w:t>于2020年</w:t>
      </w:r>
      <w:r>
        <w:rPr>
          <w:rFonts w:hint="eastAsia"/>
          <w:color w:val="auto"/>
          <w:highlight w:val="none"/>
          <w:lang w:val="en-US" w:eastAsia="zh-CN"/>
        </w:rPr>
        <w:t>3</w:t>
      </w:r>
      <w:r>
        <w:rPr>
          <w:color w:val="auto"/>
          <w:highlight w:val="none"/>
        </w:rPr>
        <w:t>月取得</w:t>
      </w:r>
      <w:r>
        <w:rPr>
          <w:rFonts w:hint="eastAsia"/>
          <w:color w:val="auto"/>
          <w:highlight w:val="none"/>
          <w:lang w:eastAsia="zh-CN"/>
        </w:rPr>
        <w:t>伊宁</w:t>
      </w:r>
      <w:r>
        <w:rPr>
          <w:color w:val="auto"/>
          <w:highlight w:val="none"/>
        </w:rPr>
        <w:t>县发展和改革委员会下发的</w:t>
      </w:r>
      <w:r>
        <w:rPr>
          <w:rFonts w:hint="eastAsia"/>
          <w:color w:val="auto"/>
          <w:highlight w:val="none"/>
          <w:lang w:eastAsia="zh-CN"/>
        </w:rPr>
        <w:t>伊宁</w:t>
      </w:r>
      <w:r>
        <w:rPr>
          <w:color w:val="auto"/>
          <w:highlight w:val="none"/>
        </w:rPr>
        <w:t>县企业投资项目登记备案证（</w:t>
      </w:r>
      <w:r>
        <w:rPr>
          <w:rFonts w:hint="eastAsia"/>
          <w:color w:val="auto"/>
          <w:highlight w:val="none"/>
          <w:lang w:eastAsia="zh-CN"/>
        </w:rPr>
        <w:t>伊县发</w:t>
      </w:r>
      <w:r>
        <w:rPr>
          <w:color w:val="auto"/>
          <w:highlight w:val="none"/>
        </w:rPr>
        <w:t>改〔2020〕</w:t>
      </w:r>
      <w:r>
        <w:rPr>
          <w:rFonts w:hint="eastAsia"/>
          <w:color w:val="auto"/>
          <w:highlight w:val="none"/>
          <w:lang w:val="en-US" w:eastAsia="zh-CN"/>
        </w:rPr>
        <w:t>149</w:t>
      </w:r>
      <w:r>
        <w:rPr>
          <w:color w:val="auto"/>
          <w:highlight w:val="none"/>
        </w:rPr>
        <w:t>号）。</w:t>
      </w:r>
    </w:p>
    <w:p>
      <w:pPr>
        <w:pStyle w:val="56"/>
        <w:ind w:firstLine="480"/>
        <w:rPr>
          <w:color w:val="auto"/>
          <w:highlight w:val="none"/>
        </w:rPr>
      </w:pPr>
      <w:r>
        <w:rPr>
          <w:color w:val="auto"/>
          <w:highlight w:val="none"/>
        </w:rPr>
        <w:t>建设单位</w:t>
      </w:r>
      <w:r>
        <w:rPr>
          <w:rFonts w:hint="eastAsia"/>
          <w:color w:val="auto"/>
          <w:highlight w:val="none"/>
          <w:lang w:eastAsia="zh-CN"/>
        </w:rPr>
        <w:t>伊宁县城市保障性住房投资建设管理有限公司</w:t>
      </w:r>
      <w:r>
        <w:rPr>
          <w:color w:val="auto"/>
          <w:highlight w:val="none"/>
        </w:rPr>
        <w:t>于2020年</w:t>
      </w:r>
      <w:r>
        <w:rPr>
          <w:rFonts w:hint="eastAsia"/>
          <w:color w:val="auto"/>
          <w:highlight w:val="none"/>
          <w:lang w:val="en-US" w:eastAsia="zh-CN"/>
        </w:rPr>
        <w:t>3</w:t>
      </w:r>
      <w:r>
        <w:rPr>
          <w:color w:val="auto"/>
          <w:highlight w:val="none"/>
        </w:rPr>
        <w:t>月完成本项目的建设项目环境影响登记表。</w:t>
      </w:r>
    </w:p>
    <w:p>
      <w:pPr>
        <w:pStyle w:val="56"/>
        <w:ind w:firstLine="48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）项目建设情况及水土流失情况</w:t>
      </w:r>
    </w:p>
    <w:p>
      <w:pPr>
        <w:pStyle w:val="56"/>
        <w:ind w:firstLine="480"/>
        <w:rPr>
          <w:color w:val="auto"/>
          <w:highlight w:val="none"/>
        </w:rPr>
      </w:pPr>
      <w:r>
        <w:rPr>
          <w:color w:val="auto"/>
          <w:szCs w:val="26"/>
          <w:highlight w:val="none"/>
        </w:rPr>
        <w:t>本项目已于2020年</w:t>
      </w:r>
      <w:r>
        <w:rPr>
          <w:rFonts w:hint="eastAsia"/>
          <w:color w:val="auto"/>
          <w:szCs w:val="26"/>
          <w:highlight w:val="none"/>
          <w:lang w:val="en-US" w:eastAsia="zh-CN"/>
        </w:rPr>
        <w:t>4</w:t>
      </w:r>
      <w:r>
        <w:rPr>
          <w:color w:val="auto"/>
          <w:szCs w:val="26"/>
          <w:highlight w:val="none"/>
        </w:rPr>
        <w:t>月开工建设，现阶段9栋住宅楼</w:t>
      </w:r>
      <w:r>
        <w:rPr>
          <w:rFonts w:hint="eastAsia"/>
          <w:color w:val="auto"/>
          <w:szCs w:val="26"/>
          <w:highlight w:val="none"/>
          <w:lang w:eastAsia="zh-CN"/>
        </w:rPr>
        <w:t>结构均已完成</w:t>
      </w:r>
      <w:r>
        <w:rPr>
          <w:color w:val="auto"/>
          <w:szCs w:val="26"/>
          <w:highlight w:val="none"/>
        </w:rPr>
        <w:t>，</w:t>
      </w:r>
      <w:r>
        <w:rPr>
          <w:rFonts w:hint="eastAsia"/>
          <w:color w:val="auto"/>
          <w:highlight w:val="none"/>
        </w:rPr>
        <w:t>开挖堆土</w:t>
      </w:r>
      <w:r>
        <w:rPr>
          <w:rFonts w:hint="eastAsia"/>
          <w:color w:val="auto"/>
          <w:highlight w:val="none"/>
          <w:lang w:eastAsia="zh-CN"/>
        </w:rPr>
        <w:t>已部分回填，多余土方</w:t>
      </w:r>
      <w:r>
        <w:rPr>
          <w:rFonts w:hint="eastAsia"/>
          <w:color w:val="auto"/>
          <w:highlight w:val="none"/>
        </w:rPr>
        <w:t>临时堆置在每栋楼周边空地，</w:t>
      </w:r>
      <w:r>
        <w:rPr>
          <w:rFonts w:hint="eastAsia"/>
          <w:color w:val="auto"/>
          <w:highlight w:val="none"/>
          <w:lang w:val="en-US" w:eastAsia="zh-CN"/>
        </w:rPr>
        <w:t>2栋商业楼基础开挖已部分回填，</w:t>
      </w:r>
      <w:r>
        <w:rPr>
          <w:color w:val="auto"/>
          <w:szCs w:val="26"/>
          <w:highlight w:val="none"/>
        </w:rPr>
        <w:t>现阶段主要为</w:t>
      </w:r>
      <w:r>
        <w:rPr>
          <w:rFonts w:hint="eastAsia"/>
          <w:color w:val="auto"/>
          <w:szCs w:val="26"/>
          <w:highlight w:val="none"/>
          <w:lang w:eastAsia="zh-CN"/>
        </w:rPr>
        <w:t>商业楼</w:t>
      </w:r>
      <w:r>
        <w:rPr>
          <w:color w:val="auto"/>
          <w:szCs w:val="26"/>
          <w:highlight w:val="none"/>
        </w:rPr>
        <w:t>基础结构</w:t>
      </w:r>
      <w:r>
        <w:rPr>
          <w:rFonts w:hint="eastAsia"/>
          <w:color w:val="auto"/>
          <w:highlight w:val="none"/>
        </w:rPr>
        <w:t>施工，基础为条形基础</w:t>
      </w:r>
      <w:r>
        <w:rPr>
          <w:color w:val="auto"/>
          <w:szCs w:val="26"/>
          <w:highlight w:val="none"/>
        </w:rPr>
        <w:t>。西侧出入口的施工生产区已堆放部分施工材料，其余还未开工建设</w:t>
      </w:r>
      <w:r>
        <w:rPr>
          <w:rFonts w:hint="eastAsia"/>
          <w:color w:val="auto"/>
          <w:highlight w:val="none"/>
        </w:rPr>
        <w:t>。通过现场踏勘，项目区建构筑物临时堆土未采取苫盖，易产生水土流失，同时区域内施工道路连接出入口的主路采取永临结合建设，</w:t>
      </w:r>
      <w:r>
        <w:rPr>
          <w:rFonts w:hint="eastAsia"/>
          <w:color w:val="auto"/>
          <w:highlight w:val="none"/>
          <w:lang w:eastAsia="zh-CN"/>
        </w:rPr>
        <w:t>与</w:t>
      </w:r>
      <w:r>
        <w:rPr>
          <w:rFonts w:hint="eastAsia"/>
          <w:color w:val="auto"/>
          <w:highlight w:val="none"/>
        </w:rPr>
        <w:t>其余道路</w:t>
      </w:r>
      <w:r>
        <w:rPr>
          <w:rFonts w:hint="eastAsia"/>
          <w:color w:val="auto"/>
          <w:highlight w:val="none"/>
          <w:lang w:eastAsia="zh-CN"/>
        </w:rPr>
        <w:t>连接，</w:t>
      </w:r>
      <w:r>
        <w:rPr>
          <w:rFonts w:hint="eastAsia"/>
          <w:color w:val="auto"/>
          <w:highlight w:val="none"/>
        </w:rPr>
        <w:t>车辆碾压，地表疏松，</w:t>
      </w:r>
      <w:r>
        <w:rPr>
          <w:rFonts w:hint="eastAsia"/>
          <w:color w:val="auto"/>
          <w:highlight w:val="none"/>
          <w:lang w:eastAsia="zh-CN"/>
        </w:rPr>
        <w:t>均</w:t>
      </w:r>
      <w:r>
        <w:rPr>
          <w:rFonts w:hint="eastAsia"/>
          <w:color w:val="auto"/>
          <w:highlight w:val="none"/>
        </w:rPr>
        <w:t>未采取洒水措施，易产生水土流失。</w:t>
      </w:r>
    </w:p>
    <w:p>
      <w:pPr>
        <w:pStyle w:val="56"/>
        <w:ind w:firstLine="480"/>
        <w:rPr>
          <w:color w:val="auto"/>
          <w:highlight w:val="none"/>
        </w:rPr>
      </w:pPr>
      <w:r>
        <w:rPr>
          <w:color w:val="auto"/>
          <w:highlight w:val="none"/>
        </w:rPr>
        <w:t>（</w:t>
      </w:r>
      <w:r>
        <w:rPr>
          <w:rFonts w:hint="eastAsia"/>
          <w:color w:val="auto"/>
          <w:highlight w:val="none"/>
          <w:lang w:val="en-US" w:eastAsia="zh-CN"/>
        </w:rPr>
        <w:t>3</w:t>
      </w:r>
      <w:r>
        <w:rPr>
          <w:color w:val="auto"/>
          <w:highlight w:val="none"/>
        </w:rPr>
        <w:t>）方案编制情况</w:t>
      </w:r>
    </w:p>
    <w:p>
      <w:pPr>
        <w:pStyle w:val="56"/>
        <w:ind w:firstLine="480"/>
        <w:rPr>
          <w:color w:val="auto"/>
          <w:highlight w:val="none"/>
        </w:rPr>
      </w:pPr>
      <w:r>
        <w:rPr>
          <w:color w:val="auto"/>
          <w:highlight w:val="none"/>
        </w:rPr>
        <w:t>本项目已于20</w:t>
      </w:r>
      <w:r>
        <w:rPr>
          <w:rFonts w:hint="eastAsia"/>
          <w:color w:val="auto"/>
          <w:highlight w:val="none"/>
          <w:lang w:val="en-US" w:eastAsia="zh-CN"/>
        </w:rPr>
        <w:t>20</w:t>
      </w:r>
      <w:r>
        <w:rPr>
          <w:color w:val="auto"/>
          <w:highlight w:val="none"/>
        </w:rPr>
        <w:t>年</w:t>
      </w:r>
      <w:r>
        <w:rPr>
          <w:rFonts w:hint="eastAsia"/>
          <w:color w:val="auto"/>
          <w:highlight w:val="none"/>
          <w:lang w:val="en-US" w:eastAsia="zh-CN"/>
        </w:rPr>
        <w:t>4</w:t>
      </w:r>
      <w:r>
        <w:rPr>
          <w:color w:val="auto"/>
          <w:highlight w:val="none"/>
        </w:rPr>
        <w:t>月开工建设，但因建设单位水土保持意识不够，未曾编制水土保持方案。20</w:t>
      </w:r>
      <w:r>
        <w:rPr>
          <w:rFonts w:hint="eastAsia"/>
          <w:color w:val="auto"/>
          <w:highlight w:val="none"/>
          <w:lang w:val="en-US" w:eastAsia="zh-CN"/>
        </w:rPr>
        <w:t>20</w:t>
      </w:r>
      <w:r>
        <w:rPr>
          <w:color w:val="auto"/>
          <w:highlight w:val="none"/>
        </w:rPr>
        <w:t>年</w:t>
      </w:r>
      <w:r>
        <w:rPr>
          <w:rFonts w:hint="eastAsia"/>
          <w:color w:val="auto"/>
          <w:highlight w:val="none"/>
          <w:lang w:val="en-US" w:eastAsia="zh-CN"/>
        </w:rPr>
        <w:t>7</w:t>
      </w:r>
      <w:r>
        <w:rPr>
          <w:color w:val="auto"/>
          <w:highlight w:val="none"/>
        </w:rPr>
        <w:t>月，伊犁哈萨克自治州通过区域监管工作，开始重点督查未批先建且未编制水土保持方案的项目，督查后的项目下放到各县市水利局，2020年</w:t>
      </w:r>
      <w:r>
        <w:rPr>
          <w:rFonts w:hint="eastAsia"/>
          <w:color w:val="auto"/>
          <w:highlight w:val="none"/>
          <w:lang w:val="en-US" w:eastAsia="zh-CN"/>
        </w:rPr>
        <w:t>11</w:t>
      </w:r>
      <w:r>
        <w:rPr>
          <w:color w:val="auto"/>
          <w:highlight w:val="none"/>
        </w:rPr>
        <w:t>月，</w:t>
      </w:r>
      <w:r>
        <w:rPr>
          <w:rFonts w:hint="eastAsia"/>
          <w:color w:val="auto"/>
          <w:highlight w:val="none"/>
          <w:lang w:eastAsia="zh-CN"/>
        </w:rPr>
        <w:t>伊宁县</w:t>
      </w:r>
      <w:r>
        <w:rPr>
          <w:color w:val="auto"/>
          <w:highlight w:val="none"/>
        </w:rPr>
        <w:t>在核查查处中，发现本项目未编制水土保持方案，下发整改通知限期内进行整改工作。本项目属于未批先建，且未编报水土保持方案，应</w:t>
      </w:r>
      <w:r>
        <w:rPr>
          <w:rFonts w:hint="eastAsia"/>
          <w:color w:val="auto"/>
          <w:highlight w:val="none"/>
          <w:lang w:eastAsia="zh-CN"/>
        </w:rPr>
        <w:t>伊宁县</w:t>
      </w:r>
      <w:r>
        <w:rPr>
          <w:color w:val="auto"/>
          <w:highlight w:val="none"/>
        </w:rPr>
        <w:t>水利局要求，对相关手续进行补报。</w:t>
      </w:r>
    </w:p>
    <w:p>
      <w:pPr>
        <w:pStyle w:val="56"/>
        <w:ind w:firstLine="480"/>
        <w:rPr>
          <w:color w:val="auto"/>
          <w:highlight w:val="none"/>
        </w:rPr>
      </w:pPr>
      <w:r>
        <w:rPr>
          <w:color w:val="auto"/>
          <w:highlight w:val="none"/>
        </w:rPr>
        <w:t>20</w:t>
      </w:r>
      <w:r>
        <w:rPr>
          <w:rFonts w:hint="eastAsia"/>
          <w:color w:val="auto"/>
          <w:highlight w:val="none"/>
        </w:rPr>
        <w:t>20</w:t>
      </w:r>
      <w:r>
        <w:rPr>
          <w:color w:val="auto"/>
          <w:highlight w:val="none"/>
        </w:rPr>
        <w:t>年</w:t>
      </w:r>
      <w:r>
        <w:rPr>
          <w:rFonts w:hint="eastAsia"/>
          <w:color w:val="auto"/>
          <w:highlight w:val="none"/>
          <w:lang w:val="en-US" w:eastAsia="zh-CN"/>
        </w:rPr>
        <w:t>12</w:t>
      </w:r>
      <w:r>
        <w:rPr>
          <w:color w:val="auto"/>
          <w:highlight w:val="none"/>
        </w:rPr>
        <w:t>月，</w:t>
      </w:r>
      <w:r>
        <w:rPr>
          <w:rFonts w:hint="eastAsia"/>
          <w:color w:val="auto"/>
          <w:highlight w:val="none"/>
          <w:lang w:eastAsia="zh-CN"/>
        </w:rPr>
        <w:t>伊宁县城市保障性住房投资建设管理有限公司</w:t>
      </w:r>
      <w:r>
        <w:rPr>
          <w:color w:val="auto"/>
          <w:highlight w:val="none"/>
        </w:rPr>
        <w:t>委托新疆万汇工程项目管理有限公司承担《</w:t>
      </w:r>
      <w:r>
        <w:rPr>
          <w:rFonts w:hint="eastAsia"/>
          <w:color w:val="auto"/>
          <w:highlight w:val="none"/>
          <w:lang w:eastAsia="zh-CN"/>
        </w:rPr>
        <w:t>伊宁县书香·雅居</w:t>
      </w:r>
      <w:r>
        <w:rPr>
          <w:color w:val="auto"/>
          <w:highlight w:val="none"/>
        </w:rPr>
        <w:t>建设项目水土保持方案报告表》的编制工作。接受委托后，我公司立即组织相关技术人员对工程设计资料进行认真分析，在对项目区进行了详细调研和现场踏勘的基础上，按照开发建设项目相关水土保持法律法规、规章和规范性文件及技术规范和标准的要求，于20</w:t>
      </w:r>
      <w:r>
        <w:rPr>
          <w:rFonts w:hint="eastAsia"/>
          <w:color w:val="auto"/>
          <w:highlight w:val="none"/>
        </w:rPr>
        <w:t>20</w:t>
      </w:r>
      <w:r>
        <w:rPr>
          <w:color w:val="auto"/>
          <w:highlight w:val="none"/>
        </w:rPr>
        <w:t>年1</w:t>
      </w:r>
      <w:r>
        <w:rPr>
          <w:rFonts w:hint="eastAsia"/>
          <w:color w:val="auto"/>
          <w:highlight w:val="none"/>
          <w:lang w:val="en-US" w:eastAsia="zh-CN"/>
        </w:rPr>
        <w:t>2</w:t>
      </w:r>
      <w:r>
        <w:rPr>
          <w:color w:val="auto"/>
          <w:highlight w:val="none"/>
        </w:rPr>
        <w:t>月编制完成了《</w:t>
      </w:r>
      <w:r>
        <w:rPr>
          <w:rFonts w:hint="eastAsia"/>
          <w:color w:val="auto"/>
          <w:highlight w:val="none"/>
          <w:lang w:eastAsia="zh-CN"/>
        </w:rPr>
        <w:t>伊宁县书香·雅居</w:t>
      </w:r>
      <w:r>
        <w:rPr>
          <w:color w:val="auto"/>
          <w:highlight w:val="none"/>
        </w:rPr>
        <w:t>建设项目水土保持方案报告表（送审稿）》。</w:t>
      </w:r>
    </w:p>
    <w:p>
      <w:pPr>
        <w:pStyle w:val="56"/>
        <w:ind w:firstLine="480"/>
        <w:rPr>
          <w:rFonts w:hint="eastAsia" w:eastAsia="仿宋_GB2312"/>
          <w:color w:val="auto"/>
          <w:highlight w:val="none"/>
          <w:lang w:val="en-US" w:eastAsia="zh-CN"/>
        </w:rPr>
      </w:pPr>
      <w:r>
        <w:rPr>
          <w:color w:val="auto"/>
          <w:highlight w:val="none"/>
        </w:rPr>
        <w:t>根据新疆维吾尔自治区水利厅文件转发水利部关于进一步深化“放管服”改革，全面加强水土保持监管意见的通知（新水水保〔2019〕29号），我单位于</w:t>
      </w:r>
      <w:r>
        <w:rPr>
          <w:rFonts w:hint="eastAsia"/>
          <w:color w:val="auto"/>
          <w:highlight w:val="none"/>
          <w:lang w:val="en-US" w:eastAsia="zh-CN"/>
        </w:rPr>
        <w:t>2020年12月3</w:t>
      </w:r>
      <w:r>
        <w:rPr>
          <w:color w:val="auto"/>
          <w:highlight w:val="none"/>
        </w:rPr>
        <w:t>日邀请了1名省级专家库专家对本方案进行技术审查，提出了相关修改意见。我单位按照专家意见进行了修改，于</w:t>
      </w:r>
      <w:r>
        <w:rPr>
          <w:rFonts w:hint="eastAsia"/>
          <w:color w:val="auto"/>
          <w:highlight w:val="none"/>
          <w:lang w:val="en-US" w:eastAsia="zh-CN"/>
        </w:rPr>
        <w:t>2020年12月</w:t>
      </w:r>
      <w:r>
        <w:rPr>
          <w:color w:val="auto"/>
          <w:highlight w:val="none"/>
        </w:rPr>
        <w:t>编制完成了《</w:t>
      </w:r>
      <w:r>
        <w:rPr>
          <w:rFonts w:hint="eastAsia"/>
          <w:color w:val="auto"/>
          <w:highlight w:val="none"/>
          <w:lang w:eastAsia="zh-CN"/>
        </w:rPr>
        <w:t>伊宁县书香·雅居</w:t>
      </w:r>
      <w:r>
        <w:rPr>
          <w:color w:val="auto"/>
          <w:highlight w:val="none"/>
        </w:rPr>
        <w:t>建设项目水土保持方案报告表（报批稿）》</w:t>
      </w:r>
      <w:r>
        <w:rPr>
          <w:rFonts w:hint="eastAsia"/>
          <w:color w:val="auto"/>
          <w:highlight w:val="none"/>
          <w:lang w:eastAsia="zh-CN"/>
        </w:rPr>
        <w:t>，现申请报批</w:t>
      </w:r>
      <w:r>
        <w:rPr>
          <w:color w:val="auto"/>
          <w:highlight w:val="none"/>
        </w:rPr>
        <w:t>。</w:t>
      </w:r>
    </w:p>
    <w:p>
      <w:pPr>
        <w:pStyle w:val="69"/>
        <w:rPr>
          <w:color w:val="auto"/>
          <w:highlight w:val="none"/>
        </w:rPr>
      </w:pPr>
      <w:r>
        <w:rPr>
          <w:color w:val="auto"/>
          <w:highlight w:val="none"/>
        </w:rPr>
        <w:t>1.1.3 自然概况</w:t>
      </w:r>
    </w:p>
    <w:p>
      <w:pPr>
        <w:pStyle w:val="56"/>
        <w:ind w:firstLine="480"/>
        <w:rPr>
          <w:rFonts w:hint="eastAsia"/>
          <w:color w:val="auto"/>
          <w:highlight w:val="none"/>
        </w:rPr>
      </w:pPr>
      <w:r>
        <w:rPr>
          <w:color w:val="auto"/>
          <w:highlight w:val="none"/>
        </w:rPr>
        <w:t>（1）</w:t>
      </w:r>
      <w:r>
        <w:rPr>
          <w:rFonts w:hint="eastAsia"/>
          <w:color w:val="auto"/>
          <w:highlight w:val="none"/>
        </w:rPr>
        <w:t>伊宁县域地貌类型复杂多样，划分为3类，分别为山地，丘陵和平原。</w:t>
      </w:r>
    </w:p>
    <w:p>
      <w:pPr>
        <w:pStyle w:val="56"/>
        <w:ind w:firstLine="480"/>
        <w:rPr>
          <w:color w:val="auto"/>
          <w:highlight w:val="none"/>
        </w:rPr>
      </w:pPr>
      <w:r>
        <w:rPr>
          <w:rFonts w:hint="eastAsia"/>
          <w:color w:val="auto"/>
          <w:highlight w:val="none"/>
        </w:rPr>
        <w:t>丘陵：海拔900～1500m。山前丘陵带是海西褶皱的基底上发育的山前凹陷，并接受了侏罗纪和第三纪地层组成的沉积物，还受到新构造运动的影响。褶皱发育十分明显，在吐尔逊沟两旁有第三纪红色页岩露头，前端受逆掩断层移位的影响，降落到第三阶地，古老的阶地都消割成为长岗状平坦前山丘陵地带，上面覆盖着第四纪黄土，部分长岗顶部平坦为第四纪陆地，覆有亚砂土。丘陵带为境内主要春秋草场。1200~1500m 范围为森林、草甸过渡带。</w:t>
      </w:r>
      <w:r>
        <w:rPr>
          <w:color w:val="auto"/>
          <w:highlight w:val="none"/>
        </w:rPr>
        <w:t>本项目中心地理坐标为</w:t>
      </w:r>
      <w:r>
        <w:rPr>
          <w:rFonts w:hint="eastAsia"/>
          <w:color w:val="auto"/>
          <w:highlight w:val="none"/>
          <w:lang w:eastAsia="zh-CN"/>
        </w:rPr>
        <w:t>东经81°49′93.13″、北纬43°96′76.00″</w:t>
      </w:r>
      <w:r>
        <w:rPr>
          <w:color w:val="auto"/>
          <w:highlight w:val="none"/>
        </w:rPr>
        <w:t>。</w:t>
      </w:r>
    </w:p>
    <w:p>
      <w:pPr>
        <w:pStyle w:val="56"/>
        <w:ind w:firstLine="480"/>
        <w:rPr>
          <w:color w:val="auto"/>
          <w:highlight w:val="none"/>
        </w:rPr>
      </w:pPr>
      <w:r>
        <w:rPr>
          <w:color w:val="auto"/>
          <w:highlight w:val="none"/>
        </w:rPr>
        <w:t>（2）本项目位于</w:t>
      </w:r>
      <w:r>
        <w:rPr>
          <w:rFonts w:hint="eastAsia"/>
          <w:color w:val="auto"/>
          <w:highlight w:val="none"/>
          <w:lang w:eastAsia="zh-CN"/>
        </w:rPr>
        <w:t>伊宁</w:t>
      </w:r>
      <w:r>
        <w:rPr>
          <w:color w:val="auto"/>
          <w:highlight w:val="none"/>
        </w:rPr>
        <w:t>县</w:t>
      </w:r>
      <w:r>
        <w:rPr>
          <w:rFonts w:hint="eastAsia"/>
          <w:color w:val="auto"/>
          <w:highlight w:val="none"/>
          <w:lang w:eastAsia="zh-CN"/>
        </w:rPr>
        <w:t>公安局以南，新城路以北，文明路以东，703乡道以西</w:t>
      </w:r>
      <w:r>
        <w:rPr>
          <w:color w:val="auto"/>
          <w:highlight w:val="none"/>
        </w:rPr>
        <w:t>，距离</w:t>
      </w:r>
      <w:r>
        <w:rPr>
          <w:rFonts w:hint="eastAsia"/>
          <w:color w:val="auto"/>
          <w:highlight w:val="none"/>
          <w:lang w:eastAsia="zh-CN"/>
        </w:rPr>
        <w:t>伊宁</w:t>
      </w:r>
      <w:r>
        <w:rPr>
          <w:color w:val="auto"/>
          <w:highlight w:val="none"/>
        </w:rPr>
        <w:t>县县城中心</w:t>
      </w:r>
      <w:r>
        <w:rPr>
          <w:rFonts w:hint="eastAsia"/>
          <w:color w:val="auto"/>
          <w:highlight w:val="none"/>
          <w:lang w:eastAsia="zh-CN"/>
        </w:rPr>
        <w:t>2.25km</w:t>
      </w:r>
      <w:r>
        <w:rPr>
          <w:color w:val="auto"/>
          <w:highlight w:val="none"/>
        </w:rPr>
        <w:t>，因此可参照</w:t>
      </w:r>
      <w:r>
        <w:rPr>
          <w:rFonts w:hint="eastAsia"/>
          <w:color w:val="auto"/>
          <w:highlight w:val="none"/>
          <w:lang w:eastAsia="zh-CN"/>
        </w:rPr>
        <w:t>伊宁</w:t>
      </w:r>
      <w:r>
        <w:rPr>
          <w:color w:val="auto"/>
          <w:highlight w:val="none"/>
        </w:rPr>
        <w:t>县气象监测数据。</w:t>
      </w:r>
      <w:r>
        <w:rPr>
          <w:rFonts w:hint="eastAsia"/>
          <w:color w:val="auto"/>
          <w:highlight w:val="none"/>
          <w:lang w:eastAsia="zh-CN"/>
        </w:rPr>
        <w:t>伊宁</w:t>
      </w:r>
      <w:r>
        <w:rPr>
          <w:color w:val="auto"/>
          <w:highlight w:val="none"/>
        </w:rPr>
        <w:t>县属北温带大陆性半干旱气候，气候温和，空气湿润，夏季较热，冬少严寒。多年平均气温</w:t>
      </w:r>
      <w:r>
        <w:rPr>
          <w:rFonts w:hint="eastAsia"/>
          <w:color w:val="auto"/>
          <w:highlight w:val="none"/>
          <w:lang w:eastAsia="zh-CN"/>
        </w:rPr>
        <w:t>10.4℃</w:t>
      </w:r>
      <w:r>
        <w:rPr>
          <w:color w:val="auto"/>
          <w:highlight w:val="none"/>
        </w:rPr>
        <w:t>，</w:t>
      </w:r>
      <w:r>
        <w:rPr>
          <w:rFonts w:hint="eastAsia"/>
          <w:color w:val="auto"/>
          <w:highlight w:val="none"/>
        </w:rPr>
        <w:t>最低气温出现在2月，月平均气温－8.2℃，最高气温出现在7月，月平均气温 4.6℃，极端最高气温39.7℃，极端最低气温－34.3℃。大于10℃积温在3150℃～3500℃之间。无霜期多年平均为163天，最长187天，最短135天。年平均降水量309mm，</w:t>
      </w:r>
      <w:r>
        <w:rPr>
          <w:color w:val="auto"/>
          <w:highlight w:val="none"/>
        </w:rPr>
        <w:t>多年平均蒸发量</w:t>
      </w:r>
      <w:r>
        <w:rPr>
          <w:rFonts w:hint="eastAsia"/>
          <w:color w:val="auto"/>
          <w:highlight w:val="none"/>
          <w:lang w:eastAsia="zh-CN"/>
        </w:rPr>
        <w:t>942.2mm</w:t>
      </w:r>
      <w:r>
        <w:rPr>
          <w:color w:val="auto"/>
          <w:highlight w:val="none"/>
        </w:rPr>
        <w:t>。项目区盛行</w:t>
      </w:r>
      <w:r>
        <w:rPr>
          <w:rFonts w:hint="eastAsia"/>
          <w:color w:val="auto"/>
          <w:highlight w:val="none"/>
          <w:lang w:eastAsia="zh-CN"/>
        </w:rPr>
        <w:t>西风</w:t>
      </w:r>
      <w:r>
        <w:rPr>
          <w:color w:val="auto"/>
          <w:highlight w:val="none"/>
        </w:rPr>
        <w:t>，多年平均风速</w:t>
      </w:r>
      <w:r>
        <w:rPr>
          <w:rFonts w:hint="eastAsia"/>
          <w:color w:val="auto"/>
          <w:highlight w:val="none"/>
          <w:lang w:eastAsia="zh-CN"/>
        </w:rPr>
        <w:t>2m/s</w:t>
      </w:r>
      <w:r>
        <w:rPr>
          <w:color w:val="auto"/>
          <w:highlight w:val="none"/>
        </w:rPr>
        <w:t>，</w:t>
      </w:r>
      <w:r>
        <w:rPr>
          <w:rFonts w:hint="eastAsia"/>
          <w:color w:val="auto"/>
          <w:highlight w:val="none"/>
        </w:rPr>
        <w:t>春季偏大，有时可达3.5m/s，冬季最小，夏季容易出现瞬间大于或等于9级以上的大风。大于或等于8级以上的大风全年平均出现12次，风向以西北风为主，其次有偏东风。项目区最大冻土深度1.20m，平均冻土深度0.95m</w:t>
      </w:r>
      <w:r>
        <w:rPr>
          <w:color w:val="auto"/>
          <w:highlight w:val="none"/>
        </w:rPr>
        <w:t>。</w:t>
      </w:r>
    </w:p>
    <w:p>
      <w:pPr>
        <w:pStyle w:val="56"/>
        <w:ind w:firstLine="480"/>
        <w:rPr>
          <w:color w:val="auto"/>
          <w:highlight w:val="none"/>
        </w:rPr>
      </w:pPr>
      <w:r>
        <w:rPr>
          <w:color w:val="auto"/>
          <w:highlight w:val="none"/>
        </w:rPr>
        <w:t>（3）项目区为冲洪积平原区，土壤类型以灰钙土为主。植被类型为荒漠植被，主要植被以蒿属-禾本科植被为主，有灰灰菜、野麻、蒲公英、马兰、芨芨草等，</w:t>
      </w:r>
      <w:r>
        <w:rPr>
          <w:rFonts w:hint="eastAsia"/>
          <w:color w:val="auto"/>
          <w:highlight w:val="none"/>
          <w:lang w:eastAsia="zh-CN"/>
        </w:rPr>
        <w:t>植被覆盖度20%</w:t>
      </w:r>
      <w:r>
        <w:rPr>
          <w:color w:val="auto"/>
          <w:highlight w:val="none"/>
        </w:rPr>
        <w:t>左右。</w:t>
      </w:r>
    </w:p>
    <w:p>
      <w:pPr>
        <w:pStyle w:val="56"/>
        <w:ind w:firstLine="480"/>
        <w:rPr>
          <w:color w:val="auto"/>
          <w:highlight w:val="none"/>
        </w:rPr>
      </w:pPr>
      <w:r>
        <w:rPr>
          <w:color w:val="auto"/>
          <w:highlight w:val="none"/>
        </w:rPr>
        <w:t>（4）本项目位于伊犁州</w:t>
      </w:r>
      <w:r>
        <w:rPr>
          <w:rFonts w:hint="eastAsia"/>
          <w:color w:val="auto"/>
          <w:highlight w:val="none"/>
          <w:lang w:eastAsia="zh-CN"/>
        </w:rPr>
        <w:t>伊宁</w:t>
      </w:r>
      <w:r>
        <w:rPr>
          <w:color w:val="auto"/>
          <w:highlight w:val="none"/>
        </w:rPr>
        <w:t>县，同时根据《全国水土保持区划（试行）》，本项目所在区域均位于北方风沙区。</w:t>
      </w:r>
    </w:p>
    <w:p>
      <w:pPr>
        <w:pStyle w:val="56"/>
        <w:ind w:firstLine="480"/>
        <w:rPr>
          <w:color w:val="auto"/>
          <w:highlight w:val="none"/>
        </w:rPr>
      </w:pPr>
      <w:r>
        <w:rPr>
          <w:color w:val="auto"/>
          <w:highlight w:val="none"/>
        </w:rPr>
        <w:t>（5）根据工程区踏勘、测量及综合分析，确定本工程区的气象、地表组成、植被覆盖度等自然环境状况，结合全疆2018年动态监测成果，确定项目区在原地表稳定层未破坏的条件下，原生地表土壤侵蚀强度属于轻度风蚀、微度水蚀；根据《土壤侵蚀分类分级标准》（SL190-2007），最终确定项目区的原生地貌土壤侵蚀模数为1000/km²</w:t>
      </w:r>
      <w:r>
        <w:rPr>
          <w:rFonts w:eastAsia="MS Mincho"/>
          <w:color w:val="auto"/>
          <w:highlight w:val="none"/>
        </w:rPr>
        <w:t>・</w:t>
      </w:r>
      <w:r>
        <w:rPr>
          <w:color w:val="auto"/>
          <w:highlight w:val="none"/>
        </w:rPr>
        <w:t>a。同时根据项目区所属的水土流失类型、项目区的实际情况，确定工程区土壤容许流失量为1000t/（km²·a）。</w:t>
      </w:r>
    </w:p>
    <w:p>
      <w:pPr>
        <w:pStyle w:val="56"/>
        <w:ind w:firstLine="480"/>
        <w:rPr>
          <w:color w:val="auto"/>
          <w:highlight w:val="none"/>
        </w:rPr>
      </w:pPr>
      <w:r>
        <w:rPr>
          <w:color w:val="auto"/>
          <w:highlight w:val="none"/>
        </w:rPr>
        <w:t>（6）项目区不涉及饮用水源保护区、水功能一级区的保护区和保留区、自然保护区、世界文化和自然遗产地、风景名胜区、地质公园、森林公园、重要湿地等。</w:t>
      </w:r>
    </w:p>
    <w:p>
      <w:pPr>
        <w:pStyle w:val="66"/>
        <w:rPr>
          <w:color w:val="auto"/>
          <w:highlight w:val="none"/>
        </w:rPr>
      </w:pPr>
      <w:bookmarkStart w:id="47" w:name="_Toc417412291"/>
      <w:bookmarkStart w:id="48" w:name="_Toc6870"/>
      <w:r>
        <w:rPr>
          <w:color w:val="auto"/>
          <w:highlight w:val="none"/>
        </w:rPr>
        <w:t xml:space="preserve">1.2 </w:t>
      </w:r>
      <w:bookmarkEnd w:id="47"/>
      <w:r>
        <w:rPr>
          <w:color w:val="auto"/>
          <w:highlight w:val="none"/>
        </w:rPr>
        <w:t>编制依据</w:t>
      </w:r>
      <w:bookmarkEnd w:id="48"/>
    </w:p>
    <w:p>
      <w:pPr>
        <w:pStyle w:val="69"/>
        <w:rPr>
          <w:color w:val="auto"/>
          <w:highlight w:val="none"/>
        </w:rPr>
      </w:pPr>
      <w:bookmarkStart w:id="49" w:name="_Toc407014508"/>
      <w:bookmarkStart w:id="50" w:name="_Toc417412292"/>
      <w:r>
        <w:rPr>
          <w:color w:val="auto"/>
          <w:highlight w:val="none"/>
        </w:rPr>
        <w:t>1.2.1 法律法规</w:t>
      </w:r>
    </w:p>
    <w:p>
      <w:pPr>
        <w:pStyle w:val="56"/>
        <w:numPr>
          <w:ilvl w:val="0"/>
          <w:numId w:val="1"/>
        </w:numPr>
        <w:ind w:firstLineChars="0"/>
        <w:rPr>
          <w:color w:val="auto"/>
          <w:highlight w:val="none"/>
        </w:rPr>
      </w:pPr>
      <w:r>
        <w:rPr>
          <w:color w:val="auto"/>
          <w:highlight w:val="none"/>
        </w:rPr>
        <w:t>《中华人民共和国水法》（全国人大，1989年12月26日颁布实施，2014年4日24日修订，2015年1月1日实施）；</w:t>
      </w:r>
    </w:p>
    <w:p>
      <w:pPr>
        <w:pStyle w:val="56"/>
        <w:numPr>
          <w:ilvl w:val="0"/>
          <w:numId w:val="1"/>
        </w:numPr>
        <w:ind w:firstLineChars="0"/>
        <w:rPr>
          <w:color w:val="auto"/>
          <w:highlight w:val="none"/>
        </w:rPr>
      </w:pPr>
      <w:r>
        <w:rPr>
          <w:color w:val="auto"/>
          <w:highlight w:val="none"/>
        </w:rPr>
        <w:t>《中华人民共和国土地管理法》（2008年8月28日修订，2020年1月1日实施）；</w:t>
      </w:r>
    </w:p>
    <w:p>
      <w:pPr>
        <w:pStyle w:val="56"/>
        <w:numPr>
          <w:ilvl w:val="0"/>
          <w:numId w:val="1"/>
        </w:numPr>
        <w:ind w:firstLineChars="0"/>
        <w:rPr>
          <w:color w:val="auto"/>
          <w:highlight w:val="none"/>
        </w:rPr>
      </w:pPr>
      <w:r>
        <w:rPr>
          <w:color w:val="auto"/>
          <w:highlight w:val="none"/>
        </w:rPr>
        <w:t>《中华人民共和国防洪法》（2009年8月27日起施行）；</w:t>
      </w:r>
    </w:p>
    <w:p>
      <w:pPr>
        <w:pStyle w:val="56"/>
        <w:numPr>
          <w:ilvl w:val="0"/>
          <w:numId w:val="1"/>
        </w:numPr>
        <w:ind w:firstLineChars="0"/>
        <w:rPr>
          <w:color w:val="auto"/>
          <w:highlight w:val="none"/>
        </w:rPr>
      </w:pPr>
      <w:r>
        <w:rPr>
          <w:color w:val="auto"/>
          <w:highlight w:val="none"/>
        </w:rPr>
        <w:t>《中华人民共和国水土保持法》，(中华人民共和国主席令39号，2010年12月25日修订，自2011年3月1日起施行)；</w:t>
      </w:r>
    </w:p>
    <w:p>
      <w:pPr>
        <w:pStyle w:val="56"/>
        <w:numPr>
          <w:ilvl w:val="0"/>
          <w:numId w:val="1"/>
        </w:numPr>
        <w:ind w:firstLineChars="0"/>
        <w:rPr>
          <w:color w:val="auto"/>
          <w:highlight w:val="none"/>
        </w:rPr>
      </w:pPr>
      <w:r>
        <w:rPr>
          <w:color w:val="auto"/>
          <w:highlight w:val="none"/>
        </w:rPr>
        <w:t>《新疆维吾尔自治区实施&lt;中华人民共和国水土保持法&gt;办法》(2013年7月31日修订通过，2013年10月1日施行)；</w:t>
      </w:r>
    </w:p>
    <w:p>
      <w:pPr>
        <w:pStyle w:val="56"/>
        <w:numPr>
          <w:ilvl w:val="0"/>
          <w:numId w:val="1"/>
        </w:numPr>
        <w:ind w:firstLineChars="0"/>
        <w:rPr>
          <w:color w:val="auto"/>
          <w:highlight w:val="none"/>
        </w:rPr>
      </w:pPr>
      <w:r>
        <w:rPr>
          <w:color w:val="auto"/>
          <w:highlight w:val="none"/>
        </w:rPr>
        <w:t>《中华人民共和国环境保护法》（于2014年4月24日修订通过，自2015年1月1日起施行）；</w:t>
      </w:r>
    </w:p>
    <w:p>
      <w:pPr>
        <w:pStyle w:val="56"/>
        <w:numPr>
          <w:ilvl w:val="0"/>
          <w:numId w:val="1"/>
        </w:numPr>
        <w:ind w:firstLineChars="0"/>
        <w:rPr>
          <w:color w:val="auto"/>
          <w:highlight w:val="none"/>
        </w:rPr>
      </w:pPr>
      <w:r>
        <w:rPr>
          <w:color w:val="auto"/>
          <w:highlight w:val="none"/>
        </w:rPr>
        <w:t>《中华人民共和国环境影响评价法》（2016年7月2日修订，2016年9月1日施行）；</w:t>
      </w:r>
    </w:p>
    <w:p>
      <w:pPr>
        <w:pStyle w:val="69"/>
        <w:rPr>
          <w:color w:val="auto"/>
          <w:highlight w:val="none"/>
        </w:rPr>
      </w:pPr>
      <w:r>
        <w:rPr>
          <w:color w:val="auto"/>
          <w:highlight w:val="none"/>
        </w:rPr>
        <w:t>1.2.2 部委规章</w:t>
      </w:r>
    </w:p>
    <w:p>
      <w:pPr>
        <w:pStyle w:val="56"/>
        <w:numPr>
          <w:ilvl w:val="0"/>
          <w:numId w:val="2"/>
        </w:numPr>
        <w:ind w:firstLineChars="0"/>
        <w:rPr>
          <w:color w:val="auto"/>
          <w:highlight w:val="none"/>
        </w:rPr>
      </w:pPr>
      <w:r>
        <w:rPr>
          <w:color w:val="auto"/>
          <w:highlight w:val="none"/>
        </w:rPr>
        <w:t>《水土保持生态环境监测网络管理办法》（水利部第12号令发布2000年1月31日实施，根据2014年8月19日修改）；</w:t>
      </w:r>
    </w:p>
    <w:p>
      <w:pPr>
        <w:pStyle w:val="56"/>
        <w:numPr>
          <w:ilvl w:val="0"/>
          <w:numId w:val="2"/>
        </w:numPr>
        <w:ind w:firstLineChars="0"/>
        <w:rPr>
          <w:color w:val="auto"/>
          <w:highlight w:val="none"/>
        </w:rPr>
      </w:pPr>
      <w:r>
        <w:rPr>
          <w:color w:val="auto"/>
          <w:highlight w:val="none"/>
        </w:rPr>
        <w:t>《水利部关于废止和修改部分规章的决定》（中华人民共和国水利部令第49号，2017.12.22）；</w:t>
      </w:r>
    </w:p>
    <w:p>
      <w:pPr>
        <w:pStyle w:val="56"/>
        <w:numPr>
          <w:ilvl w:val="0"/>
          <w:numId w:val="2"/>
        </w:numPr>
        <w:ind w:firstLineChars="0"/>
        <w:rPr>
          <w:color w:val="auto"/>
          <w:highlight w:val="none"/>
        </w:rPr>
      </w:pPr>
      <w:r>
        <w:rPr>
          <w:color w:val="auto"/>
          <w:highlight w:val="none"/>
        </w:rPr>
        <w:t>水利部关于加强事中事后监管规范生产建设项目水土保持设施自主验收的通知（水保〔2017〕365号）；</w:t>
      </w:r>
    </w:p>
    <w:p>
      <w:pPr>
        <w:pStyle w:val="56"/>
        <w:numPr>
          <w:ilvl w:val="0"/>
          <w:numId w:val="2"/>
        </w:numPr>
        <w:ind w:firstLineChars="0"/>
        <w:rPr>
          <w:color w:val="auto"/>
          <w:highlight w:val="none"/>
        </w:rPr>
      </w:pPr>
      <w:r>
        <w:rPr>
          <w:color w:val="auto"/>
          <w:highlight w:val="none"/>
        </w:rPr>
        <w:t>水利部关于进一步深化“放管服”改革，全面加强水土保持监管的意见（水保〔2019〕160号）；</w:t>
      </w:r>
    </w:p>
    <w:p>
      <w:pPr>
        <w:pStyle w:val="69"/>
        <w:rPr>
          <w:color w:val="auto"/>
          <w:highlight w:val="none"/>
        </w:rPr>
      </w:pPr>
      <w:r>
        <w:rPr>
          <w:color w:val="auto"/>
          <w:highlight w:val="none"/>
        </w:rPr>
        <w:t>1.2.3 规范性文件</w:t>
      </w:r>
    </w:p>
    <w:p>
      <w:pPr>
        <w:pStyle w:val="56"/>
        <w:numPr>
          <w:ilvl w:val="0"/>
          <w:numId w:val="3"/>
        </w:numPr>
        <w:ind w:firstLineChars="0"/>
        <w:rPr>
          <w:color w:val="auto"/>
          <w:highlight w:val="none"/>
        </w:rPr>
      </w:pPr>
      <w:r>
        <w:rPr>
          <w:color w:val="auto"/>
          <w:highlight w:val="none"/>
        </w:rPr>
        <w:t>水利部办公厅关于印发《全国水土保持规划国家级水土流失重点预防区和重点治理区复核划分成果》的通知（办水保[2013]188号）；</w:t>
      </w:r>
    </w:p>
    <w:p>
      <w:pPr>
        <w:pStyle w:val="56"/>
        <w:numPr>
          <w:ilvl w:val="0"/>
          <w:numId w:val="3"/>
        </w:numPr>
        <w:ind w:firstLineChars="0"/>
        <w:rPr>
          <w:color w:val="auto"/>
          <w:highlight w:val="none"/>
        </w:rPr>
      </w:pPr>
      <w:r>
        <w:rPr>
          <w:color w:val="auto"/>
          <w:highlight w:val="none"/>
        </w:rPr>
        <w:t>水利部办公厅关于贯彻落实国发〔2015〕58号文件进一步做好水土保持行政审批工作的通知(水利部办公厅，办水保〔2015〕247号，2015年11月20日)；</w:t>
      </w:r>
    </w:p>
    <w:p>
      <w:pPr>
        <w:pStyle w:val="56"/>
        <w:numPr>
          <w:ilvl w:val="0"/>
          <w:numId w:val="3"/>
        </w:numPr>
        <w:ind w:firstLineChars="0"/>
        <w:rPr>
          <w:color w:val="auto"/>
          <w:highlight w:val="none"/>
        </w:rPr>
      </w:pPr>
      <w:r>
        <w:rPr>
          <w:color w:val="auto"/>
          <w:highlight w:val="none"/>
        </w:rPr>
        <w:t>关于印发《新疆维吾尔自治区水土保持设施补偿费征收使用管理办法》的通知，新财非税[2015]10号；</w:t>
      </w:r>
    </w:p>
    <w:p>
      <w:pPr>
        <w:pStyle w:val="56"/>
        <w:numPr>
          <w:ilvl w:val="0"/>
          <w:numId w:val="3"/>
        </w:numPr>
        <w:ind w:firstLineChars="0"/>
        <w:rPr>
          <w:color w:val="auto"/>
          <w:highlight w:val="none"/>
        </w:rPr>
      </w:pPr>
      <w:r>
        <w:rPr>
          <w:color w:val="auto"/>
          <w:highlight w:val="none"/>
        </w:rPr>
        <w:t>《水利部办公厅关于印发&lt;水利部生产建设项目水土保持方案变更管理规定（试行）&gt;的通知》（办水保[2016]65号）；</w:t>
      </w:r>
    </w:p>
    <w:p>
      <w:pPr>
        <w:pStyle w:val="56"/>
        <w:numPr>
          <w:ilvl w:val="0"/>
          <w:numId w:val="3"/>
        </w:numPr>
        <w:ind w:firstLineChars="0"/>
        <w:rPr>
          <w:color w:val="auto"/>
          <w:highlight w:val="none"/>
        </w:rPr>
      </w:pPr>
      <w:r>
        <w:rPr>
          <w:color w:val="auto"/>
          <w:highlight w:val="none"/>
        </w:rPr>
        <w:t>水利部办公厅关于强化依法行政进一步规范生产建设项目水土保持监督管理工作的通知（办水保[2016]21号）；</w:t>
      </w:r>
    </w:p>
    <w:p>
      <w:pPr>
        <w:pStyle w:val="56"/>
        <w:numPr>
          <w:ilvl w:val="0"/>
          <w:numId w:val="3"/>
        </w:numPr>
        <w:ind w:firstLineChars="0"/>
        <w:rPr>
          <w:color w:val="auto"/>
          <w:highlight w:val="none"/>
        </w:rPr>
      </w:pPr>
      <w:r>
        <w:rPr>
          <w:color w:val="auto"/>
          <w:highlight w:val="none"/>
        </w:rPr>
        <w:t>《关于印发《新疆维吾尔自治区生产建设项目水土保持方案管理办法》(修订稿)的通知》(新疆维吾尔自治区水利厅，新水厅〔2016〕112号，2016年11月17日)；</w:t>
      </w:r>
    </w:p>
    <w:p>
      <w:pPr>
        <w:pStyle w:val="56"/>
        <w:numPr>
          <w:ilvl w:val="0"/>
          <w:numId w:val="3"/>
        </w:numPr>
        <w:ind w:firstLineChars="0"/>
        <w:rPr>
          <w:color w:val="auto"/>
          <w:highlight w:val="none"/>
        </w:rPr>
      </w:pPr>
      <w:r>
        <w:rPr>
          <w:color w:val="auto"/>
          <w:highlight w:val="none"/>
        </w:rPr>
        <w:t>《新疆维吾尔自治区水利厅关于加强事中事后监管规范生产建设项目水土保持设施自主验收实施意见的通知》（新水办水保〔2017〕121号）；</w:t>
      </w:r>
    </w:p>
    <w:p>
      <w:pPr>
        <w:pStyle w:val="56"/>
        <w:numPr>
          <w:ilvl w:val="0"/>
          <w:numId w:val="3"/>
        </w:numPr>
        <w:ind w:firstLineChars="0"/>
        <w:rPr>
          <w:color w:val="auto"/>
          <w:highlight w:val="none"/>
        </w:rPr>
      </w:pPr>
      <w:r>
        <w:rPr>
          <w:color w:val="auto"/>
          <w:highlight w:val="none"/>
        </w:rPr>
        <w:t>水利部办公厅关于印发生产建设项目水土保持设施自主验收规程（试行）的通知（办水保〔2018〕133号）；</w:t>
      </w:r>
    </w:p>
    <w:p>
      <w:pPr>
        <w:pStyle w:val="56"/>
        <w:numPr>
          <w:ilvl w:val="0"/>
          <w:numId w:val="3"/>
        </w:numPr>
        <w:ind w:firstLineChars="0"/>
        <w:rPr>
          <w:color w:val="auto"/>
          <w:highlight w:val="none"/>
        </w:rPr>
      </w:pPr>
      <w:r>
        <w:rPr>
          <w:color w:val="auto"/>
          <w:highlight w:val="none"/>
        </w:rPr>
        <w:t>水利部办公厅关于印发生产建设项目水土保持技术文件编写和印制格式规定（试行）的通知（办水保〔2018〕135号）；</w:t>
      </w:r>
    </w:p>
    <w:p>
      <w:pPr>
        <w:pStyle w:val="56"/>
        <w:numPr>
          <w:ilvl w:val="0"/>
          <w:numId w:val="3"/>
        </w:numPr>
        <w:ind w:firstLineChars="0"/>
        <w:rPr>
          <w:color w:val="auto"/>
          <w:highlight w:val="none"/>
        </w:rPr>
      </w:pPr>
      <w:r>
        <w:rPr>
          <w:color w:val="auto"/>
          <w:highlight w:val="none"/>
        </w:rPr>
        <w:t>新疆维吾尔自治区水利厅文件转发《水利部办公厅&lt;关于印发生产建设项目水土保持技术文件编写和印刷格式规定（试行）的通知&gt;》的通知（新水办水保〔2018〕49号）；</w:t>
      </w:r>
    </w:p>
    <w:p>
      <w:pPr>
        <w:pStyle w:val="56"/>
        <w:numPr>
          <w:ilvl w:val="0"/>
          <w:numId w:val="3"/>
        </w:numPr>
        <w:ind w:firstLineChars="0"/>
        <w:rPr>
          <w:color w:val="auto"/>
          <w:highlight w:val="none"/>
        </w:rPr>
      </w:pPr>
      <w:r>
        <w:rPr>
          <w:color w:val="auto"/>
          <w:highlight w:val="none"/>
        </w:rPr>
        <w:t>新疆维吾尔自治区水利厅关于印发《新疆水利厅生产建设项目水土保持方案技术评审细则（试行）》的通知（新水厅〔2018〕75号）；</w:t>
      </w:r>
    </w:p>
    <w:p>
      <w:pPr>
        <w:pStyle w:val="56"/>
        <w:numPr>
          <w:ilvl w:val="0"/>
          <w:numId w:val="3"/>
        </w:numPr>
        <w:ind w:firstLineChars="0"/>
        <w:rPr>
          <w:color w:val="auto"/>
          <w:highlight w:val="none"/>
        </w:rPr>
      </w:pPr>
      <w:r>
        <w:rPr>
          <w:color w:val="auto"/>
          <w:highlight w:val="none"/>
        </w:rPr>
        <w:t>水利部办公厅关于印发生产建设项目水土保持监督管理办法的通知（办水保〔2019〕172号）；</w:t>
      </w:r>
    </w:p>
    <w:p>
      <w:pPr>
        <w:pStyle w:val="56"/>
        <w:numPr>
          <w:ilvl w:val="0"/>
          <w:numId w:val="3"/>
        </w:numPr>
        <w:ind w:firstLineChars="0"/>
        <w:rPr>
          <w:color w:val="auto"/>
          <w:highlight w:val="none"/>
        </w:rPr>
      </w:pPr>
      <w:r>
        <w:rPr>
          <w:color w:val="auto"/>
          <w:highlight w:val="none"/>
        </w:rPr>
        <w:t>新疆维吾尔自治区水利厅关于印发《新疆自治区级水土流失重点预防区和重点治理区复核划分成果的通知》（新水水保〔2019〕4号）；</w:t>
      </w:r>
    </w:p>
    <w:p>
      <w:pPr>
        <w:pStyle w:val="56"/>
        <w:numPr>
          <w:ilvl w:val="0"/>
          <w:numId w:val="3"/>
        </w:numPr>
        <w:ind w:firstLineChars="0"/>
        <w:rPr>
          <w:color w:val="auto"/>
          <w:highlight w:val="none"/>
        </w:rPr>
      </w:pPr>
      <w:r>
        <w:rPr>
          <w:color w:val="auto"/>
          <w:highlight w:val="none"/>
        </w:rPr>
        <w:t>水利部办公厅关于印发生产建设项目水土保持问题分类和责任追究标准的通知（办水保函〔2020〕564号）；</w:t>
      </w:r>
    </w:p>
    <w:p>
      <w:pPr>
        <w:pStyle w:val="56"/>
        <w:numPr>
          <w:ilvl w:val="0"/>
          <w:numId w:val="3"/>
        </w:numPr>
        <w:ind w:firstLineChars="0"/>
        <w:rPr>
          <w:color w:val="auto"/>
          <w:highlight w:val="none"/>
        </w:rPr>
      </w:pPr>
      <w:r>
        <w:rPr>
          <w:color w:val="auto"/>
          <w:highlight w:val="none"/>
        </w:rPr>
        <w:t>水利部办公厅关于实施生产建设项目水土保持信用监管“两单”制度的通知（办水保〔2020〕157号）</w:t>
      </w:r>
    </w:p>
    <w:p>
      <w:pPr>
        <w:pStyle w:val="56"/>
        <w:numPr>
          <w:ilvl w:val="0"/>
          <w:numId w:val="3"/>
        </w:numPr>
        <w:ind w:firstLineChars="0"/>
        <w:rPr>
          <w:color w:val="auto"/>
          <w:highlight w:val="none"/>
        </w:rPr>
      </w:pPr>
      <w:r>
        <w:rPr>
          <w:color w:val="auto"/>
          <w:highlight w:val="none"/>
        </w:rPr>
        <w:t>水利部办公厅关于做好生产建设项目水土保持承诺制管理的通知（办水保〔2020〕160号）；</w:t>
      </w:r>
    </w:p>
    <w:p>
      <w:pPr>
        <w:pStyle w:val="56"/>
        <w:numPr>
          <w:ilvl w:val="0"/>
          <w:numId w:val="3"/>
        </w:numPr>
        <w:ind w:firstLineChars="0"/>
        <w:rPr>
          <w:color w:val="auto"/>
          <w:highlight w:val="none"/>
        </w:rPr>
      </w:pPr>
      <w:r>
        <w:rPr>
          <w:color w:val="auto"/>
          <w:highlight w:val="none"/>
        </w:rPr>
        <w:t>水利部办公厅关于进一步加强生产建设项目水土保持监测工作的通知（办水保〔2020〕161号）；</w:t>
      </w:r>
    </w:p>
    <w:p>
      <w:pPr>
        <w:pStyle w:val="56"/>
        <w:numPr>
          <w:ilvl w:val="0"/>
          <w:numId w:val="3"/>
        </w:numPr>
        <w:ind w:firstLineChars="0"/>
        <w:rPr>
          <w:color w:val="auto"/>
          <w:highlight w:val="none"/>
        </w:rPr>
      </w:pPr>
      <w:r>
        <w:rPr>
          <w:rFonts w:hint="eastAsia" w:cs="Times New Roman"/>
          <w:color w:val="auto"/>
          <w:lang w:eastAsia="zh-CN"/>
        </w:rPr>
        <w:t>《关于严格执行国家发展改革委财政部降低部分行政事业性收费标准的通知》</w:t>
      </w:r>
      <w:r>
        <w:rPr>
          <w:rFonts w:hint="default" w:ascii="Times New Roman" w:hAnsi="Times New Roman" w:eastAsia="仿宋_GB2312" w:cs="Times New Roman"/>
          <w:color w:val="auto"/>
        </w:rPr>
        <w:t>新</w:t>
      </w:r>
      <w:r>
        <w:rPr>
          <w:rFonts w:hint="eastAsia" w:cs="Times New Roman"/>
          <w:color w:val="auto"/>
          <w:lang w:eastAsia="zh-CN"/>
        </w:rPr>
        <w:t>水办</w:t>
      </w:r>
      <w:r>
        <w:rPr>
          <w:rFonts w:hint="default" w:ascii="Times New Roman" w:hAnsi="Times New Roman" w:eastAsia="仿宋_GB2312" w:cs="Times New Roman"/>
          <w:color w:val="auto"/>
        </w:rPr>
        <w:t>〔20</w:t>
      </w:r>
      <w:r>
        <w:rPr>
          <w:rFonts w:hint="eastAsia" w:cs="Times New Roman"/>
          <w:color w:val="auto"/>
          <w:lang w:val="en-US" w:eastAsia="zh-CN"/>
        </w:rPr>
        <w:t>20</w:t>
      </w:r>
      <w:r>
        <w:rPr>
          <w:rFonts w:hint="default" w:ascii="Times New Roman" w:hAnsi="Times New Roman" w:eastAsia="仿宋_GB2312" w:cs="Times New Roman"/>
          <w:color w:val="auto"/>
        </w:rPr>
        <w:t>〕1</w:t>
      </w:r>
      <w:r>
        <w:rPr>
          <w:rFonts w:hint="eastAsia" w:cs="Times New Roman"/>
          <w:color w:val="auto"/>
          <w:lang w:val="en-US" w:eastAsia="zh-CN"/>
        </w:rPr>
        <w:t>68</w:t>
      </w:r>
      <w:r>
        <w:rPr>
          <w:rFonts w:hint="default" w:ascii="Times New Roman" w:hAnsi="Times New Roman" w:eastAsia="仿宋_GB2312" w:cs="Times New Roman"/>
          <w:color w:val="auto"/>
        </w:rPr>
        <w:t>号</w:t>
      </w:r>
    </w:p>
    <w:p>
      <w:pPr>
        <w:pStyle w:val="69"/>
        <w:rPr>
          <w:color w:val="auto"/>
          <w:highlight w:val="none"/>
        </w:rPr>
      </w:pPr>
      <w:r>
        <w:rPr>
          <w:color w:val="auto"/>
          <w:highlight w:val="none"/>
        </w:rPr>
        <w:t>1.2.4 技术标准</w:t>
      </w:r>
    </w:p>
    <w:p>
      <w:pPr>
        <w:pStyle w:val="56"/>
        <w:numPr>
          <w:ilvl w:val="0"/>
          <w:numId w:val="4"/>
        </w:numPr>
        <w:ind w:firstLineChars="0"/>
        <w:rPr>
          <w:color w:val="auto"/>
          <w:highlight w:val="none"/>
        </w:rPr>
      </w:pPr>
      <w:r>
        <w:rPr>
          <w:color w:val="auto"/>
          <w:highlight w:val="none"/>
        </w:rPr>
        <w:t>《生产建设项目水土保持技术标准》（GB50433-2018）；</w:t>
      </w:r>
    </w:p>
    <w:p>
      <w:pPr>
        <w:pStyle w:val="56"/>
        <w:numPr>
          <w:ilvl w:val="0"/>
          <w:numId w:val="4"/>
        </w:numPr>
        <w:ind w:firstLineChars="0"/>
        <w:rPr>
          <w:color w:val="auto"/>
          <w:highlight w:val="none"/>
        </w:rPr>
      </w:pPr>
      <w:r>
        <w:rPr>
          <w:color w:val="auto"/>
          <w:highlight w:val="none"/>
        </w:rPr>
        <w:t>《生产建设项目水土流失防治标准》（GB/T 50434-2018）；</w:t>
      </w:r>
    </w:p>
    <w:p>
      <w:pPr>
        <w:pStyle w:val="56"/>
        <w:numPr>
          <w:ilvl w:val="0"/>
          <w:numId w:val="4"/>
        </w:numPr>
        <w:ind w:firstLineChars="0"/>
        <w:rPr>
          <w:color w:val="auto"/>
          <w:highlight w:val="none"/>
        </w:rPr>
      </w:pPr>
      <w:r>
        <w:rPr>
          <w:color w:val="auto"/>
          <w:highlight w:val="none"/>
        </w:rPr>
        <w:t>生产建设项目土壤流失量测算导则（SL 773-2018）</w:t>
      </w:r>
    </w:p>
    <w:p>
      <w:pPr>
        <w:pStyle w:val="56"/>
        <w:numPr>
          <w:ilvl w:val="0"/>
          <w:numId w:val="4"/>
        </w:numPr>
        <w:ind w:firstLineChars="0"/>
        <w:rPr>
          <w:color w:val="auto"/>
          <w:highlight w:val="none"/>
        </w:rPr>
      </w:pPr>
      <w:r>
        <w:rPr>
          <w:color w:val="auto"/>
          <w:highlight w:val="none"/>
        </w:rPr>
        <w:t>《土壤侵蚀分类分级标准》（SL190-2007）；</w:t>
      </w:r>
    </w:p>
    <w:p>
      <w:pPr>
        <w:pStyle w:val="56"/>
        <w:numPr>
          <w:ilvl w:val="0"/>
          <w:numId w:val="4"/>
        </w:numPr>
        <w:ind w:firstLineChars="0"/>
        <w:rPr>
          <w:color w:val="auto"/>
          <w:highlight w:val="none"/>
        </w:rPr>
      </w:pPr>
      <w:r>
        <w:rPr>
          <w:color w:val="auto"/>
          <w:highlight w:val="none"/>
        </w:rPr>
        <w:t>《水土保持工程设计规范》（GB51018-2014）</w:t>
      </w:r>
    </w:p>
    <w:p>
      <w:pPr>
        <w:pStyle w:val="56"/>
        <w:numPr>
          <w:ilvl w:val="0"/>
          <w:numId w:val="4"/>
        </w:numPr>
        <w:ind w:firstLineChars="0"/>
        <w:rPr>
          <w:color w:val="auto"/>
          <w:highlight w:val="none"/>
        </w:rPr>
      </w:pPr>
      <w:r>
        <w:rPr>
          <w:color w:val="auto"/>
          <w:highlight w:val="none"/>
        </w:rPr>
        <w:t>《水利水电工程制图标准水土保持图》（SL73.6-2015）；</w:t>
      </w:r>
    </w:p>
    <w:p>
      <w:pPr>
        <w:pStyle w:val="56"/>
        <w:numPr>
          <w:ilvl w:val="0"/>
          <w:numId w:val="4"/>
        </w:numPr>
        <w:ind w:firstLineChars="0"/>
        <w:rPr>
          <w:color w:val="auto"/>
          <w:highlight w:val="none"/>
        </w:rPr>
      </w:pPr>
      <w:r>
        <w:rPr>
          <w:color w:val="auto"/>
          <w:highlight w:val="none"/>
        </w:rPr>
        <w:t>《防洪标准》（GB50201-2014）；</w:t>
      </w:r>
    </w:p>
    <w:p>
      <w:pPr>
        <w:pStyle w:val="56"/>
        <w:numPr>
          <w:ilvl w:val="0"/>
          <w:numId w:val="4"/>
        </w:numPr>
        <w:ind w:firstLineChars="0"/>
        <w:rPr>
          <w:color w:val="auto"/>
          <w:highlight w:val="none"/>
        </w:rPr>
      </w:pPr>
      <w:r>
        <w:rPr>
          <w:color w:val="auto"/>
          <w:highlight w:val="none"/>
        </w:rPr>
        <w:t>《土地利用现状分类》（GB/T 21010-2017）；</w:t>
      </w:r>
    </w:p>
    <w:p>
      <w:pPr>
        <w:pStyle w:val="56"/>
        <w:numPr>
          <w:ilvl w:val="0"/>
          <w:numId w:val="4"/>
        </w:numPr>
        <w:ind w:firstLineChars="0"/>
        <w:rPr>
          <w:color w:val="auto"/>
          <w:highlight w:val="none"/>
        </w:rPr>
      </w:pPr>
      <w:r>
        <w:rPr>
          <w:color w:val="auto"/>
          <w:highlight w:val="none"/>
        </w:rPr>
        <w:t>《水土保持工程质量评定规程》（SL336-2006）；</w:t>
      </w:r>
    </w:p>
    <w:p>
      <w:pPr>
        <w:pStyle w:val="56"/>
        <w:numPr>
          <w:ilvl w:val="0"/>
          <w:numId w:val="4"/>
        </w:numPr>
        <w:ind w:firstLineChars="0"/>
        <w:rPr>
          <w:color w:val="auto"/>
          <w:highlight w:val="none"/>
        </w:rPr>
      </w:pPr>
      <w:r>
        <w:rPr>
          <w:color w:val="auto"/>
          <w:highlight w:val="none"/>
        </w:rPr>
        <w:t>《中国地震动参数区划图》（GB18306-2015）；</w:t>
      </w:r>
    </w:p>
    <w:p>
      <w:pPr>
        <w:pStyle w:val="69"/>
        <w:rPr>
          <w:color w:val="auto"/>
          <w:highlight w:val="none"/>
        </w:rPr>
      </w:pPr>
      <w:r>
        <w:rPr>
          <w:color w:val="auto"/>
          <w:highlight w:val="none"/>
        </w:rPr>
        <w:t>1.2.</w:t>
      </w:r>
      <w:r>
        <w:rPr>
          <w:rFonts w:hint="eastAsia"/>
          <w:color w:val="auto"/>
          <w:highlight w:val="none"/>
          <w:lang w:val="en-US" w:eastAsia="zh-CN"/>
        </w:rPr>
        <w:t>5</w:t>
      </w:r>
      <w:r>
        <w:rPr>
          <w:color w:val="auto"/>
          <w:highlight w:val="none"/>
        </w:rPr>
        <w:t xml:space="preserve"> 技术资料</w:t>
      </w:r>
    </w:p>
    <w:p>
      <w:pPr>
        <w:pStyle w:val="56"/>
        <w:numPr>
          <w:ilvl w:val="0"/>
          <w:numId w:val="5"/>
        </w:numPr>
        <w:ind w:firstLineChars="0"/>
        <w:rPr>
          <w:color w:val="auto"/>
          <w:highlight w:val="none"/>
        </w:rPr>
      </w:pPr>
      <w:r>
        <w:rPr>
          <w:rFonts w:hint="eastAsia"/>
          <w:color w:val="auto"/>
          <w:highlight w:val="none"/>
          <w:lang w:eastAsia="zh-CN"/>
        </w:rPr>
        <w:t>伊宁县书香·雅居</w:t>
      </w:r>
      <w:r>
        <w:rPr>
          <w:color w:val="auto"/>
          <w:highlight w:val="none"/>
        </w:rPr>
        <w:t>建设项目建设用地</w:t>
      </w:r>
      <w:r>
        <w:rPr>
          <w:rFonts w:hint="eastAsia"/>
          <w:color w:val="auto"/>
          <w:highlight w:val="none"/>
          <w:lang w:eastAsia="zh-CN"/>
        </w:rPr>
        <w:t>预审意见</w:t>
      </w:r>
      <w:r>
        <w:rPr>
          <w:color w:val="auto"/>
          <w:highlight w:val="none"/>
        </w:rPr>
        <w:t>；</w:t>
      </w:r>
    </w:p>
    <w:p>
      <w:pPr>
        <w:pStyle w:val="56"/>
        <w:numPr>
          <w:ilvl w:val="0"/>
          <w:numId w:val="5"/>
        </w:numPr>
        <w:ind w:firstLineChars="0"/>
        <w:rPr>
          <w:color w:val="auto"/>
          <w:highlight w:val="none"/>
        </w:rPr>
      </w:pPr>
      <w:r>
        <w:rPr>
          <w:rFonts w:hint="eastAsia"/>
          <w:color w:val="auto"/>
          <w:highlight w:val="none"/>
          <w:lang w:eastAsia="zh-CN"/>
        </w:rPr>
        <w:t>伊宁</w:t>
      </w:r>
      <w:r>
        <w:rPr>
          <w:color w:val="auto"/>
          <w:highlight w:val="none"/>
        </w:rPr>
        <w:t>县企业投资项目登记备案证（</w:t>
      </w:r>
      <w:r>
        <w:rPr>
          <w:rFonts w:hint="eastAsia"/>
          <w:color w:val="auto"/>
          <w:highlight w:val="none"/>
          <w:lang w:eastAsia="zh-CN"/>
        </w:rPr>
        <w:t>伊县</w:t>
      </w:r>
      <w:r>
        <w:rPr>
          <w:color w:val="auto"/>
          <w:highlight w:val="none"/>
        </w:rPr>
        <w:t>发改〔2020〕</w:t>
      </w:r>
      <w:r>
        <w:rPr>
          <w:rFonts w:hint="eastAsia"/>
          <w:color w:val="auto"/>
          <w:highlight w:val="none"/>
          <w:lang w:val="en-US" w:eastAsia="zh-CN"/>
        </w:rPr>
        <w:t>149</w:t>
      </w:r>
      <w:r>
        <w:rPr>
          <w:color w:val="auto"/>
          <w:highlight w:val="none"/>
        </w:rPr>
        <w:t>号）</w:t>
      </w:r>
    </w:p>
    <w:p>
      <w:pPr>
        <w:pStyle w:val="56"/>
        <w:numPr>
          <w:ilvl w:val="0"/>
          <w:numId w:val="5"/>
        </w:numPr>
        <w:ind w:firstLineChars="0"/>
        <w:rPr>
          <w:color w:val="auto"/>
          <w:highlight w:val="none"/>
        </w:rPr>
      </w:pPr>
      <w:r>
        <w:rPr>
          <w:color w:val="auto"/>
          <w:highlight w:val="none"/>
        </w:rPr>
        <w:t>《</w:t>
      </w:r>
      <w:r>
        <w:rPr>
          <w:rFonts w:hint="eastAsia"/>
          <w:color w:val="auto"/>
          <w:highlight w:val="none"/>
          <w:lang w:eastAsia="zh-CN"/>
        </w:rPr>
        <w:t>伊宁县书香·雅居</w:t>
      </w:r>
      <w:r>
        <w:rPr>
          <w:color w:val="auto"/>
          <w:highlight w:val="none"/>
        </w:rPr>
        <w:t>建设项目建设项目环境影响登记表》；</w:t>
      </w:r>
    </w:p>
    <w:p>
      <w:pPr>
        <w:pStyle w:val="56"/>
        <w:numPr>
          <w:ilvl w:val="0"/>
          <w:numId w:val="5"/>
        </w:numPr>
        <w:ind w:firstLineChars="0"/>
        <w:rPr>
          <w:color w:val="auto"/>
          <w:highlight w:val="none"/>
        </w:rPr>
      </w:pPr>
      <w:r>
        <w:rPr>
          <w:color w:val="auto"/>
          <w:highlight w:val="none"/>
        </w:rPr>
        <w:t>2020年</w:t>
      </w:r>
      <w:r>
        <w:rPr>
          <w:rFonts w:hint="eastAsia"/>
          <w:color w:val="auto"/>
          <w:highlight w:val="none"/>
          <w:lang w:val="en-US" w:eastAsia="zh-CN"/>
        </w:rPr>
        <w:t>11</w:t>
      </w:r>
      <w:r>
        <w:rPr>
          <w:color w:val="auto"/>
          <w:highlight w:val="none"/>
        </w:rPr>
        <w:t>月，现场查勘资料；</w:t>
      </w:r>
    </w:p>
    <w:p>
      <w:pPr>
        <w:pStyle w:val="56"/>
        <w:numPr>
          <w:ilvl w:val="0"/>
          <w:numId w:val="5"/>
        </w:numPr>
        <w:ind w:firstLineChars="0"/>
        <w:rPr>
          <w:color w:val="auto"/>
          <w:highlight w:val="none"/>
        </w:rPr>
      </w:pPr>
      <w:r>
        <w:rPr>
          <w:color w:val="auto"/>
          <w:highlight w:val="none"/>
        </w:rPr>
        <w:t>项目区气象、水文资料及社会统计年鉴。</w:t>
      </w:r>
    </w:p>
    <w:p>
      <w:pPr>
        <w:pStyle w:val="66"/>
        <w:rPr>
          <w:color w:val="auto"/>
          <w:highlight w:val="none"/>
        </w:rPr>
      </w:pPr>
      <w:bookmarkStart w:id="51" w:name="_Toc23467"/>
      <w:r>
        <w:rPr>
          <w:color w:val="auto"/>
          <w:highlight w:val="none"/>
        </w:rPr>
        <w:t>1.3 设计水平年</w:t>
      </w:r>
      <w:bookmarkEnd w:id="51"/>
    </w:p>
    <w:p>
      <w:pPr>
        <w:pStyle w:val="56"/>
        <w:ind w:firstLine="480"/>
        <w:rPr>
          <w:color w:val="auto"/>
          <w:highlight w:val="none"/>
        </w:rPr>
      </w:pPr>
      <w:r>
        <w:rPr>
          <w:color w:val="auto"/>
          <w:highlight w:val="none"/>
        </w:rPr>
        <w:t>方案设计水平年是指主体工程完工后，水土保持措施实施完毕并初步发挥效益的时间，届时方案确定的各项防治措施均布设到位，能初步发挥水土保持功能，达到方案确定的防治目标，满足水土保持专项设施验收的要求。</w:t>
      </w:r>
    </w:p>
    <w:p>
      <w:pPr>
        <w:pStyle w:val="56"/>
        <w:ind w:firstLine="480"/>
        <w:rPr>
          <w:color w:val="auto"/>
          <w:highlight w:val="none"/>
        </w:rPr>
      </w:pPr>
      <w:r>
        <w:rPr>
          <w:color w:val="auto"/>
          <w:highlight w:val="none"/>
        </w:rPr>
        <w:t>本项目为建设类项目，工程已于2020年</w:t>
      </w:r>
      <w:r>
        <w:rPr>
          <w:rFonts w:hint="eastAsia"/>
          <w:color w:val="auto"/>
          <w:highlight w:val="none"/>
          <w:lang w:val="en-US" w:eastAsia="zh-CN"/>
        </w:rPr>
        <w:t>4</w:t>
      </w:r>
      <w:r>
        <w:rPr>
          <w:color w:val="auto"/>
          <w:highlight w:val="none"/>
        </w:rPr>
        <w:t>月开工建设，计划于2021年</w:t>
      </w:r>
      <w:r>
        <w:rPr>
          <w:rFonts w:hint="eastAsia"/>
          <w:color w:val="auto"/>
          <w:highlight w:val="none"/>
          <w:lang w:val="en-US" w:eastAsia="zh-CN"/>
        </w:rPr>
        <w:t>10</w:t>
      </w:r>
      <w:r>
        <w:rPr>
          <w:color w:val="auto"/>
          <w:highlight w:val="none"/>
        </w:rPr>
        <w:t>月建设完成，总工期1</w:t>
      </w:r>
      <w:r>
        <w:rPr>
          <w:rFonts w:hint="eastAsia"/>
          <w:color w:val="auto"/>
          <w:highlight w:val="none"/>
          <w:lang w:val="en-US" w:eastAsia="zh-CN"/>
        </w:rPr>
        <w:t>9</w:t>
      </w:r>
      <w:r>
        <w:rPr>
          <w:color w:val="auto"/>
          <w:highlight w:val="none"/>
        </w:rPr>
        <w:t>个月。根据主体工程建设及水土保持设施实施情况，考虑到本项目小区内采取景观绿化，栽植乔灌木，种植草坪，因此确定本方案设计水平年为202</w:t>
      </w:r>
      <w:r>
        <w:rPr>
          <w:rFonts w:hint="eastAsia"/>
          <w:color w:val="auto"/>
          <w:highlight w:val="none"/>
          <w:lang w:val="en-US" w:eastAsia="zh-CN"/>
        </w:rPr>
        <w:t>2</w:t>
      </w:r>
      <w:r>
        <w:rPr>
          <w:color w:val="auto"/>
          <w:highlight w:val="none"/>
        </w:rPr>
        <w:t>年。</w:t>
      </w:r>
    </w:p>
    <w:p>
      <w:pPr>
        <w:pStyle w:val="66"/>
        <w:rPr>
          <w:color w:val="auto"/>
          <w:highlight w:val="none"/>
        </w:rPr>
      </w:pPr>
      <w:bookmarkStart w:id="52" w:name="_Toc26859"/>
      <w:r>
        <w:rPr>
          <w:color w:val="auto"/>
          <w:highlight w:val="none"/>
        </w:rPr>
        <w:t xml:space="preserve">1.4 </w:t>
      </w:r>
      <w:bookmarkEnd w:id="49"/>
      <w:bookmarkEnd w:id="50"/>
      <w:r>
        <w:rPr>
          <w:color w:val="auto"/>
          <w:highlight w:val="none"/>
        </w:rPr>
        <w:t>水土流失防治责任范围</w:t>
      </w:r>
      <w:bookmarkEnd w:id="52"/>
    </w:p>
    <w:p>
      <w:pPr>
        <w:pStyle w:val="56"/>
        <w:ind w:firstLine="480"/>
        <w:rPr>
          <w:color w:val="auto"/>
          <w:highlight w:val="none"/>
        </w:rPr>
      </w:pPr>
      <w:bookmarkStart w:id="53" w:name="_Toc407014509"/>
      <w:bookmarkStart w:id="54" w:name="_Toc417412293"/>
      <w:r>
        <w:rPr>
          <w:color w:val="auto"/>
          <w:highlight w:val="none"/>
        </w:rPr>
        <w:t>根据《生产建设项目水土保持技术标准》（GB 50433-2018）中规定的“谁开发谁保护，谁造成水土流失谁负责治理”的原则，结合本项目的建设情况和施工特点，对各单项工程的水土流失特征进行综合分析，确定本项目水土流失防治责任范围。水土流失防治责任范围应包括项目永久征地、临时占地（含租赁土地）以及其他使用及管辖区域。本项</w:t>
      </w:r>
      <w:r>
        <w:rPr>
          <w:rFonts w:hint="eastAsia"/>
          <w:color w:val="auto"/>
          <w:highlight w:val="none"/>
          <w:lang w:eastAsia="zh-CN"/>
        </w:rPr>
        <w:t>位于伊犁哈萨克自治州伊宁县内，建设单位为伊宁县城市保障性住房投资建设管理有限公司，</w:t>
      </w:r>
      <w:r>
        <w:rPr>
          <w:color w:val="auto"/>
          <w:highlight w:val="none"/>
        </w:rPr>
        <w:t>水土流失防治责任范围为</w:t>
      </w:r>
      <w:r>
        <w:rPr>
          <w:rFonts w:hint="eastAsia"/>
          <w:color w:val="auto"/>
          <w:highlight w:val="none"/>
          <w:lang w:val="en-US" w:eastAsia="zh-CN"/>
        </w:rPr>
        <w:t>2.96</w:t>
      </w:r>
      <w:r>
        <w:rPr>
          <w:color w:val="auto"/>
          <w:highlight w:val="none"/>
        </w:rPr>
        <w:t>hm</w:t>
      </w:r>
      <w:r>
        <w:rPr>
          <w:rFonts w:eastAsia="宋体"/>
          <w:color w:val="auto"/>
          <w:highlight w:val="none"/>
        </w:rPr>
        <w:t>²</w:t>
      </w:r>
      <w:r>
        <w:rPr>
          <w:color w:val="auto"/>
          <w:highlight w:val="none"/>
        </w:rPr>
        <w:t>，均为项目建设区面积，</w:t>
      </w:r>
      <w:r>
        <w:rPr>
          <w:rFonts w:hint="eastAsia"/>
          <w:color w:val="auto"/>
          <w:highlight w:val="none"/>
          <w:lang w:eastAsia="zh-CN"/>
        </w:rPr>
        <w:t>均为</w:t>
      </w:r>
      <w:r>
        <w:rPr>
          <w:color w:val="auto"/>
          <w:highlight w:val="none"/>
        </w:rPr>
        <w:t>永久占地。</w:t>
      </w:r>
    </w:p>
    <w:p>
      <w:pPr>
        <w:pStyle w:val="66"/>
        <w:rPr>
          <w:color w:val="auto"/>
          <w:highlight w:val="none"/>
        </w:rPr>
      </w:pPr>
      <w:bookmarkStart w:id="55" w:name="_Toc30304"/>
      <w:r>
        <w:rPr>
          <w:color w:val="auto"/>
          <w:highlight w:val="none"/>
        </w:rPr>
        <w:t xml:space="preserve">1.5 </w:t>
      </w:r>
      <w:bookmarkEnd w:id="53"/>
      <w:bookmarkEnd w:id="54"/>
      <w:r>
        <w:rPr>
          <w:color w:val="auto"/>
          <w:highlight w:val="none"/>
        </w:rPr>
        <w:t>水土流失防治目标</w:t>
      </w:r>
      <w:bookmarkEnd w:id="55"/>
    </w:p>
    <w:p>
      <w:pPr>
        <w:pStyle w:val="69"/>
        <w:rPr>
          <w:color w:val="auto"/>
          <w:highlight w:val="none"/>
        </w:rPr>
      </w:pPr>
      <w:r>
        <w:rPr>
          <w:color w:val="auto"/>
          <w:highlight w:val="none"/>
        </w:rPr>
        <w:t>1.5.1 执行标准等级</w:t>
      </w:r>
    </w:p>
    <w:p>
      <w:pPr>
        <w:pStyle w:val="56"/>
        <w:ind w:firstLine="480"/>
        <w:rPr>
          <w:color w:val="auto"/>
          <w:highlight w:val="none"/>
        </w:rPr>
      </w:pPr>
      <w:r>
        <w:rPr>
          <w:color w:val="auto"/>
          <w:highlight w:val="none"/>
        </w:rPr>
        <w:t>本项目属建设类项目，位于</w:t>
      </w:r>
      <w:r>
        <w:rPr>
          <w:color w:val="auto"/>
          <w:szCs w:val="26"/>
          <w:highlight w:val="none"/>
        </w:rPr>
        <w:t>新疆维吾尔自治区伊犁州</w:t>
      </w:r>
      <w:r>
        <w:rPr>
          <w:rFonts w:hint="eastAsia"/>
          <w:color w:val="auto"/>
          <w:szCs w:val="26"/>
          <w:highlight w:val="none"/>
          <w:lang w:eastAsia="zh-CN"/>
        </w:rPr>
        <w:t>伊宁</w:t>
      </w:r>
      <w:r>
        <w:rPr>
          <w:color w:val="auto"/>
          <w:szCs w:val="26"/>
          <w:highlight w:val="none"/>
        </w:rPr>
        <w:t>县城</w:t>
      </w:r>
      <w:r>
        <w:rPr>
          <w:color w:val="auto"/>
          <w:highlight w:val="none"/>
        </w:rPr>
        <w:t>，根据“水利部办公厅印发《全国水土保持规划国家级水士流失重点预防区和重点治理区复核划分成果》的通知）（办水保〔2013〕188号）及《新疆维吾尔自治区水利厅关于印发新疆自治区级水土流失重点预防区和重点治理区复核划分成果的通知》（新水水保〔2019〕4号），项目区所属的</w:t>
      </w:r>
      <w:r>
        <w:rPr>
          <w:rFonts w:hint="eastAsia"/>
          <w:color w:val="auto"/>
          <w:szCs w:val="26"/>
          <w:highlight w:val="none"/>
          <w:lang w:eastAsia="zh-CN"/>
        </w:rPr>
        <w:t>伊宁</w:t>
      </w:r>
      <w:r>
        <w:rPr>
          <w:color w:val="auto"/>
          <w:szCs w:val="26"/>
          <w:highlight w:val="none"/>
        </w:rPr>
        <w:t>县</w:t>
      </w:r>
      <w:r>
        <w:rPr>
          <w:color w:val="auto"/>
          <w:highlight w:val="none"/>
        </w:rPr>
        <w:t>不属于国家级重点预防区和重点治理区，但属于省级水土流失重点预防区－天山山区重点预防区，同时也属于省级水土流失治理区－伊犁河流域重点治理区。根据《生产建设项目水土流失防治标准》（GB/T 50434-2018）规定，本项目执行建设类项目水土流失防治标准中的一级标准。</w:t>
      </w:r>
    </w:p>
    <w:p>
      <w:pPr>
        <w:pStyle w:val="56"/>
        <w:ind w:firstLine="480"/>
        <w:rPr>
          <w:color w:val="auto"/>
          <w:highlight w:val="none"/>
        </w:rPr>
      </w:pPr>
      <w:r>
        <w:rPr>
          <w:color w:val="auto"/>
          <w:highlight w:val="none"/>
        </w:rPr>
        <w:t>本项目位于</w:t>
      </w:r>
      <w:r>
        <w:rPr>
          <w:color w:val="auto"/>
          <w:szCs w:val="26"/>
          <w:highlight w:val="none"/>
        </w:rPr>
        <w:t>伊犁州</w:t>
      </w:r>
      <w:r>
        <w:rPr>
          <w:rFonts w:hint="eastAsia"/>
          <w:color w:val="auto"/>
          <w:szCs w:val="26"/>
          <w:highlight w:val="none"/>
          <w:lang w:eastAsia="zh-CN"/>
        </w:rPr>
        <w:t>伊宁</w:t>
      </w:r>
      <w:r>
        <w:rPr>
          <w:color w:val="auto"/>
          <w:szCs w:val="26"/>
          <w:highlight w:val="none"/>
        </w:rPr>
        <w:t>县</w:t>
      </w:r>
      <w:r>
        <w:rPr>
          <w:color w:val="auto"/>
          <w:highlight w:val="none"/>
        </w:rPr>
        <w:t>，同时根据《全国水土保持区划（试行）》，本项目所在区域均位于北方风沙区。因此本项目水土流失防治标准采取北方风沙区水土流失一级防治标准。</w:t>
      </w:r>
    </w:p>
    <w:p>
      <w:pPr>
        <w:pStyle w:val="69"/>
        <w:rPr>
          <w:color w:val="auto"/>
          <w:highlight w:val="none"/>
        </w:rPr>
      </w:pPr>
      <w:r>
        <w:rPr>
          <w:color w:val="auto"/>
          <w:highlight w:val="none"/>
        </w:rPr>
        <w:t>1.5.2 防治目标</w:t>
      </w:r>
    </w:p>
    <w:p>
      <w:pPr>
        <w:pStyle w:val="56"/>
        <w:ind w:firstLine="480"/>
        <w:rPr>
          <w:color w:val="auto"/>
          <w:highlight w:val="none"/>
        </w:rPr>
      </w:pPr>
      <w:r>
        <w:rPr>
          <w:color w:val="auto"/>
          <w:highlight w:val="none"/>
        </w:rPr>
        <w:t>根据以上分析，本项目水土流失防治标准采取北方风沙区水土流失一级防治标准。根据《生产建设项目水土流失防治标准》水土流失防治标准一级标准规定，水土流失治理度（%）、林草植被恢复率（%）和林草覆盖率（%）的数值可根据干旱程度进行调整；土壤流失控制比是以现状土壤侵蚀强度属中度侵蚀为主的区域为基准制定的。结合本工程的特点和工程所在区域的自然环境状况，对本水土保持方案的计划和实施的6项防治标准做出适当修正，作为本项目的防治标准，用以指导方案编制时的防治措施布局，同时作为工程水土保持验收的指针。各区域经过修正后具体目标如下：</w:t>
      </w:r>
    </w:p>
    <w:p>
      <w:pPr>
        <w:pStyle w:val="56"/>
        <w:ind w:firstLine="480"/>
        <w:rPr>
          <w:color w:val="auto"/>
          <w:highlight w:val="none"/>
        </w:rPr>
      </w:pPr>
      <w:r>
        <w:rPr>
          <w:color w:val="auto"/>
          <w:highlight w:val="none"/>
        </w:rPr>
        <w:t>水土流失治理度考虑到本项目位于干旱区，完工后均得到有效治理，则本项目水土流失治理度目标值为85%；土壤流失控制比以中度侵蚀区域为基准，本项目区土壤侵蚀强度以轻度风力侵蚀为主兼有微度水力侵蚀，则本项目土壤流失控制比目标值为1.0；渣土防护率按照北方风沙区水土流失一级防治标准规定，项目区渣土防护率应达到87%，考虑到本项目均位于平原区内，且周边分布有小区，因此提高2%，则本项目渣土防护率目标值为89%；考虑本项目位于</w:t>
      </w:r>
      <w:r>
        <w:rPr>
          <w:rFonts w:hint="eastAsia"/>
          <w:color w:val="auto"/>
          <w:highlight w:val="none"/>
          <w:lang w:eastAsia="zh-CN"/>
        </w:rPr>
        <w:t>伊宁</w:t>
      </w:r>
      <w:r>
        <w:rPr>
          <w:color w:val="auto"/>
          <w:highlight w:val="none"/>
        </w:rPr>
        <w:t>县城，占地类型为住宅用地，同时通过现场踏勘分析，项目占地范围内植被稀疏，地表含有沙土，无腐殖质土层，不涉及表土剥离，并且现阶段项目已开工，场区内已全部扰动，因此表土保护率不做要求；本工程所处区域多年平均降水量在</w:t>
      </w:r>
      <w:r>
        <w:rPr>
          <w:rFonts w:hint="eastAsia"/>
          <w:color w:val="auto"/>
          <w:highlight w:val="none"/>
          <w:lang w:eastAsia="zh-CN"/>
        </w:rPr>
        <w:t>309mm</w:t>
      </w:r>
      <w:r>
        <w:rPr>
          <w:color w:val="auto"/>
          <w:highlight w:val="none"/>
        </w:rPr>
        <w:t>，本方案考虑到本项目为房地产开发项目，建设完成后建设单位对小区内空地采取景观绿化，并设置相应灌溉设施，因此林草植被恢复率不做调整，则本项目林草植被恢复率目标值为93%，本方案考虑到本项目位于</w:t>
      </w:r>
      <w:r>
        <w:rPr>
          <w:rFonts w:hint="eastAsia"/>
          <w:color w:val="auto"/>
          <w:highlight w:val="none"/>
          <w:lang w:eastAsia="zh-CN"/>
        </w:rPr>
        <w:t>伊宁</w:t>
      </w:r>
      <w:r>
        <w:rPr>
          <w:color w:val="auto"/>
          <w:highlight w:val="none"/>
        </w:rPr>
        <w:t>县城</w:t>
      </w:r>
      <w:r>
        <w:rPr>
          <w:rFonts w:hint="eastAsia"/>
          <w:color w:val="auto"/>
          <w:highlight w:val="none"/>
          <w:lang w:eastAsia="zh-CN"/>
        </w:rPr>
        <w:t>内，且周边分布有小区，因此提高</w:t>
      </w:r>
      <w:r>
        <w:rPr>
          <w:rFonts w:hint="eastAsia"/>
          <w:color w:val="auto"/>
          <w:highlight w:val="none"/>
          <w:lang w:val="en-US" w:eastAsia="zh-CN"/>
        </w:rPr>
        <w:t>2%，则本项目</w:t>
      </w:r>
      <w:r>
        <w:rPr>
          <w:color w:val="auto"/>
          <w:highlight w:val="none"/>
        </w:rPr>
        <w:t>林草覆盖率目标值为2</w:t>
      </w:r>
      <w:r>
        <w:rPr>
          <w:rFonts w:hint="eastAsia"/>
          <w:color w:val="auto"/>
          <w:highlight w:val="none"/>
          <w:lang w:val="en-US" w:eastAsia="zh-CN"/>
        </w:rPr>
        <w:t>2</w:t>
      </w:r>
      <w:r>
        <w:rPr>
          <w:color w:val="auto"/>
          <w:highlight w:val="none"/>
        </w:rPr>
        <w:t>%。经调整后的防治目标详见表1.5-1。</w:t>
      </w:r>
    </w:p>
    <w:p>
      <w:pPr>
        <w:pStyle w:val="75"/>
        <w:rPr>
          <w:color w:val="auto"/>
          <w:highlight w:val="none"/>
        </w:rPr>
      </w:pPr>
      <w:r>
        <w:rPr>
          <w:color w:val="auto"/>
          <w:highlight w:val="none"/>
        </w:rPr>
        <w:t>表1.5-1         本项目水土流失调整后防治目标值</w:t>
      </w:r>
    </w:p>
    <w:tbl>
      <w:tblPr>
        <w:tblStyle w:val="27"/>
        <w:tblW w:w="506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99"/>
        <w:gridCol w:w="742"/>
        <w:gridCol w:w="850"/>
        <w:gridCol w:w="731"/>
        <w:gridCol w:w="942"/>
        <w:gridCol w:w="1171"/>
        <w:gridCol w:w="980"/>
        <w:gridCol w:w="705"/>
        <w:gridCol w:w="9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143" w:type="pct"/>
            <w:vMerge w:val="restart"/>
            <w:shd w:val="clear" w:color="auto" w:fill="auto"/>
            <w:vAlign w:val="center"/>
          </w:tcPr>
          <w:p>
            <w:pPr>
              <w:pStyle w:val="84"/>
              <w:rPr>
                <w:color w:val="auto"/>
                <w:highlight w:val="none"/>
              </w:rPr>
            </w:pPr>
            <w:r>
              <w:rPr>
                <w:color w:val="auto"/>
                <w:highlight w:val="none"/>
              </w:rPr>
              <w:t>六项指标</w:t>
            </w:r>
          </w:p>
        </w:tc>
        <w:tc>
          <w:tcPr>
            <w:tcW w:w="867" w:type="pct"/>
            <w:gridSpan w:val="2"/>
            <w:shd w:val="clear" w:color="auto" w:fill="auto"/>
            <w:vAlign w:val="center"/>
          </w:tcPr>
          <w:p>
            <w:pPr>
              <w:pStyle w:val="84"/>
              <w:rPr>
                <w:color w:val="auto"/>
                <w:highlight w:val="none"/>
              </w:rPr>
            </w:pPr>
            <w:r>
              <w:rPr>
                <w:color w:val="auto"/>
                <w:highlight w:val="none"/>
              </w:rPr>
              <w:t>一级标准</w:t>
            </w:r>
          </w:p>
        </w:tc>
        <w:tc>
          <w:tcPr>
            <w:tcW w:w="910" w:type="pct"/>
            <w:gridSpan w:val="2"/>
            <w:shd w:val="clear" w:color="auto" w:fill="auto"/>
            <w:vAlign w:val="center"/>
          </w:tcPr>
          <w:p>
            <w:pPr>
              <w:pStyle w:val="84"/>
              <w:rPr>
                <w:color w:val="auto"/>
                <w:highlight w:val="none"/>
              </w:rPr>
            </w:pPr>
            <w:r>
              <w:rPr>
                <w:color w:val="auto"/>
                <w:highlight w:val="none"/>
              </w:rPr>
              <w:t>按干旱程度修正</w:t>
            </w:r>
          </w:p>
        </w:tc>
        <w:tc>
          <w:tcPr>
            <w:tcW w:w="1172" w:type="pct"/>
            <w:gridSpan w:val="2"/>
            <w:shd w:val="clear" w:color="auto" w:fill="auto"/>
            <w:vAlign w:val="center"/>
          </w:tcPr>
          <w:p>
            <w:pPr>
              <w:pStyle w:val="84"/>
              <w:rPr>
                <w:color w:val="auto"/>
                <w:highlight w:val="none"/>
              </w:rPr>
            </w:pPr>
            <w:r>
              <w:rPr>
                <w:color w:val="auto"/>
                <w:highlight w:val="none"/>
              </w:rPr>
              <w:t>按土壤侵蚀强度修正</w:t>
            </w:r>
          </w:p>
        </w:tc>
        <w:tc>
          <w:tcPr>
            <w:tcW w:w="908" w:type="pct"/>
            <w:gridSpan w:val="2"/>
            <w:shd w:val="clear" w:color="auto" w:fill="auto"/>
            <w:vAlign w:val="center"/>
          </w:tcPr>
          <w:p>
            <w:pPr>
              <w:pStyle w:val="84"/>
              <w:rPr>
                <w:color w:val="auto"/>
                <w:highlight w:val="none"/>
              </w:rPr>
            </w:pPr>
            <w:r>
              <w:rPr>
                <w:color w:val="auto"/>
                <w:highlight w:val="none"/>
              </w:rPr>
              <w:t>本项目采用标准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5" w:hRule="exact"/>
          <w:jc w:val="center"/>
        </w:trPr>
        <w:tc>
          <w:tcPr>
            <w:tcW w:w="1143" w:type="pct"/>
            <w:vMerge w:val="continue"/>
            <w:vAlign w:val="center"/>
          </w:tcPr>
          <w:p>
            <w:pPr>
              <w:pStyle w:val="84"/>
              <w:rPr>
                <w:color w:val="auto"/>
                <w:highlight w:val="none"/>
              </w:rPr>
            </w:pPr>
          </w:p>
        </w:tc>
        <w:tc>
          <w:tcPr>
            <w:tcW w:w="404" w:type="pct"/>
            <w:shd w:val="clear" w:color="auto" w:fill="auto"/>
            <w:vAlign w:val="center"/>
          </w:tcPr>
          <w:p>
            <w:pPr>
              <w:pStyle w:val="84"/>
              <w:rPr>
                <w:color w:val="auto"/>
                <w:highlight w:val="none"/>
              </w:rPr>
            </w:pPr>
            <w:r>
              <w:rPr>
                <w:color w:val="auto"/>
                <w:highlight w:val="none"/>
              </w:rPr>
              <w:t>施工期</w:t>
            </w:r>
          </w:p>
        </w:tc>
        <w:tc>
          <w:tcPr>
            <w:tcW w:w="463" w:type="pct"/>
            <w:shd w:val="clear" w:color="auto" w:fill="auto"/>
            <w:vAlign w:val="center"/>
          </w:tcPr>
          <w:p>
            <w:pPr>
              <w:pStyle w:val="84"/>
              <w:rPr>
                <w:color w:val="auto"/>
                <w:highlight w:val="none"/>
              </w:rPr>
            </w:pPr>
            <w:r>
              <w:rPr>
                <w:color w:val="auto"/>
                <w:highlight w:val="none"/>
              </w:rPr>
              <w:t>设计水平年</w:t>
            </w:r>
          </w:p>
        </w:tc>
        <w:tc>
          <w:tcPr>
            <w:tcW w:w="398" w:type="pct"/>
            <w:shd w:val="clear" w:color="auto" w:fill="auto"/>
            <w:vAlign w:val="center"/>
          </w:tcPr>
          <w:p>
            <w:pPr>
              <w:pStyle w:val="84"/>
              <w:rPr>
                <w:color w:val="auto"/>
                <w:highlight w:val="none"/>
              </w:rPr>
            </w:pPr>
            <w:r>
              <w:rPr>
                <w:color w:val="auto"/>
                <w:highlight w:val="none"/>
              </w:rPr>
              <w:t>施工期</w:t>
            </w:r>
          </w:p>
        </w:tc>
        <w:tc>
          <w:tcPr>
            <w:tcW w:w="513" w:type="pct"/>
            <w:shd w:val="clear" w:color="auto" w:fill="auto"/>
            <w:vAlign w:val="center"/>
          </w:tcPr>
          <w:p>
            <w:pPr>
              <w:pStyle w:val="84"/>
              <w:rPr>
                <w:color w:val="auto"/>
                <w:highlight w:val="none"/>
              </w:rPr>
            </w:pPr>
            <w:r>
              <w:rPr>
                <w:color w:val="auto"/>
                <w:highlight w:val="none"/>
              </w:rPr>
              <w:t>设计水平年</w:t>
            </w:r>
          </w:p>
        </w:tc>
        <w:tc>
          <w:tcPr>
            <w:tcW w:w="638" w:type="pct"/>
            <w:shd w:val="clear" w:color="auto" w:fill="auto"/>
            <w:vAlign w:val="center"/>
          </w:tcPr>
          <w:p>
            <w:pPr>
              <w:pStyle w:val="84"/>
              <w:rPr>
                <w:color w:val="auto"/>
                <w:highlight w:val="none"/>
              </w:rPr>
            </w:pPr>
            <w:r>
              <w:rPr>
                <w:color w:val="auto"/>
                <w:highlight w:val="none"/>
              </w:rPr>
              <w:t>施工期</w:t>
            </w:r>
          </w:p>
        </w:tc>
        <w:tc>
          <w:tcPr>
            <w:tcW w:w="534" w:type="pct"/>
            <w:shd w:val="clear" w:color="auto" w:fill="auto"/>
            <w:vAlign w:val="center"/>
          </w:tcPr>
          <w:p>
            <w:pPr>
              <w:pStyle w:val="84"/>
              <w:rPr>
                <w:color w:val="auto"/>
                <w:highlight w:val="none"/>
              </w:rPr>
            </w:pPr>
            <w:r>
              <w:rPr>
                <w:color w:val="auto"/>
                <w:highlight w:val="none"/>
              </w:rPr>
              <w:t>设计水平年</w:t>
            </w:r>
          </w:p>
        </w:tc>
        <w:tc>
          <w:tcPr>
            <w:tcW w:w="384" w:type="pct"/>
            <w:shd w:val="clear" w:color="auto" w:fill="auto"/>
            <w:vAlign w:val="center"/>
          </w:tcPr>
          <w:p>
            <w:pPr>
              <w:pStyle w:val="84"/>
              <w:rPr>
                <w:color w:val="auto"/>
                <w:highlight w:val="none"/>
              </w:rPr>
            </w:pPr>
            <w:r>
              <w:rPr>
                <w:color w:val="auto"/>
                <w:highlight w:val="none"/>
              </w:rPr>
              <w:t>施工期</w:t>
            </w:r>
          </w:p>
        </w:tc>
        <w:tc>
          <w:tcPr>
            <w:tcW w:w="524" w:type="pct"/>
            <w:shd w:val="clear" w:color="auto" w:fill="auto"/>
            <w:vAlign w:val="center"/>
          </w:tcPr>
          <w:p>
            <w:pPr>
              <w:pStyle w:val="84"/>
              <w:rPr>
                <w:color w:val="auto"/>
                <w:highlight w:val="none"/>
              </w:rPr>
            </w:pPr>
            <w:r>
              <w:rPr>
                <w:color w:val="auto"/>
                <w:highlight w:val="none"/>
              </w:rPr>
              <w:t>设计水平年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143" w:type="pct"/>
            <w:shd w:val="clear" w:color="auto" w:fill="auto"/>
            <w:vAlign w:val="center"/>
          </w:tcPr>
          <w:p>
            <w:pPr>
              <w:pStyle w:val="84"/>
              <w:rPr>
                <w:color w:val="auto"/>
                <w:highlight w:val="none"/>
              </w:rPr>
            </w:pPr>
            <w:r>
              <w:rPr>
                <w:color w:val="auto"/>
                <w:highlight w:val="none"/>
              </w:rPr>
              <w:t>水土流失治理（%）</w:t>
            </w:r>
          </w:p>
        </w:tc>
        <w:tc>
          <w:tcPr>
            <w:tcW w:w="404" w:type="pct"/>
            <w:shd w:val="clear" w:color="auto" w:fill="auto"/>
            <w:vAlign w:val="center"/>
          </w:tcPr>
          <w:p>
            <w:pPr>
              <w:pStyle w:val="84"/>
              <w:rPr>
                <w:color w:val="auto"/>
                <w:highlight w:val="none"/>
              </w:rPr>
            </w:pPr>
            <w:r>
              <w:rPr>
                <w:color w:val="auto"/>
                <w:highlight w:val="none"/>
              </w:rPr>
              <w:t>－</w:t>
            </w:r>
          </w:p>
        </w:tc>
        <w:tc>
          <w:tcPr>
            <w:tcW w:w="463" w:type="pct"/>
            <w:shd w:val="clear" w:color="auto" w:fill="auto"/>
            <w:vAlign w:val="center"/>
          </w:tcPr>
          <w:p>
            <w:pPr>
              <w:pStyle w:val="84"/>
              <w:rPr>
                <w:color w:val="auto"/>
                <w:highlight w:val="none"/>
              </w:rPr>
            </w:pPr>
            <w:r>
              <w:rPr>
                <w:color w:val="auto"/>
                <w:highlight w:val="none"/>
              </w:rPr>
              <w:t xml:space="preserve">85 </w:t>
            </w:r>
          </w:p>
        </w:tc>
        <w:tc>
          <w:tcPr>
            <w:tcW w:w="398" w:type="pct"/>
            <w:shd w:val="clear" w:color="auto" w:fill="auto"/>
            <w:vAlign w:val="center"/>
          </w:tcPr>
          <w:p>
            <w:pPr>
              <w:pStyle w:val="84"/>
              <w:rPr>
                <w:color w:val="auto"/>
                <w:highlight w:val="none"/>
              </w:rPr>
            </w:pPr>
            <w:r>
              <w:rPr>
                <w:color w:val="auto"/>
                <w:highlight w:val="none"/>
              </w:rPr>
              <w:t>　</w:t>
            </w:r>
          </w:p>
        </w:tc>
        <w:tc>
          <w:tcPr>
            <w:tcW w:w="513" w:type="pct"/>
            <w:shd w:val="clear" w:color="auto" w:fill="auto"/>
            <w:vAlign w:val="center"/>
          </w:tcPr>
          <w:p>
            <w:pPr>
              <w:pStyle w:val="84"/>
              <w:rPr>
                <w:color w:val="auto"/>
                <w:highlight w:val="none"/>
              </w:rPr>
            </w:pPr>
            <w:r>
              <w:rPr>
                <w:color w:val="auto"/>
                <w:highlight w:val="none"/>
              </w:rPr>
              <w:t>　</w:t>
            </w:r>
          </w:p>
        </w:tc>
        <w:tc>
          <w:tcPr>
            <w:tcW w:w="638" w:type="pct"/>
            <w:shd w:val="clear" w:color="auto" w:fill="auto"/>
            <w:vAlign w:val="center"/>
          </w:tcPr>
          <w:p>
            <w:pPr>
              <w:pStyle w:val="84"/>
              <w:rPr>
                <w:color w:val="auto"/>
                <w:highlight w:val="none"/>
              </w:rPr>
            </w:pPr>
            <w:r>
              <w:rPr>
                <w:color w:val="auto"/>
                <w:highlight w:val="none"/>
              </w:rPr>
              <w:t>　</w:t>
            </w:r>
          </w:p>
        </w:tc>
        <w:tc>
          <w:tcPr>
            <w:tcW w:w="534" w:type="pct"/>
            <w:shd w:val="clear" w:color="auto" w:fill="auto"/>
            <w:vAlign w:val="center"/>
          </w:tcPr>
          <w:p>
            <w:pPr>
              <w:pStyle w:val="84"/>
              <w:rPr>
                <w:color w:val="auto"/>
                <w:highlight w:val="none"/>
              </w:rPr>
            </w:pPr>
            <w:r>
              <w:rPr>
                <w:color w:val="auto"/>
                <w:highlight w:val="none"/>
              </w:rPr>
              <w:t>　</w:t>
            </w:r>
          </w:p>
        </w:tc>
        <w:tc>
          <w:tcPr>
            <w:tcW w:w="384" w:type="pct"/>
            <w:shd w:val="clear" w:color="auto" w:fill="auto"/>
            <w:vAlign w:val="center"/>
          </w:tcPr>
          <w:p>
            <w:pPr>
              <w:pStyle w:val="84"/>
              <w:rPr>
                <w:color w:val="auto"/>
                <w:highlight w:val="none"/>
              </w:rPr>
            </w:pPr>
            <w:r>
              <w:rPr>
                <w:color w:val="auto"/>
                <w:highlight w:val="none"/>
              </w:rPr>
              <w:t>－</w:t>
            </w:r>
          </w:p>
        </w:tc>
        <w:tc>
          <w:tcPr>
            <w:tcW w:w="524" w:type="pct"/>
            <w:shd w:val="clear" w:color="auto" w:fill="auto"/>
            <w:vAlign w:val="center"/>
          </w:tcPr>
          <w:p>
            <w:pPr>
              <w:pStyle w:val="84"/>
              <w:rPr>
                <w:color w:val="auto"/>
                <w:highlight w:val="none"/>
              </w:rPr>
            </w:pPr>
            <w:r>
              <w:rPr>
                <w:color w:val="auto"/>
                <w:highlight w:val="none"/>
              </w:rPr>
              <w:t xml:space="preserve">85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143" w:type="pct"/>
            <w:shd w:val="clear" w:color="auto" w:fill="auto"/>
            <w:vAlign w:val="center"/>
          </w:tcPr>
          <w:p>
            <w:pPr>
              <w:pStyle w:val="84"/>
              <w:rPr>
                <w:color w:val="auto"/>
                <w:highlight w:val="none"/>
              </w:rPr>
            </w:pPr>
            <w:r>
              <w:rPr>
                <w:color w:val="auto"/>
                <w:highlight w:val="none"/>
              </w:rPr>
              <w:t>土壤流失控制比</w:t>
            </w:r>
          </w:p>
        </w:tc>
        <w:tc>
          <w:tcPr>
            <w:tcW w:w="404" w:type="pct"/>
            <w:shd w:val="clear" w:color="auto" w:fill="auto"/>
            <w:vAlign w:val="center"/>
          </w:tcPr>
          <w:p>
            <w:pPr>
              <w:pStyle w:val="84"/>
              <w:rPr>
                <w:color w:val="auto"/>
                <w:highlight w:val="none"/>
              </w:rPr>
            </w:pPr>
            <w:r>
              <w:rPr>
                <w:color w:val="auto"/>
                <w:highlight w:val="none"/>
              </w:rPr>
              <w:t>－</w:t>
            </w:r>
          </w:p>
        </w:tc>
        <w:tc>
          <w:tcPr>
            <w:tcW w:w="463" w:type="pct"/>
            <w:shd w:val="clear" w:color="auto" w:fill="auto"/>
            <w:vAlign w:val="center"/>
          </w:tcPr>
          <w:p>
            <w:pPr>
              <w:pStyle w:val="84"/>
              <w:rPr>
                <w:color w:val="auto"/>
                <w:highlight w:val="none"/>
              </w:rPr>
            </w:pPr>
            <w:r>
              <w:rPr>
                <w:color w:val="auto"/>
                <w:highlight w:val="none"/>
              </w:rPr>
              <w:t xml:space="preserve">0.80 </w:t>
            </w:r>
          </w:p>
        </w:tc>
        <w:tc>
          <w:tcPr>
            <w:tcW w:w="398" w:type="pct"/>
            <w:shd w:val="clear" w:color="auto" w:fill="auto"/>
            <w:vAlign w:val="center"/>
          </w:tcPr>
          <w:p>
            <w:pPr>
              <w:pStyle w:val="84"/>
              <w:rPr>
                <w:color w:val="auto"/>
                <w:highlight w:val="none"/>
              </w:rPr>
            </w:pPr>
            <w:r>
              <w:rPr>
                <w:color w:val="auto"/>
                <w:highlight w:val="none"/>
              </w:rPr>
              <w:t>　</w:t>
            </w:r>
          </w:p>
        </w:tc>
        <w:tc>
          <w:tcPr>
            <w:tcW w:w="513" w:type="pct"/>
            <w:shd w:val="clear" w:color="auto" w:fill="auto"/>
            <w:vAlign w:val="center"/>
          </w:tcPr>
          <w:p>
            <w:pPr>
              <w:pStyle w:val="84"/>
              <w:rPr>
                <w:color w:val="auto"/>
                <w:highlight w:val="none"/>
              </w:rPr>
            </w:pPr>
            <w:r>
              <w:rPr>
                <w:color w:val="auto"/>
                <w:highlight w:val="none"/>
              </w:rPr>
              <w:t>　</w:t>
            </w:r>
          </w:p>
        </w:tc>
        <w:tc>
          <w:tcPr>
            <w:tcW w:w="638" w:type="pct"/>
            <w:shd w:val="clear" w:color="auto" w:fill="auto"/>
            <w:vAlign w:val="center"/>
          </w:tcPr>
          <w:p>
            <w:pPr>
              <w:pStyle w:val="84"/>
              <w:rPr>
                <w:color w:val="auto"/>
                <w:highlight w:val="none"/>
              </w:rPr>
            </w:pPr>
            <w:r>
              <w:rPr>
                <w:color w:val="auto"/>
                <w:highlight w:val="none"/>
              </w:rPr>
              <w:t>　</w:t>
            </w:r>
          </w:p>
        </w:tc>
        <w:tc>
          <w:tcPr>
            <w:tcW w:w="534" w:type="pct"/>
            <w:shd w:val="clear" w:color="auto" w:fill="auto"/>
            <w:vAlign w:val="center"/>
          </w:tcPr>
          <w:p>
            <w:pPr>
              <w:pStyle w:val="84"/>
              <w:rPr>
                <w:color w:val="auto"/>
                <w:highlight w:val="none"/>
              </w:rPr>
            </w:pPr>
            <w:r>
              <w:rPr>
                <w:color w:val="auto"/>
                <w:highlight w:val="none"/>
              </w:rPr>
              <w:t xml:space="preserve">0.20 </w:t>
            </w:r>
          </w:p>
        </w:tc>
        <w:tc>
          <w:tcPr>
            <w:tcW w:w="384" w:type="pct"/>
            <w:shd w:val="clear" w:color="auto" w:fill="auto"/>
            <w:vAlign w:val="center"/>
          </w:tcPr>
          <w:p>
            <w:pPr>
              <w:pStyle w:val="84"/>
              <w:rPr>
                <w:color w:val="auto"/>
                <w:highlight w:val="none"/>
              </w:rPr>
            </w:pPr>
            <w:r>
              <w:rPr>
                <w:color w:val="auto"/>
                <w:highlight w:val="none"/>
              </w:rPr>
              <w:t>－</w:t>
            </w:r>
          </w:p>
        </w:tc>
        <w:tc>
          <w:tcPr>
            <w:tcW w:w="524" w:type="pct"/>
            <w:shd w:val="clear" w:color="auto" w:fill="auto"/>
            <w:vAlign w:val="center"/>
          </w:tcPr>
          <w:p>
            <w:pPr>
              <w:pStyle w:val="84"/>
              <w:rPr>
                <w:color w:val="auto"/>
                <w:highlight w:val="none"/>
              </w:rPr>
            </w:pPr>
            <w:r>
              <w:rPr>
                <w:color w:val="auto"/>
                <w:highlight w:val="none"/>
              </w:rPr>
              <w:t xml:space="preserve">1.00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143" w:type="pct"/>
            <w:shd w:val="clear" w:color="auto" w:fill="auto"/>
            <w:vAlign w:val="center"/>
          </w:tcPr>
          <w:p>
            <w:pPr>
              <w:pStyle w:val="84"/>
              <w:rPr>
                <w:color w:val="auto"/>
                <w:highlight w:val="none"/>
              </w:rPr>
            </w:pPr>
            <w:r>
              <w:rPr>
                <w:color w:val="auto"/>
                <w:highlight w:val="none"/>
              </w:rPr>
              <w:t>渣土防护率（%）</w:t>
            </w:r>
          </w:p>
        </w:tc>
        <w:tc>
          <w:tcPr>
            <w:tcW w:w="404" w:type="pct"/>
            <w:shd w:val="clear" w:color="auto" w:fill="auto"/>
            <w:vAlign w:val="center"/>
          </w:tcPr>
          <w:p>
            <w:pPr>
              <w:pStyle w:val="84"/>
              <w:rPr>
                <w:color w:val="auto"/>
                <w:highlight w:val="none"/>
              </w:rPr>
            </w:pPr>
            <w:r>
              <w:rPr>
                <w:color w:val="auto"/>
                <w:highlight w:val="none"/>
              </w:rPr>
              <w:t xml:space="preserve">85 </w:t>
            </w:r>
          </w:p>
        </w:tc>
        <w:tc>
          <w:tcPr>
            <w:tcW w:w="463" w:type="pct"/>
            <w:shd w:val="clear" w:color="auto" w:fill="auto"/>
            <w:vAlign w:val="center"/>
          </w:tcPr>
          <w:p>
            <w:pPr>
              <w:pStyle w:val="84"/>
              <w:rPr>
                <w:color w:val="auto"/>
                <w:highlight w:val="none"/>
              </w:rPr>
            </w:pPr>
            <w:r>
              <w:rPr>
                <w:color w:val="auto"/>
                <w:highlight w:val="none"/>
              </w:rPr>
              <w:t xml:space="preserve">87 </w:t>
            </w:r>
          </w:p>
        </w:tc>
        <w:tc>
          <w:tcPr>
            <w:tcW w:w="398" w:type="pct"/>
            <w:shd w:val="clear" w:color="auto" w:fill="auto"/>
            <w:vAlign w:val="center"/>
          </w:tcPr>
          <w:p>
            <w:pPr>
              <w:pStyle w:val="84"/>
              <w:rPr>
                <w:color w:val="auto"/>
                <w:highlight w:val="none"/>
              </w:rPr>
            </w:pPr>
            <w:r>
              <w:rPr>
                <w:color w:val="auto"/>
                <w:highlight w:val="none"/>
              </w:rPr>
              <w:t>　</w:t>
            </w:r>
          </w:p>
        </w:tc>
        <w:tc>
          <w:tcPr>
            <w:tcW w:w="513" w:type="pct"/>
            <w:shd w:val="clear" w:color="auto" w:fill="auto"/>
            <w:vAlign w:val="center"/>
          </w:tcPr>
          <w:p>
            <w:pPr>
              <w:pStyle w:val="84"/>
              <w:rPr>
                <w:color w:val="auto"/>
                <w:highlight w:val="none"/>
              </w:rPr>
            </w:pPr>
            <w:r>
              <w:rPr>
                <w:color w:val="auto"/>
                <w:highlight w:val="none"/>
              </w:rPr>
              <w:t>　</w:t>
            </w:r>
          </w:p>
        </w:tc>
        <w:tc>
          <w:tcPr>
            <w:tcW w:w="638" w:type="pct"/>
            <w:shd w:val="clear" w:color="auto" w:fill="auto"/>
            <w:vAlign w:val="center"/>
          </w:tcPr>
          <w:p>
            <w:pPr>
              <w:pStyle w:val="84"/>
              <w:rPr>
                <w:color w:val="auto"/>
                <w:highlight w:val="none"/>
              </w:rPr>
            </w:pPr>
            <w:r>
              <w:rPr>
                <w:color w:val="auto"/>
                <w:highlight w:val="none"/>
              </w:rPr>
              <w:t>+2</w:t>
            </w:r>
          </w:p>
        </w:tc>
        <w:tc>
          <w:tcPr>
            <w:tcW w:w="534" w:type="pct"/>
            <w:shd w:val="clear" w:color="auto" w:fill="auto"/>
            <w:vAlign w:val="center"/>
          </w:tcPr>
          <w:p>
            <w:pPr>
              <w:pStyle w:val="84"/>
              <w:rPr>
                <w:color w:val="auto"/>
                <w:highlight w:val="none"/>
              </w:rPr>
            </w:pPr>
            <w:r>
              <w:rPr>
                <w:color w:val="auto"/>
                <w:highlight w:val="none"/>
              </w:rPr>
              <w:t>+2</w:t>
            </w:r>
          </w:p>
        </w:tc>
        <w:tc>
          <w:tcPr>
            <w:tcW w:w="384" w:type="pct"/>
            <w:shd w:val="clear" w:color="auto" w:fill="auto"/>
            <w:vAlign w:val="center"/>
          </w:tcPr>
          <w:p>
            <w:pPr>
              <w:pStyle w:val="84"/>
              <w:rPr>
                <w:color w:val="auto"/>
                <w:highlight w:val="none"/>
              </w:rPr>
            </w:pPr>
            <w:r>
              <w:rPr>
                <w:color w:val="auto"/>
                <w:highlight w:val="none"/>
              </w:rPr>
              <w:t xml:space="preserve">87 </w:t>
            </w:r>
          </w:p>
        </w:tc>
        <w:tc>
          <w:tcPr>
            <w:tcW w:w="524" w:type="pct"/>
            <w:shd w:val="clear" w:color="auto" w:fill="auto"/>
            <w:vAlign w:val="center"/>
          </w:tcPr>
          <w:p>
            <w:pPr>
              <w:pStyle w:val="84"/>
              <w:rPr>
                <w:color w:val="auto"/>
                <w:highlight w:val="none"/>
              </w:rPr>
            </w:pPr>
            <w:r>
              <w:rPr>
                <w:color w:val="auto"/>
                <w:highlight w:val="none"/>
              </w:rPr>
              <w:t xml:space="preserve">89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143" w:type="pct"/>
            <w:shd w:val="clear" w:color="auto" w:fill="auto"/>
            <w:vAlign w:val="center"/>
          </w:tcPr>
          <w:p>
            <w:pPr>
              <w:pStyle w:val="84"/>
              <w:rPr>
                <w:color w:val="auto"/>
                <w:highlight w:val="none"/>
              </w:rPr>
            </w:pPr>
            <w:r>
              <w:rPr>
                <w:color w:val="auto"/>
                <w:highlight w:val="none"/>
              </w:rPr>
              <w:t>表土保护率（%）</w:t>
            </w:r>
          </w:p>
        </w:tc>
        <w:tc>
          <w:tcPr>
            <w:tcW w:w="404" w:type="pct"/>
            <w:shd w:val="clear" w:color="auto" w:fill="auto"/>
            <w:vAlign w:val="center"/>
          </w:tcPr>
          <w:p>
            <w:pPr>
              <w:pStyle w:val="84"/>
              <w:rPr>
                <w:color w:val="auto"/>
                <w:highlight w:val="none"/>
              </w:rPr>
            </w:pPr>
            <w:r>
              <w:rPr>
                <w:color w:val="auto"/>
                <w:highlight w:val="none"/>
              </w:rPr>
              <w:t>*</w:t>
            </w:r>
          </w:p>
        </w:tc>
        <w:tc>
          <w:tcPr>
            <w:tcW w:w="463" w:type="pct"/>
            <w:shd w:val="clear" w:color="auto" w:fill="auto"/>
            <w:vAlign w:val="center"/>
          </w:tcPr>
          <w:p>
            <w:pPr>
              <w:pStyle w:val="84"/>
              <w:rPr>
                <w:color w:val="auto"/>
                <w:highlight w:val="none"/>
              </w:rPr>
            </w:pPr>
            <w:r>
              <w:rPr>
                <w:color w:val="auto"/>
                <w:highlight w:val="none"/>
              </w:rPr>
              <w:t>*</w:t>
            </w:r>
          </w:p>
        </w:tc>
        <w:tc>
          <w:tcPr>
            <w:tcW w:w="398" w:type="pct"/>
            <w:shd w:val="clear" w:color="auto" w:fill="auto"/>
            <w:vAlign w:val="center"/>
          </w:tcPr>
          <w:p>
            <w:pPr>
              <w:pStyle w:val="84"/>
              <w:rPr>
                <w:color w:val="auto"/>
                <w:highlight w:val="none"/>
              </w:rPr>
            </w:pPr>
            <w:r>
              <w:rPr>
                <w:color w:val="auto"/>
                <w:highlight w:val="none"/>
              </w:rPr>
              <w:t>　</w:t>
            </w:r>
          </w:p>
        </w:tc>
        <w:tc>
          <w:tcPr>
            <w:tcW w:w="513" w:type="pct"/>
            <w:shd w:val="clear" w:color="auto" w:fill="auto"/>
            <w:vAlign w:val="center"/>
          </w:tcPr>
          <w:p>
            <w:pPr>
              <w:pStyle w:val="84"/>
              <w:rPr>
                <w:color w:val="auto"/>
                <w:highlight w:val="none"/>
              </w:rPr>
            </w:pPr>
            <w:r>
              <w:rPr>
                <w:color w:val="auto"/>
                <w:highlight w:val="none"/>
              </w:rPr>
              <w:t>　</w:t>
            </w:r>
          </w:p>
        </w:tc>
        <w:tc>
          <w:tcPr>
            <w:tcW w:w="638" w:type="pct"/>
            <w:shd w:val="clear" w:color="auto" w:fill="auto"/>
            <w:vAlign w:val="center"/>
          </w:tcPr>
          <w:p>
            <w:pPr>
              <w:pStyle w:val="84"/>
              <w:rPr>
                <w:color w:val="auto"/>
                <w:highlight w:val="none"/>
              </w:rPr>
            </w:pPr>
            <w:r>
              <w:rPr>
                <w:color w:val="auto"/>
                <w:highlight w:val="none"/>
              </w:rPr>
              <w:t>　</w:t>
            </w:r>
          </w:p>
        </w:tc>
        <w:tc>
          <w:tcPr>
            <w:tcW w:w="534" w:type="pct"/>
            <w:shd w:val="clear" w:color="auto" w:fill="auto"/>
            <w:vAlign w:val="center"/>
          </w:tcPr>
          <w:p>
            <w:pPr>
              <w:pStyle w:val="84"/>
              <w:rPr>
                <w:color w:val="auto"/>
                <w:highlight w:val="none"/>
              </w:rPr>
            </w:pPr>
            <w:r>
              <w:rPr>
                <w:color w:val="auto"/>
                <w:highlight w:val="none"/>
              </w:rPr>
              <w:t>　</w:t>
            </w:r>
          </w:p>
        </w:tc>
        <w:tc>
          <w:tcPr>
            <w:tcW w:w="384" w:type="pct"/>
            <w:shd w:val="clear" w:color="auto" w:fill="auto"/>
            <w:vAlign w:val="center"/>
          </w:tcPr>
          <w:p>
            <w:pPr>
              <w:pStyle w:val="84"/>
              <w:rPr>
                <w:color w:val="auto"/>
                <w:highlight w:val="none"/>
              </w:rPr>
            </w:pPr>
            <w:r>
              <w:rPr>
                <w:color w:val="auto"/>
                <w:highlight w:val="none"/>
              </w:rPr>
              <w:t>*</w:t>
            </w:r>
          </w:p>
        </w:tc>
        <w:tc>
          <w:tcPr>
            <w:tcW w:w="524" w:type="pct"/>
            <w:shd w:val="clear" w:color="auto" w:fill="auto"/>
            <w:vAlign w:val="center"/>
          </w:tcPr>
          <w:p>
            <w:pPr>
              <w:pStyle w:val="84"/>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143" w:type="pct"/>
            <w:shd w:val="clear" w:color="auto" w:fill="auto"/>
            <w:vAlign w:val="center"/>
          </w:tcPr>
          <w:p>
            <w:pPr>
              <w:pStyle w:val="84"/>
              <w:rPr>
                <w:color w:val="auto"/>
                <w:highlight w:val="none"/>
              </w:rPr>
            </w:pPr>
            <w:r>
              <w:rPr>
                <w:color w:val="auto"/>
                <w:highlight w:val="none"/>
              </w:rPr>
              <w:t>林草植被恢复率（%）</w:t>
            </w:r>
          </w:p>
        </w:tc>
        <w:tc>
          <w:tcPr>
            <w:tcW w:w="404" w:type="pct"/>
            <w:shd w:val="clear" w:color="auto" w:fill="auto"/>
            <w:vAlign w:val="center"/>
          </w:tcPr>
          <w:p>
            <w:pPr>
              <w:pStyle w:val="84"/>
              <w:rPr>
                <w:color w:val="auto"/>
                <w:highlight w:val="none"/>
              </w:rPr>
            </w:pPr>
            <w:r>
              <w:rPr>
                <w:color w:val="auto"/>
                <w:highlight w:val="none"/>
              </w:rPr>
              <w:t>－</w:t>
            </w:r>
          </w:p>
        </w:tc>
        <w:tc>
          <w:tcPr>
            <w:tcW w:w="463" w:type="pct"/>
            <w:shd w:val="clear" w:color="auto" w:fill="auto"/>
            <w:vAlign w:val="center"/>
          </w:tcPr>
          <w:p>
            <w:pPr>
              <w:pStyle w:val="84"/>
              <w:rPr>
                <w:color w:val="auto"/>
                <w:highlight w:val="none"/>
              </w:rPr>
            </w:pPr>
            <w:r>
              <w:rPr>
                <w:color w:val="auto"/>
                <w:highlight w:val="none"/>
              </w:rPr>
              <w:t xml:space="preserve">93 </w:t>
            </w:r>
          </w:p>
        </w:tc>
        <w:tc>
          <w:tcPr>
            <w:tcW w:w="398" w:type="pct"/>
            <w:shd w:val="clear" w:color="auto" w:fill="auto"/>
            <w:vAlign w:val="center"/>
          </w:tcPr>
          <w:p>
            <w:pPr>
              <w:pStyle w:val="84"/>
              <w:rPr>
                <w:color w:val="auto"/>
                <w:highlight w:val="none"/>
              </w:rPr>
            </w:pPr>
            <w:r>
              <w:rPr>
                <w:color w:val="auto"/>
                <w:highlight w:val="none"/>
              </w:rPr>
              <w:t>　</w:t>
            </w:r>
          </w:p>
        </w:tc>
        <w:tc>
          <w:tcPr>
            <w:tcW w:w="513" w:type="pct"/>
            <w:shd w:val="clear" w:color="auto" w:fill="auto"/>
            <w:vAlign w:val="center"/>
          </w:tcPr>
          <w:p>
            <w:pPr>
              <w:pStyle w:val="84"/>
              <w:rPr>
                <w:color w:val="auto"/>
                <w:highlight w:val="none"/>
              </w:rPr>
            </w:pPr>
            <w:r>
              <w:rPr>
                <w:color w:val="auto"/>
                <w:highlight w:val="none"/>
              </w:rPr>
              <w:t>　</w:t>
            </w:r>
          </w:p>
        </w:tc>
        <w:tc>
          <w:tcPr>
            <w:tcW w:w="638" w:type="pct"/>
            <w:shd w:val="clear" w:color="auto" w:fill="auto"/>
            <w:vAlign w:val="center"/>
          </w:tcPr>
          <w:p>
            <w:pPr>
              <w:pStyle w:val="84"/>
              <w:rPr>
                <w:color w:val="auto"/>
                <w:highlight w:val="none"/>
              </w:rPr>
            </w:pPr>
            <w:r>
              <w:rPr>
                <w:color w:val="auto"/>
                <w:highlight w:val="none"/>
              </w:rPr>
              <w:t>　</w:t>
            </w:r>
          </w:p>
        </w:tc>
        <w:tc>
          <w:tcPr>
            <w:tcW w:w="534" w:type="pct"/>
            <w:shd w:val="clear" w:color="auto" w:fill="auto"/>
            <w:vAlign w:val="center"/>
          </w:tcPr>
          <w:p>
            <w:pPr>
              <w:pStyle w:val="84"/>
              <w:rPr>
                <w:color w:val="auto"/>
                <w:highlight w:val="none"/>
              </w:rPr>
            </w:pPr>
            <w:r>
              <w:rPr>
                <w:color w:val="auto"/>
                <w:highlight w:val="none"/>
              </w:rPr>
              <w:t>　</w:t>
            </w:r>
          </w:p>
        </w:tc>
        <w:tc>
          <w:tcPr>
            <w:tcW w:w="384" w:type="pct"/>
            <w:shd w:val="clear" w:color="auto" w:fill="auto"/>
            <w:vAlign w:val="center"/>
          </w:tcPr>
          <w:p>
            <w:pPr>
              <w:pStyle w:val="84"/>
              <w:rPr>
                <w:color w:val="auto"/>
                <w:highlight w:val="none"/>
              </w:rPr>
            </w:pPr>
            <w:r>
              <w:rPr>
                <w:color w:val="auto"/>
                <w:highlight w:val="none"/>
              </w:rPr>
              <w:t>－</w:t>
            </w:r>
          </w:p>
        </w:tc>
        <w:tc>
          <w:tcPr>
            <w:tcW w:w="524" w:type="pct"/>
            <w:shd w:val="clear" w:color="auto" w:fill="auto"/>
            <w:vAlign w:val="center"/>
          </w:tcPr>
          <w:p>
            <w:pPr>
              <w:pStyle w:val="84"/>
              <w:rPr>
                <w:color w:val="auto"/>
                <w:highlight w:val="none"/>
              </w:rPr>
            </w:pPr>
            <w:r>
              <w:rPr>
                <w:color w:val="auto"/>
                <w:highlight w:val="none"/>
              </w:rPr>
              <w:t xml:space="preserve">93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143" w:type="pct"/>
            <w:shd w:val="clear" w:color="auto" w:fill="auto"/>
            <w:vAlign w:val="center"/>
          </w:tcPr>
          <w:p>
            <w:pPr>
              <w:pStyle w:val="84"/>
              <w:rPr>
                <w:color w:val="auto"/>
                <w:highlight w:val="none"/>
              </w:rPr>
            </w:pPr>
            <w:r>
              <w:rPr>
                <w:color w:val="auto"/>
                <w:highlight w:val="none"/>
              </w:rPr>
              <w:t>林草覆盖率（%）</w:t>
            </w:r>
          </w:p>
        </w:tc>
        <w:tc>
          <w:tcPr>
            <w:tcW w:w="404" w:type="pct"/>
            <w:shd w:val="clear" w:color="auto" w:fill="auto"/>
            <w:vAlign w:val="center"/>
          </w:tcPr>
          <w:p>
            <w:pPr>
              <w:pStyle w:val="84"/>
              <w:rPr>
                <w:color w:val="auto"/>
                <w:highlight w:val="none"/>
              </w:rPr>
            </w:pPr>
            <w:r>
              <w:rPr>
                <w:color w:val="auto"/>
                <w:highlight w:val="none"/>
              </w:rPr>
              <w:t>－</w:t>
            </w:r>
          </w:p>
        </w:tc>
        <w:tc>
          <w:tcPr>
            <w:tcW w:w="463" w:type="pct"/>
            <w:shd w:val="clear" w:color="auto" w:fill="auto"/>
            <w:vAlign w:val="center"/>
          </w:tcPr>
          <w:p>
            <w:pPr>
              <w:pStyle w:val="84"/>
              <w:rPr>
                <w:color w:val="auto"/>
                <w:highlight w:val="none"/>
              </w:rPr>
            </w:pPr>
            <w:r>
              <w:rPr>
                <w:color w:val="auto"/>
                <w:highlight w:val="none"/>
              </w:rPr>
              <w:t xml:space="preserve">20 </w:t>
            </w:r>
          </w:p>
        </w:tc>
        <w:tc>
          <w:tcPr>
            <w:tcW w:w="398" w:type="pct"/>
            <w:shd w:val="clear" w:color="auto" w:fill="auto"/>
            <w:vAlign w:val="center"/>
          </w:tcPr>
          <w:p>
            <w:pPr>
              <w:pStyle w:val="84"/>
              <w:rPr>
                <w:color w:val="auto"/>
                <w:highlight w:val="none"/>
              </w:rPr>
            </w:pPr>
            <w:r>
              <w:rPr>
                <w:color w:val="auto"/>
                <w:highlight w:val="none"/>
              </w:rPr>
              <w:t>　</w:t>
            </w:r>
          </w:p>
        </w:tc>
        <w:tc>
          <w:tcPr>
            <w:tcW w:w="513" w:type="pct"/>
            <w:shd w:val="clear" w:color="auto" w:fill="auto"/>
            <w:vAlign w:val="center"/>
          </w:tcPr>
          <w:p>
            <w:pPr>
              <w:pStyle w:val="84"/>
              <w:rPr>
                <w:color w:val="auto"/>
                <w:highlight w:val="none"/>
              </w:rPr>
            </w:pPr>
            <w:r>
              <w:rPr>
                <w:color w:val="auto"/>
                <w:highlight w:val="none"/>
              </w:rPr>
              <w:t>　</w:t>
            </w:r>
          </w:p>
        </w:tc>
        <w:tc>
          <w:tcPr>
            <w:tcW w:w="1171" w:type="dxa"/>
            <w:shd w:val="clear" w:color="auto" w:fill="auto"/>
            <w:vAlign w:val="center"/>
          </w:tcPr>
          <w:p>
            <w:pPr>
              <w:pStyle w:val="84"/>
              <w:ind w:firstLine="0" w:firstLineChars="0"/>
              <w:rPr>
                <w:color w:val="auto"/>
                <w:highlight w:val="none"/>
              </w:rPr>
            </w:pPr>
            <w:r>
              <w:rPr>
                <w:color w:val="auto"/>
                <w:highlight w:val="none"/>
              </w:rPr>
              <w:t>+2</w:t>
            </w:r>
          </w:p>
        </w:tc>
        <w:tc>
          <w:tcPr>
            <w:tcW w:w="980" w:type="dxa"/>
            <w:shd w:val="clear" w:color="auto" w:fill="auto"/>
            <w:vAlign w:val="center"/>
          </w:tcPr>
          <w:p>
            <w:pPr>
              <w:pStyle w:val="84"/>
              <w:ind w:firstLine="0" w:firstLineChars="0"/>
              <w:rPr>
                <w:color w:val="auto"/>
                <w:highlight w:val="none"/>
              </w:rPr>
            </w:pPr>
            <w:r>
              <w:rPr>
                <w:color w:val="auto"/>
                <w:highlight w:val="none"/>
              </w:rPr>
              <w:t>+2</w:t>
            </w:r>
          </w:p>
        </w:tc>
        <w:tc>
          <w:tcPr>
            <w:tcW w:w="384" w:type="pct"/>
            <w:shd w:val="clear" w:color="auto" w:fill="auto"/>
            <w:vAlign w:val="center"/>
          </w:tcPr>
          <w:p>
            <w:pPr>
              <w:pStyle w:val="84"/>
              <w:rPr>
                <w:color w:val="auto"/>
                <w:highlight w:val="none"/>
              </w:rPr>
            </w:pPr>
            <w:r>
              <w:rPr>
                <w:color w:val="auto"/>
                <w:highlight w:val="none"/>
              </w:rPr>
              <w:t>－</w:t>
            </w:r>
          </w:p>
        </w:tc>
        <w:tc>
          <w:tcPr>
            <w:tcW w:w="524" w:type="pct"/>
            <w:shd w:val="clear" w:color="auto" w:fill="auto"/>
            <w:vAlign w:val="center"/>
          </w:tcPr>
          <w:p>
            <w:pPr>
              <w:pStyle w:val="84"/>
              <w:rPr>
                <w:color w:val="auto"/>
                <w:highlight w:val="none"/>
              </w:rPr>
            </w:pPr>
            <w:r>
              <w:rPr>
                <w:color w:val="auto"/>
                <w:highlight w:val="none"/>
              </w:rPr>
              <w:t>2</w:t>
            </w:r>
            <w:r>
              <w:rPr>
                <w:rFonts w:hint="eastAsia"/>
                <w:color w:val="auto"/>
                <w:highlight w:val="none"/>
                <w:lang w:val="en-US" w:eastAsia="zh-CN"/>
              </w:rPr>
              <w:t>2</w:t>
            </w:r>
            <w:r>
              <w:rPr>
                <w:color w:val="auto"/>
                <w:highlight w:val="none"/>
              </w:rPr>
              <w:t xml:space="preserve"> </w:t>
            </w:r>
          </w:p>
        </w:tc>
      </w:tr>
    </w:tbl>
    <w:p>
      <w:pPr>
        <w:pStyle w:val="66"/>
        <w:rPr>
          <w:color w:val="auto"/>
          <w:highlight w:val="none"/>
        </w:rPr>
      </w:pPr>
      <w:bookmarkStart w:id="56" w:name="_Toc417412294"/>
      <w:bookmarkStart w:id="57" w:name="_Toc407014510"/>
      <w:bookmarkStart w:id="58" w:name="_Toc275"/>
      <w:r>
        <w:rPr>
          <w:color w:val="auto"/>
          <w:highlight w:val="none"/>
        </w:rPr>
        <w:t xml:space="preserve">1.6 </w:t>
      </w:r>
      <w:bookmarkEnd w:id="56"/>
      <w:bookmarkEnd w:id="57"/>
      <w:r>
        <w:rPr>
          <w:color w:val="auto"/>
          <w:highlight w:val="none"/>
        </w:rPr>
        <w:t>项目水土保持评价结论</w:t>
      </w:r>
      <w:bookmarkEnd w:id="58"/>
    </w:p>
    <w:p>
      <w:pPr>
        <w:pStyle w:val="69"/>
        <w:rPr>
          <w:color w:val="auto"/>
          <w:highlight w:val="none"/>
        </w:rPr>
      </w:pPr>
      <w:r>
        <w:rPr>
          <w:color w:val="auto"/>
          <w:highlight w:val="none"/>
        </w:rPr>
        <w:t>1.6.1 主体工程选址（线）评价</w:t>
      </w:r>
    </w:p>
    <w:p>
      <w:pPr>
        <w:pStyle w:val="56"/>
        <w:ind w:firstLine="480"/>
        <w:rPr>
          <w:color w:val="auto"/>
          <w:highlight w:val="none"/>
        </w:rPr>
      </w:pPr>
      <w:r>
        <w:rPr>
          <w:color w:val="auto"/>
          <w:highlight w:val="none"/>
        </w:rPr>
        <w:t>本工程属于新建项目，目前已开工建设，属于补报项目，按《中华人民共和国水土保持法》相关规定，《生产建设项目水土保持技术标准》（GB 50433-2018）3.2.1及4.3.12节规定及水利部《关于严格开发建设项目水土保持方案审查审批工作的通知》（水保[2007]184号）中有关限制性条件进行逐条分析，本项目建设没有水土保持限制性因素。</w:t>
      </w:r>
    </w:p>
    <w:p>
      <w:pPr>
        <w:pStyle w:val="69"/>
        <w:rPr>
          <w:color w:val="auto"/>
          <w:highlight w:val="none"/>
        </w:rPr>
      </w:pPr>
      <w:r>
        <w:rPr>
          <w:color w:val="auto"/>
          <w:highlight w:val="none"/>
        </w:rPr>
        <w:t>1.6.2 建设方案与布局评价</w:t>
      </w:r>
    </w:p>
    <w:p>
      <w:pPr>
        <w:pStyle w:val="56"/>
        <w:ind w:firstLine="480"/>
        <w:rPr>
          <w:color w:val="auto"/>
          <w:highlight w:val="none"/>
        </w:rPr>
      </w:pPr>
      <w:r>
        <w:rPr>
          <w:color w:val="auto"/>
          <w:highlight w:val="none"/>
        </w:rPr>
        <w:t>（1）项目区不存在高填深挖情况，且利用场地内土方顺坡平整场地，有利于减少土石方的动迁。主体设计在周边空地实施绿化，美化场区环境，改善区域环境。同时本项目位于平原区，在城区范围内，不涉及洪水汇水影响。项目区整体布局紧凑，各建构筑物布置合理，项目区内部空地均得到有效利用，主体工程符合《生产建设项目水土保持技术标准》(GB-50433-2018)中规定的工程选址、建设方案及布局要求。</w:t>
      </w:r>
    </w:p>
    <w:p>
      <w:pPr>
        <w:pStyle w:val="56"/>
        <w:ind w:firstLine="480"/>
        <w:rPr>
          <w:color w:val="auto"/>
          <w:highlight w:val="none"/>
        </w:rPr>
      </w:pPr>
      <w:r>
        <w:rPr>
          <w:color w:val="auto"/>
          <w:highlight w:val="none"/>
        </w:rPr>
        <w:t>（2）从占地类型、面积和占地性质分析认为：主体工程设计布局较为合理，工程占地面积基本合理，没有乱占乱挖土地和随意破坏地表植被等不合理占地情况，符合水土保持要求。工程建设占用的住宅用地植被覆盖率</w:t>
      </w:r>
      <w:r>
        <w:rPr>
          <w:rFonts w:hint="eastAsia"/>
          <w:color w:val="auto"/>
          <w:highlight w:val="none"/>
          <w:lang w:eastAsia="zh-CN"/>
        </w:rPr>
        <w:t>适中</w:t>
      </w:r>
      <w:r>
        <w:rPr>
          <w:color w:val="auto"/>
          <w:highlight w:val="none"/>
        </w:rPr>
        <w:t>，周边土壤</w:t>
      </w:r>
      <w:r>
        <w:rPr>
          <w:rFonts w:hint="eastAsia"/>
          <w:color w:val="auto"/>
          <w:highlight w:val="none"/>
          <w:lang w:eastAsia="zh-CN"/>
        </w:rPr>
        <w:t>为灰钙土，经过整地后，适合植被生长</w:t>
      </w:r>
      <w:r>
        <w:rPr>
          <w:color w:val="auto"/>
          <w:highlight w:val="none"/>
        </w:rPr>
        <w:t>，</w:t>
      </w:r>
      <w:r>
        <w:rPr>
          <w:rFonts w:hint="eastAsia"/>
          <w:color w:val="auto"/>
          <w:highlight w:val="none"/>
          <w:lang w:eastAsia="zh-CN"/>
        </w:rPr>
        <w:t>且本项目扰动范围较小，</w:t>
      </w:r>
      <w:r>
        <w:rPr>
          <w:color w:val="auto"/>
          <w:highlight w:val="none"/>
        </w:rPr>
        <w:t>不会对当地居民的生产生活造成明显影响，不会对当地的生态环境和自然植被造成明显破坏。符合水土保持要求。</w:t>
      </w:r>
    </w:p>
    <w:p>
      <w:pPr>
        <w:pStyle w:val="56"/>
        <w:ind w:firstLine="480"/>
        <w:rPr>
          <w:color w:val="auto"/>
          <w:highlight w:val="none"/>
        </w:rPr>
      </w:pPr>
      <w:r>
        <w:rPr>
          <w:color w:val="auto"/>
          <w:highlight w:val="none"/>
        </w:rPr>
        <w:t>（3）根据主体资料，本工程总挖方2.1</w:t>
      </w:r>
      <w:r>
        <w:rPr>
          <w:rFonts w:hint="eastAsia"/>
          <w:color w:val="auto"/>
          <w:highlight w:val="none"/>
          <w:lang w:val="en-US" w:eastAsia="zh-CN"/>
        </w:rPr>
        <w:t>8</w:t>
      </w:r>
      <w:r>
        <w:rPr>
          <w:color w:val="auto"/>
          <w:highlight w:val="none"/>
        </w:rPr>
        <w:t>万m³，填方2.1</w:t>
      </w:r>
      <w:r>
        <w:rPr>
          <w:rFonts w:hint="eastAsia"/>
          <w:color w:val="auto"/>
          <w:highlight w:val="none"/>
          <w:lang w:val="en-US" w:eastAsia="zh-CN"/>
        </w:rPr>
        <w:t>8</w:t>
      </w:r>
      <w:r>
        <w:rPr>
          <w:color w:val="auto"/>
          <w:highlight w:val="none"/>
        </w:rPr>
        <w:t>万m³，无借方，无弃方。涉及土方主要为建构筑物基础和管沟开挖回填。建构筑物基础开挖土方临时堆置在开挖基础周边，后期回填利用。管沟开挖土方临时堆置在管沟开挖一侧，后期管线铺设完成后回填利用。同时为减少工程建设产生的土石方，主体最优布设相应的各类管线，部分管线采取同沟布设，最大程度减少工程重复扰动以及减少土石方开挖量。综上所述，本项目土石方来源及去向明确，土石方利用和调配合理、有序；土石方组成符合要求，运距合理。</w:t>
      </w:r>
      <w:r>
        <w:rPr>
          <w:bCs/>
          <w:color w:val="auto"/>
          <w:highlight w:val="none"/>
        </w:rPr>
        <w:t>工程开挖土方全部得到了合理处置，满足水土保持的要求。</w:t>
      </w:r>
    </w:p>
    <w:p>
      <w:pPr>
        <w:pStyle w:val="56"/>
        <w:ind w:firstLine="480"/>
        <w:rPr>
          <w:color w:val="auto"/>
          <w:highlight w:val="none"/>
        </w:rPr>
      </w:pPr>
      <w:r>
        <w:rPr>
          <w:color w:val="auto"/>
          <w:highlight w:val="none"/>
        </w:rPr>
        <w:t>（4）本项目建设所需的混凝土砂砾石拌合料从当地商品料场购买，其水土保持责任由砂砾石料厂承担，不设置专用料场。本工程建设期间挖方均用于后期回填，无永久弃方，因此无永久弃渣场。</w:t>
      </w:r>
    </w:p>
    <w:p>
      <w:pPr>
        <w:pStyle w:val="56"/>
        <w:ind w:firstLine="480"/>
        <w:rPr>
          <w:color w:val="auto"/>
          <w:highlight w:val="none"/>
        </w:rPr>
      </w:pPr>
      <w:r>
        <w:rPr>
          <w:color w:val="auto"/>
          <w:highlight w:val="none"/>
        </w:rPr>
        <w:t>（5）根据施工程序和施工进度安排，结合本工程地形条件、以及施工需要，主体开挖回填土方均利用开挖土方，避免了较多的外借土方，间接的减少了地表扰动面积，并且工程建设回填利用的土方有序临时堆置，采取防护措施，避免的弃土乱堆乱发，符合水土保持的要求。</w:t>
      </w:r>
    </w:p>
    <w:p>
      <w:pPr>
        <w:pStyle w:val="56"/>
        <w:ind w:firstLine="480"/>
        <w:rPr>
          <w:color w:val="auto"/>
          <w:highlight w:val="none"/>
        </w:rPr>
      </w:pPr>
      <w:r>
        <w:rPr>
          <w:color w:val="auto"/>
          <w:highlight w:val="none"/>
        </w:rPr>
        <w:t>（6）本项目建构筑物施工以机械为主，配合少量人工。建筑物基础采用机械开挖，速度较快，可减少扰动时间。路基施工为常规施工，以机械施工为主，并以人工辅助。施工中，运输车辆运土，推土机摊铺，振动碾分层碾压，工艺合理，施工便捷，步骤紧凑，速度较快，堆填、平整、碾压步骤合理、连贯，减少土壤流失。施工期间道路硬化前在风季容易造成水土流失，故应注意防尘。管沟施工现场按照设计图纸放线并开挖基坑、基槽，以机械开挖为主，同时辅以人工开挖，载重汽车运送施工材料。综上所述，建构筑物区均为常规施工，施工机械化程度高，施工速度快，施工布置合理，施工时序有利于项目水土流失的防治，有利于水土保持，满足水土保持要求。</w:t>
      </w:r>
    </w:p>
    <w:p>
      <w:pPr>
        <w:pStyle w:val="56"/>
        <w:ind w:firstLine="480"/>
        <w:rPr>
          <w:color w:val="auto"/>
          <w:highlight w:val="none"/>
        </w:rPr>
      </w:pPr>
      <w:r>
        <w:rPr>
          <w:color w:val="auto"/>
          <w:highlight w:val="none"/>
        </w:rPr>
        <w:t>（7）根据主体工程资料，主体工程设计了相关水土保持措施。通过从水土保持角度及预防和保护项目区生态环境、全面治理因项目建设引起的水土流失的角度看，主体工程设计的具有水土保持功能的措施有效的减轻了工程施工过程中的水土流失，能够有效防护项目区建设期的水土流失，但根据现场踏勘情况，主体设计了部分措施，但未考虑完全，尤其是道路及硬化区车辆碾压造成的扬尘、管线工程区的临时堆土防护等，因此本方案新增部分措施，与主体工程设计的各项措施形成较完善的防治措施体系，有效治理工程建设产生的水土流失。</w:t>
      </w:r>
    </w:p>
    <w:p>
      <w:pPr>
        <w:pStyle w:val="56"/>
        <w:ind w:firstLine="480"/>
        <w:rPr>
          <w:color w:val="auto"/>
          <w:highlight w:val="none"/>
        </w:rPr>
      </w:pPr>
      <w:r>
        <w:rPr>
          <w:color w:val="auto"/>
          <w:highlight w:val="none"/>
        </w:rPr>
        <w:t>从水土保持的角度分析，</w:t>
      </w:r>
      <w:r>
        <w:rPr>
          <w:rFonts w:hint="eastAsia"/>
          <w:color w:val="auto"/>
          <w:highlight w:val="none"/>
          <w:lang w:eastAsia="zh-CN"/>
        </w:rPr>
        <w:t>伊宁县书香·雅居</w:t>
      </w:r>
      <w:r>
        <w:rPr>
          <w:color w:val="auto"/>
          <w:highlight w:val="none"/>
        </w:rPr>
        <w:t>建设项目不存在限制性因素，主体选址、设计、占地、土石方、施工组织、施工方法与工艺合理，项目建设可行。</w:t>
      </w:r>
    </w:p>
    <w:p>
      <w:pPr>
        <w:pStyle w:val="66"/>
        <w:rPr>
          <w:color w:val="auto"/>
          <w:highlight w:val="none"/>
        </w:rPr>
      </w:pPr>
      <w:bookmarkStart w:id="59" w:name="_Toc417412295"/>
      <w:bookmarkStart w:id="60" w:name="_Toc4022"/>
      <w:r>
        <w:rPr>
          <w:color w:val="auto"/>
          <w:highlight w:val="none"/>
        </w:rPr>
        <w:t xml:space="preserve">1.7 </w:t>
      </w:r>
      <w:bookmarkEnd w:id="59"/>
      <w:r>
        <w:rPr>
          <w:color w:val="auto"/>
          <w:highlight w:val="none"/>
        </w:rPr>
        <w:t>水土流失预测结果</w:t>
      </w:r>
      <w:bookmarkEnd w:id="60"/>
    </w:p>
    <w:p>
      <w:pPr>
        <w:pStyle w:val="56"/>
        <w:ind w:firstLine="480"/>
        <w:rPr>
          <w:color w:val="auto"/>
          <w:highlight w:val="none"/>
        </w:rPr>
      </w:pPr>
      <w:r>
        <w:rPr>
          <w:color w:val="auto"/>
          <w:highlight w:val="none"/>
        </w:rPr>
        <w:t>根据《生产建设项目水土保持技术标准》（GB 50433-2018）确定的土壤流失预测方法，经计算，本项目扰动后产生的流失总量</w:t>
      </w:r>
      <w:r>
        <w:rPr>
          <w:rFonts w:hint="eastAsia"/>
          <w:color w:val="auto"/>
          <w:highlight w:val="none"/>
          <w:lang w:eastAsia="zh-CN"/>
        </w:rPr>
        <w:t>410t</w:t>
      </w:r>
      <w:r>
        <w:rPr>
          <w:color w:val="auto"/>
          <w:highlight w:val="none"/>
        </w:rPr>
        <w:t>，其中背景流失量</w:t>
      </w:r>
      <w:r>
        <w:rPr>
          <w:rFonts w:hint="eastAsia"/>
          <w:color w:val="auto"/>
          <w:highlight w:val="none"/>
          <w:lang w:eastAsia="zh-CN"/>
        </w:rPr>
        <w:t>117t</w:t>
      </w:r>
      <w:r>
        <w:rPr>
          <w:color w:val="auto"/>
          <w:highlight w:val="none"/>
        </w:rPr>
        <w:t>，新增流失量</w:t>
      </w:r>
      <w:r>
        <w:rPr>
          <w:rFonts w:hint="eastAsia"/>
          <w:color w:val="auto"/>
          <w:highlight w:val="none"/>
          <w:lang w:eastAsia="zh-CN"/>
        </w:rPr>
        <w:t>293t</w:t>
      </w:r>
      <w:r>
        <w:rPr>
          <w:color w:val="auto"/>
          <w:highlight w:val="none"/>
        </w:rPr>
        <w:t>。</w:t>
      </w:r>
    </w:p>
    <w:p>
      <w:pPr>
        <w:pStyle w:val="56"/>
        <w:ind w:firstLine="480"/>
        <w:rPr>
          <w:color w:val="auto"/>
          <w:highlight w:val="none"/>
        </w:rPr>
      </w:pPr>
      <w:r>
        <w:rPr>
          <w:color w:val="auto"/>
          <w:highlight w:val="none"/>
        </w:rPr>
        <w:t>本项目水土流失防治重点区域为</w:t>
      </w:r>
      <w:r>
        <w:rPr>
          <w:rFonts w:hint="eastAsia"/>
          <w:color w:val="auto"/>
          <w:highlight w:val="none"/>
          <w:lang w:eastAsia="zh-CN"/>
        </w:rPr>
        <w:t>绿化</w:t>
      </w:r>
      <w:r>
        <w:rPr>
          <w:color w:val="auto"/>
          <w:highlight w:val="none"/>
        </w:rPr>
        <w:t>区。上述区域水土流失影响范围大，土壤侵蚀量较大，因此道路及硬化区应为项目水土流失防治和监测的重点区域。水土流失重点时段为</w:t>
      </w:r>
      <w:r>
        <w:rPr>
          <w:rFonts w:hint="eastAsia"/>
          <w:color w:val="auto"/>
          <w:highlight w:val="none"/>
          <w:lang w:eastAsia="zh-CN"/>
        </w:rPr>
        <w:t>施工期</w:t>
      </w:r>
      <w:r>
        <w:rPr>
          <w:color w:val="auto"/>
          <w:highlight w:val="none"/>
        </w:rPr>
        <w:t>。</w:t>
      </w:r>
    </w:p>
    <w:p>
      <w:pPr>
        <w:pStyle w:val="66"/>
        <w:rPr>
          <w:color w:val="auto"/>
          <w:highlight w:val="none"/>
        </w:rPr>
      </w:pPr>
      <w:bookmarkStart w:id="61" w:name="_Toc417412296"/>
      <w:bookmarkStart w:id="62" w:name="_Toc407014512"/>
      <w:bookmarkStart w:id="63" w:name="_Toc16328"/>
      <w:r>
        <w:rPr>
          <w:color w:val="auto"/>
          <w:highlight w:val="none"/>
        </w:rPr>
        <w:t xml:space="preserve">1.8 </w:t>
      </w:r>
      <w:bookmarkEnd w:id="61"/>
      <w:bookmarkEnd w:id="62"/>
      <w:r>
        <w:rPr>
          <w:color w:val="auto"/>
          <w:highlight w:val="none"/>
        </w:rPr>
        <w:t>水土保持措施布设成果</w:t>
      </w:r>
      <w:bookmarkEnd w:id="63"/>
    </w:p>
    <w:p>
      <w:pPr>
        <w:pStyle w:val="69"/>
        <w:rPr>
          <w:color w:val="auto"/>
          <w:highlight w:val="none"/>
        </w:rPr>
      </w:pPr>
      <w:r>
        <w:rPr>
          <w:color w:val="auto"/>
          <w:highlight w:val="none"/>
        </w:rPr>
        <w:t>1.8.1 建构筑物区</w:t>
      </w:r>
    </w:p>
    <w:p>
      <w:pPr>
        <w:pStyle w:val="56"/>
        <w:ind w:firstLine="480"/>
        <w:rPr>
          <w:color w:val="auto"/>
          <w:highlight w:val="none"/>
        </w:rPr>
      </w:pPr>
      <w:r>
        <w:rPr>
          <w:color w:val="auto"/>
          <w:highlight w:val="none"/>
        </w:rPr>
        <w:t>建构筑物区施工期间对临时堆土采取防尘网苫盖，对占地边界采取彩钢板围栏。</w:t>
      </w:r>
    </w:p>
    <w:p>
      <w:pPr>
        <w:pStyle w:val="56"/>
        <w:ind w:firstLine="480"/>
        <w:rPr>
          <w:color w:val="auto"/>
          <w:highlight w:val="none"/>
        </w:rPr>
      </w:pPr>
      <w:r>
        <w:rPr>
          <w:color w:val="auto"/>
          <w:highlight w:val="none"/>
        </w:rPr>
        <w:t>（</w:t>
      </w:r>
      <w:r>
        <w:rPr>
          <w:rFonts w:hint="eastAsia"/>
          <w:color w:val="auto"/>
          <w:highlight w:val="none"/>
          <w:lang w:val="en-US" w:eastAsia="zh-CN"/>
        </w:rPr>
        <w:t>1</w:t>
      </w:r>
      <w:r>
        <w:rPr>
          <w:color w:val="auto"/>
          <w:highlight w:val="none"/>
        </w:rPr>
        <w:t>）临时措施：防尘网苫盖</w:t>
      </w:r>
      <w:r>
        <w:rPr>
          <w:rFonts w:hint="eastAsia"/>
          <w:color w:val="auto"/>
          <w:highlight w:val="none"/>
          <w:lang w:val="en-US" w:eastAsia="zh-CN"/>
        </w:rPr>
        <w:t>8</w:t>
      </w:r>
      <w:r>
        <w:rPr>
          <w:color w:val="auto"/>
          <w:highlight w:val="none"/>
        </w:rPr>
        <w:t>00m²（方案新增）、彩钢板围栏</w:t>
      </w:r>
      <w:r>
        <w:rPr>
          <w:rFonts w:hint="eastAsia"/>
          <w:color w:val="auto"/>
          <w:highlight w:val="none"/>
          <w:lang w:val="en-US" w:eastAsia="zh-CN"/>
        </w:rPr>
        <w:t>80</w:t>
      </w:r>
      <w:r>
        <w:rPr>
          <w:color w:val="auto"/>
          <w:highlight w:val="none"/>
        </w:rPr>
        <w:t>0m（</w:t>
      </w:r>
      <w:r>
        <w:rPr>
          <w:rFonts w:hint="eastAsia"/>
          <w:color w:val="auto"/>
          <w:highlight w:val="none"/>
          <w:lang w:eastAsia="zh-CN"/>
        </w:rPr>
        <w:t>主体已列已实施</w:t>
      </w:r>
      <w:r>
        <w:rPr>
          <w:color w:val="auto"/>
          <w:highlight w:val="none"/>
        </w:rPr>
        <w:t>）；</w:t>
      </w:r>
    </w:p>
    <w:p>
      <w:pPr>
        <w:pStyle w:val="69"/>
        <w:rPr>
          <w:color w:val="auto"/>
          <w:highlight w:val="none"/>
        </w:rPr>
      </w:pPr>
      <w:r>
        <w:rPr>
          <w:color w:val="auto"/>
          <w:highlight w:val="none"/>
        </w:rPr>
        <w:t>1.8.2 绿化区</w:t>
      </w:r>
    </w:p>
    <w:p>
      <w:pPr>
        <w:pStyle w:val="56"/>
        <w:ind w:firstLine="480"/>
        <w:rPr>
          <w:color w:val="auto"/>
          <w:highlight w:val="none"/>
        </w:rPr>
      </w:pPr>
      <w:r>
        <w:rPr>
          <w:color w:val="auto"/>
          <w:highlight w:val="none"/>
        </w:rPr>
        <w:t>绿化区施工后期采取平整、全面整地，同时对其采取栽植乔灌木、种植草坪绿化，并设置配套的灌溉设施。</w:t>
      </w:r>
    </w:p>
    <w:p>
      <w:pPr>
        <w:pStyle w:val="56"/>
        <w:ind w:firstLine="480"/>
        <w:rPr>
          <w:color w:val="auto"/>
          <w:highlight w:val="none"/>
        </w:rPr>
      </w:pPr>
      <w:r>
        <w:rPr>
          <w:color w:val="auto"/>
          <w:highlight w:val="none"/>
        </w:rPr>
        <w:t>（1）工程措施：土地平整</w:t>
      </w:r>
      <w:r>
        <w:rPr>
          <w:rFonts w:hint="eastAsia"/>
          <w:color w:val="auto"/>
          <w:highlight w:val="none"/>
          <w:lang w:val="en-US" w:eastAsia="zh-CN"/>
        </w:rPr>
        <w:t>1.20</w:t>
      </w:r>
      <w:r>
        <w:rPr>
          <w:color w:val="auto"/>
          <w:highlight w:val="none"/>
        </w:rPr>
        <w:t>hm²（主体已列</w:t>
      </w:r>
      <w:r>
        <w:rPr>
          <w:rFonts w:hint="eastAsia"/>
          <w:color w:val="auto"/>
          <w:highlight w:val="none"/>
          <w:lang w:eastAsia="zh-CN"/>
        </w:rPr>
        <w:t>未实施</w:t>
      </w:r>
      <w:r>
        <w:rPr>
          <w:color w:val="auto"/>
          <w:highlight w:val="none"/>
        </w:rPr>
        <w:t>）、全面整地</w:t>
      </w:r>
      <w:r>
        <w:rPr>
          <w:rFonts w:hint="eastAsia"/>
          <w:color w:val="auto"/>
          <w:highlight w:val="none"/>
          <w:lang w:val="en-US" w:eastAsia="zh-CN"/>
        </w:rPr>
        <w:t>1.20</w:t>
      </w:r>
      <w:r>
        <w:rPr>
          <w:color w:val="auto"/>
          <w:highlight w:val="none"/>
        </w:rPr>
        <w:t>hm²（方案新增）；</w:t>
      </w:r>
    </w:p>
    <w:p>
      <w:pPr>
        <w:pStyle w:val="56"/>
        <w:ind w:firstLine="480"/>
        <w:rPr>
          <w:color w:val="auto"/>
          <w:highlight w:val="none"/>
        </w:rPr>
      </w:pPr>
      <w:r>
        <w:rPr>
          <w:color w:val="auto"/>
          <w:highlight w:val="none"/>
        </w:rPr>
        <w:t>（2）植物措施：景观绿化</w:t>
      </w:r>
      <w:r>
        <w:rPr>
          <w:rFonts w:hint="eastAsia"/>
          <w:color w:val="auto"/>
          <w:highlight w:val="none"/>
          <w:lang w:val="en-US" w:eastAsia="zh-CN"/>
        </w:rPr>
        <w:t>1.20</w:t>
      </w:r>
      <w:r>
        <w:rPr>
          <w:color w:val="auto"/>
          <w:highlight w:val="none"/>
        </w:rPr>
        <w:t>hm²及配套微喷灌溉设施（主体已列</w:t>
      </w:r>
      <w:r>
        <w:rPr>
          <w:rFonts w:hint="eastAsia"/>
          <w:color w:val="auto"/>
          <w:highlight w:val="none"/>
          <w:lang w:eastAsia="zh-CN"/>
        </w:rPr>
        <w:t>未实施</w:t>
      </w:r>
      <w:r>
        <w:rPr>
          <w:color w:val="auto"/>
          <w:highlight w:val="none"/>
        </w:rPr>
        <w:t>）；</w:t>
      </w:r>
    </w:p>
    <w:p>
      <w:pPr>
        <w:pStyle w:val="69"/>
        <w:rPr>
          <w:color w:val="auto"/>
          <w:highlight w:val="none"/>
        </w:rPr>
      </w:pPr>
      <w:r>
        <w:rPr>
          <w:color w:val="auto"/>
          <w:highlight w:val="none"/>
        </w:rPr>
        <w:t>1.8.3 道路及硬化区</w:t>
      </w:r>
    </w:p>
    <w:p>
      <w:pPr>
        <w:pStyle w:val="56"/>
        <w:ind w:firstLine="480"/>
        <w:rPr>
          <w:color w:val="auto"/>
          <w:highlight w:val="none"/>
        </w:rPr>
      </w:pPr>
      <w:r>
        <w:rPr>
          <w:color w:val="auto"/>
          <w:highlight w:val="none"/>
        </w:rPr>
        <w:t>道路及硬化区在施工期间对施工扰动区域采取洒水、后期对施工迹地平整。</w:t>
      </w:r>
    </w:p>
    <w:p>
      <w:pPr>
        <w:pStyle w:val="56"/>
        <w:ind w:firstLine="480"/>
        <w:rPr>
          <w:color w:val="auto"/>
          <w:highlight w:val="none"/>
        </w:rPr>
      </w:pPr>
      <w:r>
        <w:rPr>
          <w:color w:val="auto"/>
          <w:highlight w:val="none"/>
        </w:rPr>
        <w:t>（1）工程措施：土地平整</w:t>
      </w:r>
      <w:r>
        <w:rPr>
          <w:rFonts w:hint="eastAsia"/>
          <w:color w:val="auto"/>
          <w:highlight w:val="none"/>
          <w:lang w:val="en-US" w:eastAsia="zh-CN"/>
        </w:rPr>
        <w:t>1.02</w:t>
      </w:r>
      <w:r>
        <w:rPr>
          <w:color w:val="auto"/>
          <w:highlight w:val="none"/>
        </w:rPr>
        <w:t>hm²（主体已列</w:t>
      </w:r>
      <w:r>
        <w:rPr>
          <w:rFonts w:hint="eastAsia"/>
          <w:color w:val="auto"/>
          <w:highlight w:val="none"/>
          <w:lang w:eastAsia="zh-CN"/>
        </w:rPr>
        <w:t>未实施</w:t>
      </w:r>
      <w:r>
        <w:rPr>
          <w:color w:val="auto"/>
          <w:highlight w:val="none"/>
        </w:rPr>
        <w:t>）；</w:t>
      </w:r>
    </w:p>
    <w:p>
      <w:pPr>
        <w:pStyle w:val="56"/>
        <w:ind w:firstLine="480"/>
        <w:rPr>
          <w:color w:val="auto"/>
          <w:highlight w:val="none"/>
        </w:rPr>
      </w:pPr>
      <w:r>
        <w:rPr>
          <w:color w:val="auto"/>
          <w:highlight w:val="none"/>
        </w:rPr>
        <w:t>（2）临时措施：洒水</w:t>
      </w:r>
      <w:r>
        <w:rPr>
          <w:rFonts w:hint="eastAsia"/>
          <w:color w:val="auto"/>
          <w:highlight w:val="none"/>
          <w:lang w:val="en-US" w:eastAsia="zh-CN"/>
        </w:rPr>
        <w:t>2455</w:t>
      </w:r>
      <w:r>
        <w:rPr>
          <w:color w:val="auto"/>
          <w:highlight w:val="none"/>
        </w:rPr>
        <w:t>m³（方案新增）；</w:t>
      </w:r>
    </w:p>
    <w:p>
      <w:pPr>
        <w:pStyle w:val="69"/>
        <w:rPr>
          <w:color w:val="auto"/>
          <w:highlight w:val="none"/>
        </w:rPr>
      </w:pPr>
      <w:r>
        <w:rPr>
          <w:color w:val="auto"/>
          <w:highlight w:val="none"/>
        </w:rPr>
        <w:t>1.8.4 管线工程区</w:t>
      </w:r>
    </w:p>
    <w:p>
      <w:pPr>
        <w:pStyle w:val="56"/>
        <w:ind w:firstLine="480"/>
        <w:rPr>
          <w:color w:val="auto"/>
          <w:highlight w:val="none"/>
        </w:rPr>
      </w:pPr>
      <w:r>
        <w:rPr>
          <w:color w:val="auto"/>
          <w:highlight w:val="none"/>
        </w:rPr>
        <w:t>管线工程区在施工期间对管沟开挖临时堆土采取防尘网苫盖，后期对施工迹地平整。</w:t>
      </w:r>
    </w:p>
    <w:p>
      <w:pPr>
        <w:pStyle w:val="56"/>
        <w:ind w:firstLine="480"/>
        <w:rPr>
          <w:color w:val="auto"/>
          <w:highlight w:val="none"/>
        </w:rPr>
      </w:pPr>
      <w:r>
        <w:rPr>
          <w:color w:val="auto"/>
          <w:highlight w:val="none"/>
        </w:rPr>
        <w:t>（1）工程措施：土地平整0.</w:t>
      </w:r>
      <w:r>
        <w:rPr>
          <w:rFonts w:hint="eastAsia"/>
          <w:color w:val="auto"/>
          <w:highlight w:val="none"/>
          <w:lang w:val="en-US" w:eastAsia="zh-CN"/>
        </w:rPr>
        <w:t>50</w:t>
      </w:r>
      <w:r>
        <w:rPr>
          <w:color w:val="auto"/>
          <w:highlight w:val="none"/>
        </w:rPr>
        <w:t>hm²（主体已列</w:t>
      </w:r>
      <w:r>
        <w:rPr>
          <w:rFonts w:hint="eastAsia"/>
          <w:color w:val="auto"/>
          <w:highlight w:val="none"/>
          <w:lang w:eastAsia="zh-CN"/>
        </w:rPr>
        <w:t>未实施</w:t>
      </w:r>
      <w:r>
        <w:rPr>
          <w:color w:val="auto"/>
          <w:highlight w:val="none"/>
        </w:rPr>
        <w:t>）；</w:t>
      </w:r>
    </w:p>
    <w:p>
      <w:pPr>
        <w:pStyle w:val="56"/>
        <w:ind w:firstLine="480"/>
        <w:rPr>
          <w:color w:val="auto"/>
          <w:highlight w:val="none"/>
        </w:rPr>
      </w:pPr>
      <w:r>
        <w:rPr>
          <w:color w:val="auto"/>
          <w:highlight w:val="none"/>
        </w:rPr>
        <w:t>（2）临时措施：防尘网苫盖</w:t>
      </w:r>
      <w:r>
        <w:rPr>
          <w:rFonts w:hint="eastAsia"/>
          <w:color w:val="auto"/>
          <w:highlight w:val="none"/>
          <w:lang w:val="en-US" w:eastAsia="zh-CN"/>
        </w:rPr>
        <w:t>8</w:t>
      </w:r>
      <w:r>
        <w:rPr>
          <w:color w:val="auto"/>
          <w:highlight w:val="none"/>
        </w:rPr>
        <w:t>00m²（方案新增）；</w:t>
      </w:r>
    </w:p>
    <w:p>
      <w:pPr>
        <w:pStyle w:val="69"/>
        <w:rPr>
          <w:color w:val="auto"/>
          <w:highlight w:val="none"/>
        </w:rPr>
      </w:pPr>
      <w:r>
        <w:rPr>
          <w:color w:val="auto"/>
          <w:highlight w:val="none"/>
        </w:rPr>
        <w:t>1.8.5 施工生产区</w:t>
      </w:r>
    </w:p>
    <w:p>
      <w:pPr>
        <w:pStyle w:val="56"/>
        <w:ind w:firstLine="480"/>
        <w:rPr>
          <w:color w:val="auto"/>
          <w:highlight w:val="none"/>
        </w:rPr>
      </w:pPr>
      <w:r>
        <w:rPr>
          <w:color w:val="auto"/>
          <w:highlight w:val="none"/>
        </w:rPr>
        <w:t>施工生产区施工期间对北侧占地边界采取彩钢板围栏，施工后期对施工迹地采取土地平整。</w:t>
      </w:r>
    </w:p>
    <w:p>
      <w:pPr>
        <w:pStyle w:val="56"/>
        <w:ind w:firstLine="480"/>
        <w:rPr>
          <w:color w:val="auto"/>
          <w:highlight w:val="none"/>
        </w:rPr>
      </w:pPr>
      <w:r>
        <w:rPr>
          <w:color w:val="auto"/>
          <w:highlight w:val="none"/>
        </w:rPr>
        <w:t>（1）工程措施：土地平整0.3</w:t>
      </w:r>
      <w:r>
        <w:rPr>
          <w:rFonts w:hint="eastAsia"/>
          <w:color w:val="auto"/>
          <w:highlight w:val="none"/>
          <w:lang w:val="en-US" w:eastAsia="zh-CN"/>
        </w:rPr>
        <w:t>0</w:t>
      </w:r>
      <w:r>
        <w:rPr>
          <w:color w:val="auto"/>
          <w:highlight w:val="none"/>
        </w:rPr>
        <w:t>hm²（主体已列</w:t>
      </w:r>
      <w:r>
        <w:rPr>
          <w:rFonts w:hint="eastAsia"/>
          <w:color w:val="auto"/>
          <w:highlight w:val="none"/>
          <w:lang w:eastAsia="zh-CN"/>
        </w:rPr>
        <w:t>未实施</w:t>
      </w:r>
      <w:r>
        <w:rPr>
          <w:color w:val="auto"/>
          <w:highlight w:val="none"/>
        </w:rPr>
        <w:t>）；</w:t>
      </w:r>
    </w:p>
    <w:p>
      <w:pPr>
        <w:pStyle w:val="56"/>
        <w:ind w:firstLine="480"/>
        <w:rPr>
          <w:color w:val="auto"/>
          <w:highlight w:val="none"/>
        </w:rPr>
      </w:pPr>
      <w:r>
        <w:rPr>
          <w:color w:val="auto"/>
          <w:highlight w:val="none"/>
        </w:rPr>
        <w:t>（2）临时措施：彩钢板围栏</w:t>
      </w:r>
      <w:r>
        <w:rPr>
          <w:rFonts w:hint="eastAsia"/>
          <w:color w:val="auto"/>
          <w:highlight w:val="none"/>
          <w:lang w:val="en-US" w:eastAsia="zh-CN"/>
        </w:rPr>
        <w:t>20</w:t>
      </w:r>
      <w:r>
        <w:rPr>
          <w:color w:val="auto"/>
          <w:highlight w:val="none"/>
        </w:rPr>
        <w:t>0m（</w:t>
      </w:r>
      <w:r>
        <w:rPr>
          <w:rFonts w:hint="eastAsia"/>
          <w:color w:val="auto"/>
          <w:highlight w:val="none"/>
          <w:lang w:eastAsia="zh-CN"/>
        </w:rPr>
        <w:t>方案新增</w:t>
      </w:r>
      <w:r>
        <w:rPr>
          <w:color w:val="auto"/>
          <w:highlight w:val="none"/>
        </w:rPr>
        <w:t>）；</w:t>
      </w:r>
    </w:p>
    <w:p>
      <w:pPr>
        <w:pStyle w:val="66"/>
        <w:rPr>
          <w:color w:val="auto"/>
          <w:highlight w:val="none"/>
        </w:rPr>
      </w:pPr>
      <w:bookmarkStart w:id="64" w:name="_Toc407014513"/>
      <w:bookmarkStart w:id="65" w:name="_Toc417412297"/>
      <w:bookmarkStart w:id="66" w:name="_Toc8978"/>
      <w:r>
        <w:rPr>
          <w:color w:val="auto"/>
          <w:highlight w:val="none"/>
        </w:rPr>
        <w:t xml:space="preserve">1.9 </w:t>
      </w:r>
      <w:bookmarkEnd w:id="64"/>
      <w:bookmarkEnd w:id="65"/>
      <w:r>
        <w:rPr>
          <w:color w:val="auto"/>
          <w:highlight w:val="none"/>
        </w:rPr>
        <w:t>水土保持监测方案</w:t>
      </w:r>
      <w:bookmarkEnd w:id="66"/>
    </w:p>
    <w:p>
      <w:pPr>
        <w:pStyle w:val="56"/>
        <w:ind w:firstLine="480"/>
        <w:rPr>
          <w:color w:val="auto"/>
          <w:highlight w:val="none"/>
        </w:rPr>
      </w:pPr>
      <w:r>
        <w:rPr>
          <w:color w:val="auto"/>
          <w:highlight w:val="none"/>
        </w:rPr>
        <w:t>根据《新疆维吾尔自治区实施&lt;中华人民共和国水土保持法&gt;办法》和</w:t>
      </w:r>
      <w:bookmarkStart w:id="67" w:name="_Toc375323552"/>
      <w:r>
        <w:rPr>
          <w:color w:val="auto"/>
          <w:highlight w:val="none"/>
        </w:rPr>
        <w:t>《新疆维吾尔自治区生产建设项目水土保持方案管理办法</w:t>
      </w:r>
      <w:bookmarkEnd w:id="67"/>
      <w:r>
        <w:rPr>
          <w:color w:val="auto"/>
          <w:highlight w:val="none"/>
        </w:rPr>
        <w:t>》，</w:t>
      </w:r>
      <w:r>
        <w:rPr>
          <w:rFonts w:hint="eastAsia"/>
          <w:color w:val="auto"/>
          <w:highlight w:val="none"/>
          <w:lang w:eastAsia="zh-CN"/>
        </w:rPr>
        <w:t>伊宁县书香·雅居</w:t>
      </w:r>
      <w:r>
        <w:rPr>
          <w:color w:val="auto"/>
          <w:highlight w:val="none"/>
        </w:rPr>
        <w:t>建设项目水土保持方案报告表对水土保持监测不做具体要求。</w:t>
      </w:r>
    </w:p>
    <w:p>
      <w:pPr>
        <w:pStyle w:val="66"/>
        <w:rPr>
          <w:color w:val="auto"/>
          <w:highlight w:val="none"/>
        </w:rPr>
      </w:pPr>
      <w:bookmarkStart w:id="68" w:name="_Toc417412298"/>
      <w:bookmarkStart w:id="69" w:name="_Toc407014514"/>
      <w:bookmarkStart w:id="70" w:name="_Toc18536"/>
      <w:r>
        <w:rPr>
          <w:color w:val="auto"/>
          <w:highlight w:val="none"/>
        </w:rPr>
        <w:t xml:space="preserve">1.10 </w:t>
      </w:r>
      <w:bookmarkEnd w:id="68"/>
      <w:bookmarkEnd w:id="69"/>
      <w:r>
        <w:rPr>
          <w:color w:val="auto"/>
          <w:highlight w:val="none"/>
        </w:rPr>
        <w:t>水土保持投资及效益分析成果</w:t>
      </w:r>
      <w:bookmarkEnd w:id="70"/>
    </w:p>
    <w:p>
      <w:pPr>
        <w:pStyle w:val="56"/>
        <w:ind w:firstLine="480"/>
        <w:rPr>
          <w:color w:val="auto"/>
          <w:highlight w:val="none"/>
        </w:rPr>
      </w:pPr>
      <w:r>
        <w:rPr>
          <w:color w:val="auto"/>
          <w:highlight w:val="none"/>
        </w:rPr>
        <w:t>本项目水土保持总投资为</w:t>
      </w:r>
      <w:r>
        <w:rPr>
          <w:rFonts w:hint="eastAsia"/>
          <w:color w:val="auto"/>
          <w:highlight w:val="none"/>
          <w:lang w:val="en-US" w:eastAsia="zh-CN"/>
        </w:rPr>
        <w:t>49.66万元</w:t>
      </w:r>
      <w:r>
        <w:rPr>
          <w:color w:val="auto"/>
          <w:highlight w:val="none"/>
        </w:rPr>
        <w:t>，主体已列水土保持总投资为</w:t>
      </w:r>
      <w:r>
        <w:rPr>
          <w:rFonts w:hint="eastAsia"/>
          <w:color w:val="auto"/>
          <w:highlight w:val="none"/>
          <w:lang w:val="en-US" w:eastAsia="zh-CN"/>
        </w:rPr>
        <w:t>25.63万元</w:t>
      </w:r>
      <w:r>
        <w:rPr>
          <w:color w:val="auto"/>
          <w:highlight w:val="none"/>
        </w:rPr>
        <w:t>，新增水土保持总投资为</w:t>
      </w:r>
      <w:r>
        <w:rPr>
          <w:rFonts w:hint="eastAsia"/>
          <w:color w:val="auto"/>
          <w:highlight w:val="none"/>
          <w:lang w:val="en-US" w:eastAsia="zh-CN"/>
        </w:rPr>
        <w:t>16.34</w:t>
      </w:r>
      <w:r>
        <w:rPr>
          <w:color w:val="auto"/>
          <w:highlight w:val="none"/>
        </w:rPr>
        <w:t>万元。水土保持总投资中工程措施投资</w:t>
      </w:r>
      <w:r>
        <w:rPr>
          <w:rFonts w:hint="eastAsia"/>
          <w:color w:val="auto"/>
          <w:highlight w:val="none"/>
          <w:lang w:val="en-US" w:eastAsia="zh-CN"/>
        </w:rPr>
        <w:t>15.03</w:t>
      </w:r>
      <w:r>
        <w:rPr>
          <w:color w:val="auto"/>
          <w:highlight w:val="none"/>
        </w:rPr>
        <w:t>万元，植物措施投资</w:t>
      </w:r>
      <w:r>
        <w:rPr>
          <w:rFonts w:hint="eastAsia"/>
          <w:color w:val="auto"/>
          <w:highlight w:val="none"/>
          <w:lang w:val="en-US" w:eastAsia="zh-CN"/>
        </w:rPr>
        <w:t>18.27万元</w:t>
      </w:r>
      <w:r>
        <w:rPr>
          <w:color w:val="auto"/>
          <w:highlight w:val="none"/>
        </w:rPr>
        <w:t>，临时措施投资</w:t>
      </w:r>
      <w:r>
        <w:rPr>
          <w:rFonts w:hint="eastAsia"/>
          <w:color w:val="auto"/>
          <w:highlight w:val="none"/>
          <w:lang w:val="en-US" w:eastAsia="zh-CN"/>
        </w:rPr>
        <w:t>8.67</w:t>
      </w:r>
      <w:r>
        <w:rPr>
          <w:color w:val="auto"/>
          <w:highlight w:val="none"/>
        </w:rPr>
        <w:t>万元，独立费用</w:t>
      </w:r>
      <w:r>
        <w:rPr>
          <w:rFonts w:hint="eastAsia"/>
          <w:color w:val="auto"/>
          <w:highlight w:val="none"/>
          <w:lang w:val="en-US" w:eastAsia="zh-CN"/>
        </w:rPr>
        <w:t>6.33</w:t>
      </w:r>
      <w:r>
        <w:rPr>
          <w:color w:val="auto"/>
          <w:highlight w:val="none"/>
        </w:rPr>
        <w:t>万元（其中监理费1.50万元），基本预备费</w:t>
      </w:r>
      <w:r>
        <w:rPr>
          <w:rFonts w:hint="eastAsia"/>
          <w:color w:val="auto"/>
          <w:highlight w:val="none"/>
          <w:lang w:val="en-US" w:eastAsia="zh-CN"/>
        </w:rPr>
        <w:t>1.36</w:t>
      </w:r>
      <w:r>
        <w:rPr>
          <w:color w:val="auto"/>
          <w:highlight w:val="none"/>
        </w:rPr>
        <w:t>万元，水土保持补偿费0元。</w:t>
      </w:r>
    </w:p>
    <w:p>
      <w:pPr>
        <w:pStyle w:val="56"/>
        <w:ind w:firstLine="480"/>
        <w:rPr>
          <w:color w:val="auto"/>
          <w:highlight w:val="none"/>
        </w:rPr>
      </w:pPr>
      <w:r>
        <w:rPr>
          <w:color w:val="auto"/>
          <w:highlight w:val="none"/>
        </w:rPr>
        <w:t>通过主体设计的水土保持措施及方案新增水土保持措得到落实后，工程建设区内水土流失可以得到基本治理，其中水土流失治理度达到</w:t>
      </w:r>
      <w:r>
        <w:rPr>
          <w:rFonts w:hint="eastAsia"/>
          <w:color w:val="auto"/>
          <w:highlight w:val="none"/>
          <w:lang w:eastAsia="zh-CN"/>
        </w:rPr>
        <w:t>99.66</w:t>
      </w:r>
      <w:r>
        <w:rPr>
          <w:color w:val="auto"/>
          <w:highlight w:val="none"/>
        </w:rPr>
        <w:t>%，土壤流失控制比达到1.0，渣土防护率达到</w:t>
      </w:r>
      <w:r>
        <w:rPr>
          <w:rFonts w:hint="eastAsia"/>
          <w:color w:val="auto"/>
          <w:highlight w:val="none"/>
          <w:lang w:eastAsia="zh-CN"/>
        </w:rPr>
        <w:t>90.20</w:t>
      </w:r>
      <w:r>
        <w:rPr>
          <w:color w:val="auto"/>
          <w:highlight w:val="none"/>
        </w:rPr>
        <w:t>%，林草植被恢复率达到</w:t>
      </w:r>
      <w:r>
        <w:rPr>
          <w:rFonts w:hint="eastAsia"/>
          <w:color w:val="auto"/>
          <w:highlight w:val="none"/>
          <w:lang w:eastAsia="zh-CN"/>
        </w:rPr>
        <w:t>99.17</w:t>
      </w:r>
      <w:r>
        <w:rPr>
          <w:color w:val="auto"/>
          <w:highlight w:val="none"/>
        </w:rPr>
        <w:t>%，林草覆盖率达到</w:t>
      </w:r>
      <w:r>
        <w:rPr>
          <w:rFonts w:hint="eastAsia"/>
          <w:color w:val="auto"/>
          <w:highlight w:val="none"/>
          <w:lang w:eastAsia="zh-CN"/>
        </w:rPr>
        <w:t>40.54</w:t>
      </w:r>
      <w:r>
        <w:rPr>
          <w:color w:val="auto"/>
          <w:highlight w:val="none"/>
        </w:rPr>
        <w:t>%。除表土保护率不做要求外，其余各项指标均达到目标值。项目建设造成的新增水土流失得到有效控制，水土流失得到治理。</w:t>
      </w:r>
    </w:p>
    <w:p>
      <w:pPr>
        <w:pStyle w:val="66"/>
        <w:rPr>
          <w:color w:val="auto"/>
          <w:highlight w:val="none"/>
        </w:rPr>
      </w:pPr>
      <w:bookmarkStart w:id="71" w:name="_Toc11705"/>
      <w:r>
        <w:rPr>
          <w:color w:val="auto"/>
          <w:highlight w:val="none"/>
        </w:rPr>
        <w:t>1.11 结论</w:t>
      </w:r>
      <w:bookmarkEnd w:id="71"/>
    </w:p>
    <w:p>
      <w:pPr>
        <w:pStyle w:val="56"/>
        <w:ind w:firstLine="480"/>
        <w:rPr>
          <w:color w:val="auto"/>
          <w:highlight w:val="none"/>
        </w:rPr>
      </w:pPr>
      <w:r>
        <w:rPr>
          <w:color w:val="auto"/>
          <w:highlight w:val="none"/>
        </w:rPr>
        <w:t>从水土保持角度分析，本工程建设符合地区规划，工程选址、布局、占地、取料场、弃渣场、施工组织及施工工艺等方面不存在制约工程建设的不利因素，工程建设将扰动地表造成一定程度的水土流失，但通过水土保持方案各种治理措施的实施，对水土流失的防治及控制能力可以满足防治要求，不存在影响本工程建设的水土保持制约性因素。因此主体工程在做好水土流失防治工作后是可行的。</w:t>
      </w:r>
    </w:p>
    <w:p>
      <w:pPr>
        <w:pStyle w:val="56"/>
        <w:ind w:firstLine="480"/>
        <w:rPr>
          <w:color w:val="auto"/>
          <w:szCs w:val="20"/>
          <w:highlight w:val="none"/>
        </w:rPr>
      </w:pPr>
      <w:r>
        <w:rPr>
          <w:color w:val="auto"/>
          <w:szCs w:val="20"/>
          <w:highlight w:val="none"/>
        </w:rPr>
        <w:t>建议建设单位积极督促施工单位及时做好主体设计及方案新增的各项措施，保证建设期间最大程度的减少因工程建设造成的水土流失，同时严格限制施工边界，以防施工期间无序扩大扰动范围；及时开展本项目水土保持监理工作，为项目的水土保持设施竣工验收提供依据。</w:t>
      </w:r>
    </w:p>
    <w:p>
      <w:pPr>
        <w:pStyle w:val="56"/>
        <w:ind w:firstLine="480"/>
        <w:rPr>
          <w:color w:val="auto"/>
          <w:highlight w:val="none"/>
        </w:rPr>
      </w:pPr>
    </w:p>
    <w:p>
      <w:pPr>
        <w:pStyle w:val="56"/>
        <w:ind w:firstLine="480"/>
        <w:rPr>
          <w:color w:val="auto"/>
          <w:highlight w:val="none"/>
        </w:rPr>
        <w:sectPr>
          <w:headerReference r:id="rId17" w:type="default"/>
          <w:footerReference r:id="rId18" w:type="default"/>
          <w:pgSz w:w="11906" w:h="16838"/>
          <w:pgMar w:top="1440" w:right="1531" w:bottom="1440" w:left="1531" w:header="851" w:footer="992" w:gutter="0"/>
          <w:pgBorders>
            <w:top w:val="none" w:sz="0" w:space="0"/>
            <w:left w:val="none" w:sz="0" w:space="0"/>
            <w:bottom w:val="none" w:sz="0" w:space="0"/>
            <w:right w:val="none" w:sz="0" w:space="0"/>
          </w:pgBorders>
          <w:pgNumType w:start="1" w:chapStyle="1"/>
          <w:cols w:space="720" w:num="1"/>
          <w:docGrid w:linePitch="312" w:charSpace="0"/>
        </w:sectPr>
      </w:pPr>
    </w:p>
    <w:bookmarkEnd w:id="1"/>
    <w:p>
      <w:pPr>
        <w:pStyle w:val="65"/>
        <w:rPr>
          <w:color w:val="auto"/>
          <w:highlight w:val="none"/>
        </w:rPr>
      </w:pPr>
      <w:bookmarkStart w:id="72" w:name="_Toc29946"/>
      <w:r>
        <w:rPr>
          <w:color w:val="auto"/>
          <w:highlight w:val="none"/>
        </w:rPr>
        <w:t>2 项目概况</w:t>
      </w:r>
      <w:bookmarkEnd w:id="72"/>
    </w:p>
    <w:p>
      <w:pPr>
        <w:pStyle w:val="66"/>
        <w:rPr>
          <w:color w:val="auto"/>
          <w:highlight w:val="none"/>
        </w:rPr>
      </w:pPr>
      <w:bookmarkStart w:id="73" w:name="_Toc5133"/>
      <w:r>
        <w:rPr>
          <w:color w:val="auto"/>
          <w:highlight w:val="none"/>
        </w:rPr>
        <w:t>2.1 项目组成及工程布置</w:t>
      </w:r>
      <w:bookmarkEnd w:id="73"/>
    </w:p>
    <w:p>
      <w:pPr>
        <w:pStyle w:val="69"/>
        <w:rPr>
          <w:color w:val="auto"/>
          <w:highlight w:val="none"/>
        </w:rPr>
      </w:pPr>
      <w:r>
        <w:rPr>
          <w:color w:val="auto"/>
          <w:highlight w:val="none"/>
        </w:rPr>
        <w:t>2.1.1 项目基本情况</w:t>
      </w:r>
    </w:p>
    <w:p>
      <w:pPr>
        <w:pStyle w:val="56"/>
        <w:ind w:firstLine="480"/>
        <w:rPr>
          <w:color w:val="auto"/>
          <w:highlight w:val="none"/>
        </w:rPr>
      </w:pPr>
      <w:r>
        <w:rPr>
          <w:color w:val="auto"/>
          <w:highlight w:val="none"/>
        </w:rPr>
        <w:t>（1）项目名称：</w:t>
      </w:r>
      <w:r>
        <w:rPr>
          <w:rFonts w:hint="eastAsia"/>
          <w:color w:val="auto"/>
          <w:highlight w:val="none"/>
          <w:lang w:eastAsia="zh-CN"/>
        </w:rPr>
        <w:t>伊宁县书香·雅居</w:t>
      </w:r>
      <w:r>
        <w:rPr>
          <w:color w:val="auto"/>
          <w:highlight w:val="none"/>
        </w:rPr>
        <w:t>建设项目。</w:t>
      </w:r>
    </w:p>
    <w:p>
      <w:pPr>
        <w:pStyle w:val="56"/>
        <w:ind w:firstLine="480"/>
        <w:rPr>
          <w:color w:val="auto"/>
          <w:highlight w:val="none"/>
        </w:rPr>
      </w:pPr>
      <w:r>
        <w:rPr>
          <w:color w:val="auto"/>
          <w:highlight w:val="none"/>
        </w:rPr>
        <w:t>（2）项目建设单</w:t>
      </w:r>
      <w:bookmarkStart w:id="74" w:name="_Hlk506239108"/>
      <w:r>
        <w:rPr>
          <w:color w:val="auto"/>
          <w:highlight w:val="none"/>
        </w:rPr>
        <w:t>位：</w:t>
      </w:r>
      <w:bookmarkEnd w:id="74"/>
      <w:r>
        <w:rPr>
          <w:rFonts w:hint="eastAsia"/>
          <w:color w:val="auto"/>
          <w:highlight w:val="none"/>
          <w:lang w:eastAsia="zh-CN"/>
        </w:rPr>
        <w:t>伊宁县城市保障性住房投资建设管理有限公司</w:t>
      </w:r>
      <w:r>
        <w:rPr>
          <w:color w:val="auto"/>
          <w:highlight w:val="none"/>
        </w:rPr>
        <w:t>。</w:t>
      </w:r>
    </w:p>
    <w:p>
      <w:pPr>
        <w:pStyle w:val="56"/>
        <w:ind w:firstLine="480"/>
        <w:rPr>
          <w:color w:val="auto"/>
          <w:highlight w:val="none"/>
        </w:rPr>
      </w:pPr>
      <w:r>
        <w:rPr>
          <w:color w:val="auto"/>
          <w:highlight w:val="none"/>
        </w:rPr>
        <w:t>（3）项目地理位置：本项目位于</w:t>
      </w:r>
      <w:r>
        <w:rPr>
          <w:rFonts w:hint="eastAsia"/>
          <w:color w:val="auto"/>
          <w:highlight w:val="none"/>
          <w:lang w:eastAsia="zh-CN"/>
        </w:rPr>
        <w:t>伊宁县公安局以南，新城路以北，文明路以东，703乡道以西，距离伊宁县县中心2.25km</w:t>
      </w:r>
      <w:r>
        <w:rPr>
          <w:color w:val="auto"/>
          <w:highlight w:val="none"/>
        </w:rPr>
        <w:t>。项目区场地周边地势平坦，交通便利，形状比较规整</w:t>
      </w:r>
      <w:r>
        <w:rPr>
          <w:rFonts w:hint="eastAsia"/>
          <w:color w:val="auto"/>
          <w:highlight w:val="none"/>
          <w:lang w:eastAsia="zh-CN"/>
        </w:rPr>
        <w:t>，中心地理坐标为东经81°49′93.13″、北纬43°96′76.00″</w:t>
      </w:r>
      <w:r>
        <w:rPr>
          <w:color w:val="auto"/>
          <w:highlight w:val="none"/>
        </w:rPr>
        <w:t>。具体见项目区地理位置图。</w:t>
      </w:r>
    </w:p>
    <w:p>
      <w:pPr>
        <w:pStyle w:val="56"/>
        <w:ind w:firstLine="0" w:firstLineChars="0"/>
        <w:jc w:val="center"/>
        <w:rPr>
          <w:color w:val="auto"/>
          <w:highlight w:val="none"/>
        </w:rPr>
      </w:pPr>
      <w:r>
        <w:rPr>
          <w:color w:val="auto"/>
          <w:sz w:val="24"/>
          <w:highlight w:val="none"/>
        </w:rPr>
        <mc:AlternateContent>
          <mc:Choice Requires="wps">
            <w:drawing>
              <wp:anchor distT="0" distB="0" distL="114300" distR="114300" simplePos="0" relativeHeight="252376064" behindDoc="0" locked="0" layoutInCell="1" allowOverlap="1">
                <wp:simplePos x="0" y="0"/>
                <wp:positionH relativeFrom="column">
                  <wp:posOffset>1996440</wp:posOffset>
                </wp:positionH>
                <wp:positionV relativeFrom="paragraph">
                  <wp:posOffset>2247265</wp:posOffset>
                </wp:positionV>
                <wp:extent cx="664845" cy="273050"/>
                <wp:effectExtent l="183515" t="197485" r="8890" b="5715"/>
                <wp:wrapNone/>
                <wp:docPr id="16" name="自选图形 1445"/>
                <wp:cNvGraphicFramePr/>
                <a:graphic xmlns:a="http://schemas.openxmlformats.org/drawingml/2006/main">
                  <a:graphicData uri="http://schemas.microsoft.com/office/word/2010/wordprocessingShape">
                    <wps:wsp>
                      <wps:cNvSpPr/>
                      <wps:spPr>
                        <a:xfrm>
                          <a:off x="2804795" y="2698750"/>
                          <a:ext cx="664845" cy="273050"/>
                        </a:xfrm>
                        <a:prstGeom prst="wedgeRoundRectCallout">
                          <a:avLst>
                            <a:gd name="adj1" fmla="val -72537"/>
                            <a:gd name="adj2" fmla="val -115343"/>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eastAsia="宋体"/>
                                <w:sz w:val="21"/>
                                <w:szCs w:val="21"/>
                                <w:lang w:eastAsia="zh-CN"/>
                              </w:rPr>
                            </w:pPr>
                            <w:r>
                              <w:rPr>
                                <w:rFonts w:hint="eastAsia"/>
                                <w:sz w:val="21"/>
                                <w:szCs w:val="21"/>
                                <w:lang w:eastAsia="zh-CN"/>
                              </w:rPr>
                              <w:t>项目区</w:t>
                            </w:r>
                          </w:p>
                        </w:txbxContent>
                      </wps:txbx>
                      <wps:bodyPr vert="horz" anchor="t" upright="1"/>
                    </wps:wsp>
                  </a:graphicData>
                </a:graphic>
              </wp:anchor>
            </w:drawing>
          </mc:Choice>
          <mc:Fallback>
            <w:pict>
              <v:shape id="自选图形 1445" o:spid="_x0000_s1026" o:spt="62" type="#_x0000_t62" style="position:absolute;left:0pt;margin-left:157.2pt;margin-top:176.95pt;height:21.5pt;width:52.35pt;z-index:252376064;mso-width-relative:page;mso-height-relative:page;" fillcolor="#FFFFFF" filled="t" stroked="t" coordsize="21600,21600" o:gfxdata="UEsDBAoAAAAAAIdO4kAAAAAAAAAAAAAAAAAEAAAAZHJzL1BLAwQUAAAACACHTuJA7k//ANgAAAAL&#10;AQAADwAAAGRycy9kb3ducmV2LnhtbE2PPU/DMBCGdyT+g3VIbNRxGqImjdMBCcEILUNHJzZOVPsc&#10;xW5T+PUcE2z38ei955rd1Tt2MXMcA0oQqwyYwT7oEa2Ej8PzwwZYTAq1cgGNhC8TYdfe3jSq1mHB&#10;d3PZJ8soBGOtJAwpTTXnsR+MV3EVJoO0+wyzV4na2XI9q4XCveN5lpXcqxHpwqAm8zSY/rQ/ewnu&#10;mL+W3zbZ7pAfJ/+yeetRLVLe34lsCyyZa/qD4Vef1KElpy6cUUfmJKxFURBKxeO6AkZEISoBrKNJ&#10;VVbA24b//6H9AVBLAwQUAAAACACHTuJA1pGHQGYCAADeBAAADgAAAGRycy9lMm9Eb2MueG1srVTL&#10;ctMwFN0zwz9otG9t5+GkmTpdNJQNA50WPkCRZFuMXiMpccKKHcM3sOuSf4C/6Qz8BVeyadOWRRd4&#10;YV9ZR0fn3Hul07OdkmjLnRdGV7g4zjHimhomdFPhD+8vjuYY+UA0I9JoXuE99/hs+fLFaWcXfGRa&#10;Ixl3CEi0X3S2wm0IdpFlnrZcEX9sLNcwWRunSIChazLmSAfsSmajPC+zzjhmnaHce/i76ifxwOie&#10;Q2jqWlC+MnSjuA49q+OSBLDkW2E9Xia1dc1peFfXngckKwxOQ3rDJhCv4ztbnpJF44htBR0kkOdI&#10;eORJEaFh0zuqFQkEbZx4QqUEdcabOhxTo7LeSMoIuCjyR7m5bonlyQuk2tu7pPv/R0vfbi8dEgw6&#10;ocRIEwUV//Xl++/PX2+//bz9cYOKyWQas9RZvwDwtb10w8hDGC3vaqfiF8ygXYVH83wyO5litIe4&#10;PJnPpkOW+S4gCoCynMyBE9EImI3zfj67J7LOh9fcKBSDCnecNfzKbDS7gnKeEynNJqRkk+0bH1LW&#10;2SCdsI8FRrWSUMQtkehoNpqOZ0OVD0CjB6CimI4n46eo8SGqKMsyMYHSYWOI/mqNKryRgl0IKdPA&#10;Netz6RCoqPBFeuIGsOQBTGrUVfhkOooJIXCcamhjCJWFknjdJJ8PVvhD4jw9/yKOwlbEt72AxNAb&#10;VCJwl9q+5YS90gyFvYWqazjtOIpRnGEkOVwOMUrIQIR8DhLcSQ0mY7P07RGjsFvvhp5ZG7aHfoPr&#10;BwrbGvcJI6IpBBUG1xvrRNPCTJEcxbXQ9ilpwxGN5+pwnPa6v5a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uT/8A2AAAAAsBAAAPAAAAAAAAAAEAIAAAACIAAABkcnMvZG93bnJldi54bWxQSwEC&#10;FAAUAAAACACHTuJA1pGHQGYCAADeBAAADgAAAAAAAAABACAAAAAnAQAAZHJzL2Uyb0RvYy54bWxQ&#10;SwUGAAAAAAYABgBZAQAA/wUAAAAA&#10;" adj="-4868,-14114,14400">
                <v:fill on="t" focussize="0,0"/>
                <v:stroke color="#000000" joinstyle="miter"/>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项目区</w:t>
                      </w:r>
                    </w:p>
                  </w:txbxContent>
                </v:textbox>
              </v:shape>
            </w:pict>
          </mc:Fallback>
        </mc:AlternateContent>
      </w:r>
      <w:r>
        <w:rPr>
          <w:color w:val="auto"/>
          <w:highlight w:val="none"/>
        </w:rPr>
        <w:drawing>
          <wp:inline distT="0" distB="0" distL="114300" distR="114300">
            <wp:extent cx="5615305" cy="2919730"/>
            <wp:effectExtent l="0" t="0" r="4445"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8"/>
                    <a:stretch>
                      <a:fillRect/>
                    </a:stretch>
                  </pic:blipFill>
                  <pic:spPr>
                    <a:xfrm>
                      <a:off x="0" y="0"/>
                      <a:ext cx="5615305" cy="2919730"/>
                    </a:xfrm>
                    <a:prstGeom prst="rect">
                      <a:avLst/>
                    </a:prstGeom>
                    <a:noFill/>
                    <a:ln>
                      <a:noFill/>
                    </a:ln>
                  </pic:spPr>
                </pic:pic>
              </a:graphicData>
            </a:graphic>
          </wp:inline>
        </w:drawing>
      </w:r>
    </w:p>
    <w:p>
      <w:pPr>
        <w:pStyle w:val="75"/>
        <w:spacing w:after="120" w:afterLines="50"/>
        <w:rPr>
          <w:color w:val="auto"/>
          <w:highlight w:val="none"/>
        </w:rPr>
      </w:pPr>
      <w:r>
        <w:rPr>
          <w:rFonts w:hint="eastAsia"/>
          <w:color w:val="auto"/>
          <w:highlight w:val="none"/>
          <w:lang w:eastAsia="zh-CN"/>
        </w:rPr>
        <w:t>图</w:t>
      </w:r>
      <w:r>
        <w:rPr>
          <w:color w:val="auto"/>
          <w:highlight w:val="none"/>
        </w:rPr>
        <w:t>2.1-1      地理位置图</w:t>
      </w:r>
    </w:p>
    <w:p>
      <w:pPr>
        <w:pStyle w:val="56"/>
        <w:ind w:firstLine="480"/>
        <w:rPr>
          <w:color w:val="auto"/>
          <w:highlight w:val="none"/>
        </w:rPr>
      </w:pPr>
      <w:r>
        <w:rPr>
          <w:color w:val="auto"/>
          <w:highlight w:val="none"/>
        </w:rPr>
        <w:t>（4）建设性质：新建建设类。</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（5）建设规模及内容：本项目</w:t>
      </w:r>
      <w:r>
        <w:rPr>
          <w:rFonts w:hint="default" w:ascii="Times New Roman" w:hAnsi="Times New Roman" w:eastAsia="仿宋_GB2312" w:cs="Times New Roman"/>
          <w:color w:val="auto"/>
          <w:highlight w:val="none"/>
          <w:lang w:eastAsia="zh-CN"/>
        </w:rPr>
        <w:t>总</w:t>
      </w:r>
      <w:r>
        <w:rPr>
          <w:rFonts w:hint="default" w:ascii="Times New Roman" w:hAnsi="Times New Roman" w:eastAsia="仿宋_GB2312" w:cs="Times New Roman"/>
          <w:color w:val="auto"/>
          <w:highlight w:val="none"/>
        </w:rPr>
        <w:t>建筑面积为</w:t>
      </w:r>
      <w:r>
        <w:rPr>
          <w:rFonts w:hint="default" w:ascii="Times New Roman" w:hAnsi="Times New Roman" w:eastAsia="仿宋_GB2312" w:cs="Times New Roman"/>
          <w:color w:val="auto"/>
          <w:highlight w:val="none"/>
          <w:lang w:val="en-US" w:eastAsia="zh-CN"/>
        </w:rPr>
        <w:t>38913</w:t>
      </w:r>
      <w:r>
        <w:rPr>
          <w:rFonts w:hint="default" w:ascii="Times New Roman" w:hAnsi="Times New Roman" w:eastAsia="仿宋_GB2312" w:cs="Times New Roman"/>
          <w:color w:val="auto"/>
          <w:highlight w:val="none"/>
        </w:rPr>
        <w:t>m²（主要包括9栋多层住宅楼、</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rPr>
        <w:t>栋商业楼</w:t>
      </w:r>
      <w:r>
        <w:rPr>
          <w:rFonts w:hint="default" w:ascii="Times New Roman" w:hAnsi="Times New Roman" w:eastAsia="仿宋_GB2312" w:cs="Times New Roman"/>
          <w:color w:val="auto"/>
          <w:highlight w:val="none"/>
          <w:lang w:eastAsia="zh-CN"/>
        </w:rPr>
        <w:t>、警卫室、垃圾收集站、天然气调压站</w:t>
      </w:r>
      <w:r>
        <w:rPr>
          <w:rFonts w:hint="default" w:ascii="Times New Roman" w:hAnsi="Times New Roman" w:eastAsia="仿宋_GB2312" w:cs="Times New Roman"/>
          <w:color w:val="auto"/>
          <w:highlight w:val="none"/>
        </w:rPr>
        <w:t>），包括9栋住宅</w:t>
      </w:r>
      <w:r>
        <w:rPr>
          <w:rFonts w:hint="default" w:ascii="Times New Roman" w:hAnsi="Times New Roman" w:eastAsia="仿宋_GB2312" w:cs="Times New Roman"/>
          <w:color w:val="auto"/>
          <w:highlight w:val="none"/>
          <w:lang w:eastAsia="zh-CN"/>
        </w:rPr>
        <w:t>地上</w:t>
      </w:r>
      <w:r>
        <w:rPr>
          <w:rFonts w:hint="default" w:ascii="Times New Roman" w:hAnsi="Times New Roman" w:eastAsia="仿宋_GB2312" w:cs="Times New Roman"/>
          <w:color w:val="auto"/>
          <w:highlight w:val="none"/>
        </w:rPr>
        <w:t>建筑面积2</w:t>
      </w:r>
      <w:r>
        <w:rPr>
          <w:rFonts w:hint="default" w:ascii="Times New Roman" w:hAnsi="Times New Roman" w:eastAsia="仿宋_GB2312" w:cs="Times New Roman"/>
          <w:color w:val="auto"/>
          <w:highlight w:val="none"/>
          <w:lang w:val="en-US" w:eastAsia="zh-CN"/>
        </w:rPr>
        <w:t>6988</w:t>
      </w:r>
      <w:r>
        <w:rPr>
          <w:rFonts w:hint="default" w:ascii="Times New Roman" w:hAnsi="Times New Roman" w:eastAsia="仿宋_GB2312" w:cs="Times New Roman"/>
          <w:color w:val="auto"/>
          <w:highlight w:val="none"/>
        </w:rPr>
        <w:t>m²，</w:t>
      </w:r>
      <w:r>
        <w:rPr>
          <w:rFonts w:hint="default" w:ascii="Times New Roman" w:hAnsi="Times New Roman" w:eastAsia="仿宋_GB2312" w:cs="Times New Roman"/>
          <w:color w:val="auto"/>
          <w:highlight w:val="none"/>
          <w:lang w:eastAsia="zh-CN"/>
        </w:rPr>
        <w:t>地下</w:t>
      </w:r>
      <w:r>
        <w:rPr>
          <w:rFonts w:hint="default" w:ascii="Times New Roman" w:hAnsi="Times New Roman" w:eastAsia="仿宋_GB2312" w:cs="Times New Roman"/>
          <w:color w:val="auto"/>
          <w:highlight w:val="none"/>
        </w:rPr>
        <w:t>建筑面积</w:t>
      </w:r>
      <w:r>
        <w:rPr>
          <w:rFonts w:hint="default" w:ascii="Times New Roman" w:hAnsi="Times New Roman" w:eastAsia="仿宋_GB2312" w:cs="Times New Roman"/>
          <w:color w:val="auto"/>
          <w:highlight w:val="none"/>
          <w:lang w:val="en-US" w:eastAsia="zh-CN"/>
        </w:rPr>
        <w:t>4383</w:t>
      </w:r>
      <w:r>
        <w:rPr>
          <w:rFonts w:hint="default" w:ascii="Times New Roman" w:hAnsi="Times New Roman" w:eastAsia="仿宋_GB2312" w:cs="Times New Roman"/>
          <w:color w:val="auto"/>
          <w:highlight w:val="none"/>
        </w:rPr>
        <w:t>m²</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rPr>
        <w:t>栋商业</w:t>
      </w:r>
      <w:r>
        <w:rPr>
          <w:rFonts w:hint="default" w:ascii="Times New Roman" w:hAnsi="Times New Roman" w:eastAsia="仿宋_GB2312" w:cs="Times New Roman"/>
          <w:color w:val="auto"/>
          <w:highlight w:val="none"/>
          <w:lang w:eastAsia="zh-CN"/>
        </w:rPr>
        <w:t>楼地上</w:t>
      </w:r>
      <w:r>
        <w:rPr>
          <w:rFonts w:hint="default" w:ascii="Times New Roman" w:hAnsi="Times New Roman" w:eastAsia="仿宋_GB2312" w:cs="Times New Roman"/>
          <w:color w:val="auto"/>
          <w:highlight w:val="none"/>
        </w:rPr>
        <w:t>建筑面积</w:t>
      </w:r>
      <w:r>
        <w:rPr>
          <w:rFonts w:hint="default" w:ascii="Times New Roman" w:hAnsi="Times New Roman" w:eastAsia="仿宋_GB2312" w:cs="Times New Roman"/>
          <w:color w:val="auto"/>
          <w:highlight w:val="none"/>
          <w:lang w:val="en-US" w:eastAsia="zh-CN"/>
        </w:rPr>
        <w:t>6945</w:t>
      </w:r>
      <w:r>
        <w:rPr>
          <w:rFonts w:hint="default" w:ascii="Times New Roman" w:hAnsi="Times New Roman" w:eastAsia="仿宋_GB2312" w:cs="Times New Roman"/>
          <w:color w:val="auto"/>
          <w:highlight w:val="none"/>
        </w:rPr>
        <w:t>m²；地下建筑面积</w:t>
      </w:r>
      <w:r>
        <w:rPr>
          <w:rFonts w:hint="default" w:ascii="Times New Roman" w:hAnsi="Times New Roman" w:eastAsia="仿宋_GB2312" w:cs="Times New Roman"/>
          <w:color w:val="auto"/>
          <w:highlight w:val="none"/>
          <w:lang w:val="en-US" w:eastAsia="zh-CN"/>
        </w:rPr>
        <w:t>560</w:t>
      </w:r>
      <w:r>
        <w:rPr>
          <w:rFonts w:hint="default" w:ascii="Times New Roman" w:hAnsi="Times New Roman" w:eastAsia="仿宋_GB2312" w:cs="Times New Roman"/>
          <w:color w:val="auto"/>
          <w:highlight w:val="none"/>
        </w:rPr>
        <w:t>m²</w:t>
      </w:r>
      <w:r>
        <w:rPr>
          <w:rFonts w:hint="eastAsia" w:cs="Times New Roman"/>
          <w:color w:val="auto"/>
          <w:highlight w:val="none"/>
          <w:lang w:eastAsia="zh-CN"/>
        </w:rPr>
        <w:t>（注：</w:t>
      </w:r>
      <w:r>
        <w:rPr>
          <w:rFonts w:hint="eastAsia" w:cs="Times New Roman"/>
          <w:color w:val="auto"/>
          <w:highlight w:val="none"/>
          <w:lang w:val="en-US" w:eastAsia="zh-CN"/>
        </w:rPr>
        <w:t>2#商业楼地下部分为消防水池、消防泵房、配电室</w:t>
      </w:r>
      <w:r>
        <w:rPr>
          <w:rFonts w:hint="eastAsia" w:cs="Times New Roman"/>
          <w:color w:val="auto"/>
          <w:highlight w:val="none"/>
          <w:lang w:eastAsia="zh-CN"/>
        </w:rPr>
        <w:t>）</w:t>
      </w:r>
      <w:r>
        <w:rPr>
          <w:rFonts w:hint="default" w:ascii="Times New Roman" w:hAnsi="Times New Roman" w:eastAsia="仿宋_GB2312" w:cs="Times New Roman"/>
          <w:color w:val="auto"/>
          <w:highlight w:val="none"/>
          <w:lang w:eastAsia="zh-CN"/>
        </w:rPr>
        <w:t>；警卫室建筑面积</w:t>
      </w:r>
      <w:r>
        <w:rPr>
          <w:rFonts w:hint="default" w:ascii="Times New Roman" w:hAnsi="Times New Roman" w:eastAsia="仿宋_GB2312" w:cs="Times New Roman"/>
          <w:color w:val="auto"/>
          <w:highlight w:val="none"/>
          <w:lang w:val="en-US" w:eastAsia="zh-CN"/>
        </w:rPr>
        <w:t>12</w:t>
      </w:r>
      <w:r>
        <w:rPr>
          <w:rFonts w:hint="default" w:ascii="Times New Roman" w:hAnsi="Times New Roman" w:eastAsia="仿宋_GB2312" w:cs="Times New Roman"/>
          <w:color w:val="auto"/>
          <w:highlight w:val="none"/>
        </w:rPr>
        <w:t>m²，</w:t>
      </w:r>
      <w:r>
        <w:rPr>
          <w:rFonts w:hint="default" w:ascii="Times New Roman" w:hAnsi="Times New Roman" w:eastAsia="仿宋_GB2312" w:cs="Times New Roman"/>
          <w:color w:val="auto"/>
          <w:highlight w:val="none"/>
          <w:lang w:eastAsia="zh-CN"/>
        </w:rPr>
        <w:t>垃圾收集点</w:t>
      </w:r>
      <w:r>
        <w:rPr>
          <w:rFonts w:hint="default" w:ascii="Times New Roman" w:hAnsi="Times New Roman" w:eastAsia="仿宋_GB2312" w:cs="Times New Roman"/>
          <w:color w:val="auto"/>
          <w:highlight w:val="none"/>
          <w:lang w:val="en-US" w:eastAsia="zh-CN"/>
        </w:rPr>
        <w:t>20</w:t>
      </w:r>
      <w:r>
        <w:rPr>
          <w:rFonts w:hint="default" w:ascii="Times New Roman" w:hAnsi="Times New Roman" w:eastAsia="仿宋_GB2312" w:cs="Times New Roman"/>
          <w:color w:val="auto"/>
          <w:highlight w:val="none"/>
        </w:rPr>
        <w:t>m²</w:t>
      </w:r>
      <w:r>
        <w:rPr>
          <w:rFonts w:hint="default" w:ascii="Times New Roman" w:hAnsi="Times New Roman" w:eastAsia="仿宋_GB2312" w:cs="Times New Roman"/>
          <w:color w:val="auto"/>
          <w:highlight w:val="none"/>
          <w:lang w:eastAsia="zh-CN"/>
        </w:rPr>
        <w:t>，天然气调压站</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rPr>
        <w:t>m²。</w:t>
      </w:r>
    </w:p>
    <w:p>
      <w:pPr>
        <w:pStyle w:val="56"/>
        <w:ind w:firstLine="480"/>
        <w:rPr>
          <w:color w:val="auto"/>
          <w:highlight w:val="none"/>
        </w:rPr>
      </w:pPr>
      <w:r>
        <w:rPr>
          <w:color w:val="auto"/>
          <w:highlight w:val="none"/>
        </w:rPr>
        <w:t>（6）总投资及土建投资</w:t>
      </w:r>
    </w:p>
    <w:p>
      <w:pPr>
        <w:pStyle w:val="56"/>
        <w:ind w:firstLine="480"/>
        <w:rPr>
          <w:color w:val="auto"/>
          <w:highlight w:val="none"/>
        </w:rPr>
      </w:pPr>
      <w:r>
        <w:rPr>
          <w:color w:val="auto"/>
          <w:highlight w:val="none"/>
        </w:rPr>
        <w:t>项目建设总投资</w:t>
      </w:r>
      <w:r>
        <w:rPr>
          <w:rFonts w:hint="eastAsia"/>
          <w:color w:val="auto"/>
          <w:highlight w:val="none"/>
          <w:lang w:eastAsia="zh-CN"/>
        </w:rPr>
        <w:t>11000</w:t>
      </w:r>
      <w:r>
        <w:rPr>
          <w:color w:val="auto"/>
          <w:highlight w:val="none"/>
        </w:rPr>
        <w:t>万元，其中土建投资</w:t>
      </w:r>
      <w:r>
        <w:rPr>
          <w:rFonts w:hint="eastAsia"/>
          <w:color w:val="auto"/>
          <w:highlight w:val="none"/>
          <w:lang w:eastAsia="zh-CN"/>
        </w:rPr>
        <w:t>6600</w:t>
      </w:r>
      <w:r>
        <w:rPr>
          <w:color w:val="auto"/>
          <w:highlight w:val="none"/>
        </w:rPr>
        <w:t>万元，均由建设单位自筹解决。</w:t>
      </w:r>
    </w:p>
    <w:p>
      <w:pPr>
        <w:pStyle w:val="56"/>
        <w:ind w:firstLine="480"/>
        <w:rPr>
          <w:color w:val="auto"/>
          <w:highlight w:val="none"/>
        </w:rPr>
      </w:pPr>
      <w:r>
        <w:rPr>
          <w:color w:val="auto"/>
          <w:highlight w:val="none"/>
        </w:rPr>
        <w:t>（7）建设工期</w:t>
      </w:r>
    </w:p>
    <w:p>
      <w:pPr>
        <w:pStyle w:val="56"/>
        <w:ind w:firstLine="480"/>
        <w:rPr>
          <w:rFonts w:hint="eastAsia" w:eastAsia="仿宋_GB2312"/>
          <w:color w:val="auto"/>
          <w:highlight w:val="none"/>
          <w:lang w:eastAsia="zh-CN"/>
        </w:rPr>
      </w:pPr>
      <w:r>
        <w:rPr>
          <w:rFonts w:hint="eastAsia"/>
          <w:color w:val="auto"/>
          <w:highlight w:val="none"/>
          <w:lang w:eastAsia="zh-CN"/>
        </w:rPr>
        <w:t>本工程建设期19个月，工程已于2020年4月开工，于2021年10月完工。</w:t>
      </w:r>
    </w:p>
    <w:p>
      <w:pPr>
        <w:pStyle w:val="56"/>
        <w:ind w:firstLine="480"/>
        <w:rPr>
          <w:color w:val="auto"/>
          <w:highlight w:val="none"/>
        </w:rPr>
      </w:pPr>
      <w:r>
        <w:rPr>
          <w:color w:val="auto"/>
          <w:highlight w:val="none"/>
        </w:rPr>
        <w:t>（8）项目依托条件</w:t>
      </w:r>
    </w:p>
    <w:p>
      <w:pPr>
        <w:pStyle w:val="56"/>
        <w:ind w:firstLine="480"/>
        <w:rPr>
          <w:color w:val="auto"/>
          <w:highlight w:val="none"/>
        </w:rPr>
      </w:pPr>
      <w:r>
        <w:rPr>
          <w:color w:val="auto"/>
          <w:highlight w:val="none"/>
        </w:rPr>
        <w:t>1）交通条件：本项目位于</w:t>
      </w:r>
      <w:r>
        <w:rPr>
          <w:rFonts w:hint="eastAsia"/>
          <w:color w:val="auto"/>
          <w:highlight w:val="none"/>
          <w:lang w:eastAsia="zh-CN"/>
        </w:rPr>
        <w:t>伊宁县公安局以南，新城路以北，文明路以东，703乡道以西，</w:t>
      </w:r>
      <w:r>
        <w:rPr>
          <w:color w:val="auto"/>
          <w:szCs w:val="26"/>
          <w:highlight w:val="none"/>
        </w:rPr>
        <w:t>紧邻道路布设，因此对外交通可直接利用现有道路。</w:t>
      </w:r>
    </w:p>
    <w:p>
      <w:pPr>
        <w:pStyle w:val="56"/>
        <w:ind w:firstLine="480"/>
        <w:rPr>
          <w:color w:val="auto"/>
          <w:szCs w:val="26"/>
          <w:highlight w:val="none"/>
        </w:rPr>
      </w:pPr>
      <w:r>
        <w:rPr>
          <w:color w:val="auto"/>
          <w:highlight w:val="none"/>
        </w:rPr>
        <w:t>2）给水消防</w:t>
      </w:r>
      <w:r>
        <w:rPr>
          <w:rFonts w:hint="eastAsia"/>
          <w:color w:val="auto"/>
          <w:highlight w:val="none"/>
          <w:lang w:eastAsia="zh-CN"/>
        </w:rPr>
        <w:t>：</w:t>
      </w:r>
      <w:r>
        <w:rPr>
          <w:color w:val="auto"/>
          <w:highlight w:val="none"/>
        </w:rPr>
        <w:t>本项目位于</w:t>
      </w:r>
      <w:r>
        <w:rPr>
          <w:rFonts w:hint="eastAsia"/>
          <w:color w:val="auto"/>
          <w:highlight w:val="none"/>
          <w:lang w:eastAsia="zh-CN"/>
        </w:rPr>
        <w:t>伊宁县公安局以南，新城路以北，文明路以东，703乡道以西，</w:t>
      </w:r>
      <w:r>
        <w:rPr>
          <w:color w:val="auto"/>
          <w:szCs w:val="26"/>
          <w:highlight w:val="none"/>
        </w:rPr>
        <w:t>项目区</w:t>
      </w:r>
      <w:r>
        <w:rPr>
          <w:rFonts w:hint="eastAsia"/>
          <w:color w:val="auto"/>
          <w:szCs w:val="26"/>
          <w:highlight w:val="none"/>
          <w:lang w:eastAsia="zh-CN"/>
        </w:rPr>
        <w:t>北</w:t>
      </w:r>
      <w:r>
        <w:rPr>
          <w:color w:val="auto"/>
          <w:szCs w:val="26"/>
          <w:highlight w:val="none"/>
        </w:rPr>
        <w:t>侧紧邻布设有市政</w:t>
      </w:r>
      <w:r>
        <w:rPr>
          <w:color w:val="auto"/>
          <w:highlight w:val="none"/>
        </w:rPr>
        <w:t>给水消防</w:t>
      </w:r>
      <w:r>
        <w:rPr>
          <w:rFonts w:hint="eastAsia"/>
          <w:color w:val="auto"/>
          <w:highlight w:val="none"/>
          <w:lang w:eastAsia="zh-CN"/>
        </w:rPr>
        <w:t>管网</w:t>
      </w:r>
      <w:r>
        <w:rPr>
          <w:color w:val="auto"/>
          <w:szCs w:val="26"/>
          <w:highlight w:val="none"/>
        </w:rPr>
        <w:t>，本项目</w:t>
      </w:r>
      <w:r>
        <w:rPr>
          <w:color w:val="auto"/>
          <w:highlight w:val="none"/>
        </w:rPr>
        <w:t>给水消防</w:t>
      </w:r>
      <w:r>
        <w:rPr>
          <w:color w:val="auto"/>
          <w:szCs w:val="26"/>
          <w:highlight w:val="none"/>
        </w:rPr>
        <w:t>可直接</w:t>
      </w:r>
      <w:r>
        <w:rPr>
          <w:rFonts w:hint="eastAsia"/>
          <w:color w:val="auto"/>
          <w:szCs w:val="26"/>
          <w:highlight w:val="none"/>
          <w:lang w:eastAsia="zh-CN"/>
        </w:rPr>
        <w:t>由</w:t>
      </w:r>
      <w:r>
        <w:rPr>
          <w:color w:val="auto"/>
          <w:szCs w:val="26"/>
          <w:highlight w:val="none"/>
        </w:rPr>
        <w:t>至周边市政管网接入。</w:t>
      </w:r>
    </w:p>
    <w:p>
      <w:pPr>
        <w:pStyle w:val="56"/>
        <w:ind w:firstLine="480"/>
        <w:rPr>
          <w:color w:val="auto"/>
          <w:szCs w:val="26"/>
          <w:highlight w:val="none"/>
        </w:rPr>
      </w:pPr>
      <w:r>
        <w:rPr>
          <w:rFonts w:hint="eastAsia"/>
          <w:color w:val="auto"/>
          <w:highlight w:val="none"/>
          <w:lang w:val="en-US" w:eastAsia="zh-CN"/>
        </w:rPr>
        <w:t>3）</w:t>
      </w:r>
      <w:r>
        <w:rPr>
          <w:color w:val="auto"/>
          <w:highlight w:val="none"/>
        </w:rPr>
        <w:t>排水：本项目位于</w:t>
      </w:r>
      <w:r>
        <w:rPr>
          <w:rFonts w:hint="eastAsia"/>
          <w:color w:val="auto"/>
          <w:highlight w:val="none"/>
          <w:lang w:eastAsia="zh-CN"/>
        </w:rPr>
        <w:t>伊宁县公安局以南，新城路以北，文明路以东，703乡道以西，</w:t>
      </w:r>
      <w:r>
        <w:rPr>
          <w:color w:val="auto"/>
          <w:szCs w:val="26"/>
          <w:highlight w:val="none"/>
        </w:rPr>
        <w:t>项目区</w:t>
      </w:r>
      <w:r>
        <w:rPr>
          <w:rFonts w:hint="eastAsia"/>
          <w:color w:val="auto"/>
          <w:szCs w:val="26"/>
          <w:highlight w:val="none"/>
          <w:lang w:eastAsia="zh-CN"/>
        </w:rPr>
        <w:t>西</w:t>
      </w:r>
      <w:r>
        <w:rPr>
          <w:color w:val="auto"/>
          <w:szCs w:val="26"/>
          <w:highlight w:val="none"/>
        </w:rPr>
        <w:t>侧紧邻的</w:t>
      </w:r>
      <w:r>
        <w:rPr>
          <w:rFonts w:hint="eastAsia"/>
          <w:color w:val="auto"/>
          <w:szCs w:val="26"/>
          <w:highlight w:val="none"/>
          <w:lang w:eastAsia="zh-CN"/>
        </w:rPr>
        <w:t>文明</w:t>
      </w:r>
      <w:r>
        <w:rPr>
          <w:color w:val="auto"/>
          <w:szCs w:val="26"/>
          <w:highlight w:val="none"/>
        </w:rPr>
        <w:t>路布设有市政排水管网，本项目排水可直接接入至周边市政管网。</w:t>
      </w:r>
    </w:p>
    <w:p>
      <w:pPr>
        <w:pStyle w:val="56"/>
        <w:ind w:firstLine="480"/>
        <w:rPr>
          <w:color w:val="auto"/>
          <w:szCs w:val="26"/>
          <w:highlight w:val="none"/>
        </w:rPr>
      </w:pPr>
      <w:r>
        <w:rPr>
          <w:color w:val="auto"/>
          <w:highlight w:val="none"/>
        </w:rPr>
        <w:t>3）弱电、强电：本项目位于</w:t>
      </w:r>
      <w:r>
        <w:rPr>
          <w:rFonts w:hint="eastAsia"/>
          <w:color w:val="auto"/>
          <w:highlight w:val="none"/>
          <w:lang w:eastAsia="zh-CN"/>
        </w:rPr>
        <w:t>伊宁县公安局以南，新城路以北，文明路以东，703乡道以西，</w:t>
      </w:r>
      <w:r>
        <w:rPr>
          <w:color w:val="auto"/>
          <w:szCs w:val="26"/>
          <w:highlight w:val="none"/>
        </w:rPr>
        <w:t>项目区</w:t>
      </w:r>
      <w:r>
        <w:rPr>
          <w:rFonts w:hint="eastAsia"/>
          <w:color w:val="auto"/>
          <w:szCs w:val="26"/>
          <w:highlight w:val="none"/>
          <w:lang w:eastAsia="zh-CN"/>
        </w:rPr>
        <w:t>北</w:t>
      </w:r>
      <w:r>
        <w:rPr>
          <w:color w:val="auto"/>
          <w:szCs w:val="26"/>
          <w:highlight w:val="none"/>
        </w:rPr>
        <w:t>侧紧邻布设有10KV输电电缆，本项目用电直接由其接入至项目区</w:t>
      </w:r>
      <w:r>
        <w:rPr>
          <w:rFonts w:hint="eastAsia"/>
          <w:color w:val="auto"/>
          <w:szCs w:val="26"/>
          <w:highlight w:val="none"/>
          <w:lang w:val="en-US" w:eastAsia="zh-CN"/>
        </w:rPr>
        <w:t>2#商业楼负一层配电室</w:t>
      </w:r>
      <w:r>
        <w:rPr>
          <w:color w:val="auto"/>
          <w:szCs w:val="26"/>
          <w:highlight w:val="none"/>
        </w:rPr>
        <w:t>，并设置分支箱，分别接至小区各区域。本项目弱电系统由西侧紧邻的</w:t>
      </w:r>
      <w:r>
        <w:rPr>
          <w:rFonts w:hint="eastAsia"/>
          <w:color w:val="auto"/>
          <w:szCs w:val="26"/>
          <w:highlight w:val="none"/>
          <w:lang w:eastAsia="zh-CN"/>
        </w:rPr>
        <w:t>文明</w:t>
      </w:r>
      <w:r>
        <w:rPr>
          <w:color w:val="auto"/>
          <w:szCs w:val="26"/>
          <w:highlight w:val="none"/>
        </w:rPr>
        <w:t>路</w:t>
      </w:r>
      <w:r>
        <w:rPr>
          <w:rFonts w:hint="eastAsia"/>
          <w:color w:val="auto"/>
          <w:szCs w:val="26"/>
          <w:highlight w:val="none"/>
          <w:lang w:eastAsia="zh-CN"/>
        </w:rPr>
        <w:t>布设有</w:t>
      </w:r>
      <w:r>
        <w:rPr>
          <w:color w:val="auto"/>
          <w:szCs w:val="26"/>
          <w:highlight w:val="none"/>
        </w:rPr>
        <w:t>市政弱电电缆引入至项目区接至各区域。</w:t>
      </w:r>
    </w:p>
    <w:p>
      <w:pPr>
        <w:pStyle w:val="56"/>
        <w:ind w:firstLine="480"/>
        <w:rPr>
          <w:color w:val="auto"/>
          <w:highlight w:val="none"/>
        </w:rPr>
      </w:pPr>
      <w:r>
        <w:rPr>
          <w:color w:val="auto"/>
          <w:highlight w:val="none"/>
        </w:rPr>
        <w:t>4）供暖</w:t>
      </w:r>
      <w:r>
        <w:rPr>
          <w:rFonts w:hint="eastAsia"/>
          <w:color w:val="auto"/>
          <w:highlight w:val="none"/>
          <w:lang w:eastAsia="zh-CN"/>
        </w:rPr>
        <w:t>：</w:t>
      </w:r>
      <w:r>
        <w:rPr>
          <w:color w:val="auto"/>
          <w:highlight w:val="none"/>
        </w:rPr>
        <w:t>本项目位于</w:t>
      </w:r>
      <w:r>
        <w:rPr>
          <w:rFonts w:hint="eastAsia"/>
          <w:color w:val="auto"/>
          <w:highlight w:val="none"/>
          <w:lang w:eastAsia="zh-CN"/>
        </w:rPr>
        <w:t>伊宁县公安局以南，新城路以北，文明路以东，703乡道以西，</w:t>
      </w:r>
      <w:r>
        <w:rPr>
          <w:color w:val="auto"/>
          <w:szCs w:val="26"/>
          <w:highlight w:val="none"/>
        </w:rPr>
        <w:t>项目区供暖</w:t>
      </w:r>
      <w:r>
        <w:rPr>
          <w:rFonts w:hint="eastAsia"/>
          <w:color w:val="auto"/>
          <w:szCs w:val="26"/>
          <w:highlight w:val="none"/>
          <w:lang w:eastAsia="zh-CN"/>
        </w:rPr>
        <w:t>由北侧</w:t>
      </w:r>
      <w:r>
        <w:rPr>
          <w:color w:val="auto"/>
          <w:szCs w:val="26"/>
          <w:highlight w:val="none"/>
        </w:rPr>
        <w:t>市政热力管网接至换热站，再分别接至项目区各区域。</w:t>
      </w:r>
    </w:p>
    <w:p>
      <w:pPr>
        <w:pStyle w:val="56"/>
        <w:ind w:firstLine="480"/>
        <w:rPr>
          <w:color w:val="auto"/>
          <w:szCs w:val="26"/>
          <w:highlight w:val="none"/>
        </w:rPr>
      </w:pPr>
      <w:r>
        <w:rPr>
          <w:rFonts w:hint="eastAsia"/>
          <w:color w:val="auto"/>
          <w:highlight w:val="none"/>
          <w:lang w:val="en-US" w:eastAsia="zh-CN"/>
        </w:rPr>
        <w:t>5）</w:t>
      </w:r>
      <w:r>
        <w:rPr>
          <w:color w:val="auto"/>
          <w:highlight w:val="none"/>
        </w:rPr>
        <w:t>燃气：本项目位于</w:t>
      </w:r>
      <w:r>
        <w:rPr>
          <w:rFonts w:hint="eastAsia"/>
          <w:color w:val="auto"/>
          <w:highlight w:val="none"/>
          <w:lang w:eastAsia="zh-CN"/>
        </w:rPr>
        <w:t>伊宁县公安局以南，新城路以北，文明路以东，703乡道以西，</w:t>
      </w:r>
      <w:r>
        <w:rPr>
          <w:color w:val="auto"/>
          <w:szCs w:val="26"/>
          <w:highlight w:val="none"/>
        </w:rPr>
        <w:t>项目区</w:t>
      </w:r>
      <w:r>
        <w:rPr>
          <w:rFonts w:hint="eastAsia"/>
          <w:color w:val="auto"/>
          <w:szCs w:val="26"/>
          <w:highlight w:val="none"/>
          <w:lang w:eastAsia="zh-CN"/>
        </w:rPr>
        <w:t>北侧布设有</w:t>
      </w:r>
      <w:r>
        <w:rPr>
          <w:color w:val="auto"/>
          <w:szCs w:val="26"/>
          <w:highlight w:val="none"/>
        </w:rPr>
        <w:t>市政燃气管网。项目区燃气由北侧接市政燃气管网再分别接至项目区各区域。</w:t>
      </w:r>
    </w:p>
    <w:p>
      <w:pPr>
        <w:pStyle w:val="56"/>
        <w:ind w:firstLine="480"/>
        <w:rPr>
          <w:color w:val="auto"/>
          <w:highlight w:val="none"/>
        </w:rPr>
      </w:pPr>
      <w:r>
        <w:rPr>
          <w:color w:val="auto"/>
          <w:szCs w:val="26"/>
          <w:highlight w:val="none"/>
        </w:rPr>
        <w:t>（9）</w:t>
      </w:r>
      <w:r>
        <w:rPr>
          <w:color w:val="auto"/>
          <w:highlight w:val="none"/>
        </w:rPr>
        <w:t>总体规划设计情况</w:t>
      </w:r>
    </w:p>
    <w:p>
      <w:pPr>
        <w:pStyle w:val="56"/>
        <w:ind w:firstLine="480"/>
        <w:rPr>
          <w:color w:val="auto"/>
          <w:highlight w:val="none"/>
        </w:rPr>
      </w:pPr>
      <w:r>
        <w:rPr>
          <w:rFonts w:hint="eastAsia"/>
          <w:color w:val="auto"/>
          <w:highlight w:val="none"/>
          <w:lang w:eastAsia="zh-CN"/>
        </w:rPr>
        <w:t>伊宁县书香·雅居</w:t>
      </w:r>
      <w:r>
        <w:rPr>
          <w:color w:val="auto"/>
          <w:highlight w:val="none"/>
        </w:rPr>
        <w:t>建设项目规划建设</w:t>
      </w:r>
      <w:r>
        <w:rPr>
          <w:rFonts w:hint="eastAsia"/>
          <w:color w:val="auto"/>
          <w:highlight w:val="none"/>
          <w:lang w:val="en-US" w:eastAsia="zh-CN"/>
        </w:rPr>
        <w:t>9</w:t>
      </w:r>
      <w:r>
        <w:rPr>
          <w:color w:val="auto"/>
          <w:highlight w:val="none"/>
        </w:rPr>
        <w:t>栋住宅楼（包括1#、2#、3#、5#、6#、7#、8#、9#、</w:t>
      </w:r>
      <w:r>
        <w:rPr>
          <w:rFonts w:hint="eastAsia"/>
          <w:color w:val="auto"/>
          <w:highlight w:val="none"/>
          <w:lang w:val="en-US" w:eastAsia="zh-CN"/>
        </w:rPr>
        <w:t>10</w:t>
      </w:r>
      <w:r>
        <w:rPr>
          <w:color w:val="auto"/>
          <w:highlight w:val="none"/>
        </w:rPr>
        <w:t>#）以及</w:t>
      </w:r>
      <w:r>
        <w:rPr>
          <w:rFonts w:hint="eastAsia"/>
          <w:color w:val="auto"/>
          <w:highlight w:val="none"/>
          <w:lang w:val="en-US" w:eastAsia="zh-CN"/>
        </w:rPr>
        <w:t>2</w:t>
      </w:r>
      <w:r>
        <w:rPr>
          <w:color w:val="auto"/>
          <w:highlight w:val="none"/>
        </w:rPr>
        <w:t>栋商业楼</w:t>
      </w:r>
      <w:r>
        <w:rPr>
          <w:rFonts w:hint="eastAsia"/>
          <w:color w:val="auto"/>
          <w:highlight w:val="none"/>
          <w:lang w:eastAsia="zh-CN"/>
        </w:rPr>
        <w:t>（</w:t>
      </w:r>
      <w:r>
        <w:rPr>
          <w:color w:val="auto"/>
          <w:highlight w:val="none"/>
        </w:rPr>
        <w:t>包括1#、2#</w:t>
      </w:r>
      <w:r>
        <w:rPr>
          <w:rFonts w:hint="eastAsia"/>
          <w:color w:val="auto"/>
          <w:highlight w:val="none"/>
          <w:lang w:eastAsia="zh-CN"/>
        </w:rPr>
        <w:t>）</w:t>
      </w:r>
      <w:r>
        <w:rPr>
          <w:color w:val="auto"/>
          <w:highlight w:val="none"/>
        </w:rPr>
        <w:t>，总用地面积</w:t>
      </w:r>
      <w:r>
        <w:rPr>
          <w:rFonts w:hint="eastAsia"/>
          <w:color w:val="auto"/>
          <w:highlight w:val="none"/>
          <w:lang w:val="en-US" w:eastAsia="zh-CN"/>
        </w:rPr>
        <w:t>7270.57</w:t>
      </w:r>
      <w:r>
        <w:rPr>
          <w:color w:val="auto"/>
          <w:highlight w:val="none"/>
        </w:rPr>
        <w:t>m</w:t>
      </w:r>
      <w:r>
        <w:rPr>
          <w:rFonts w:eastAsia="宋体"/>
          <w:color w:val="auto"/>
          <w:highlight w:val="none"/>
        </w:rPr>
        <w:t>²</w:t>
      </w:r>
      <w:r>
        <w:rPr>
          <w:color w:val="auto"/>
          <w:highlight w:val="none"/>
        </w:rPr>
        <w:t>，地上总建筑面积</w:t>
      </w:r>
      <w:r>
        <w:rPr>
          <w:rFonts w:hint="eastAsia"/>
          <w:color w:val="auto"/>
          <w:highlight w:val="none"/>
          <w:lang w:val="en-US" w:eastAsia="zh-CN"/>
        </w:rPr>
        <w:t>33970</w:t>
      </w:r>
      <w:r>
        <w:rPr>
          <w:color w:val="auto"/>
          <w:highlight w:val="none"/>
        </w:rPr>
        <w:t>m</w:t>
      </w:r>
      <w:r>
        <w:rPr>
          <w:rFonts w:eastAsia="宋体"/>
          <w:color w:val="auto"/>
          <w:highlight w:val="none"/>
        </w:rPr>
        <w:t>²</w:t>
      </w:r>
      <w:r>
        <w:rPr>
          <w:color w:val="auto"/>
          <w:highlight w:val="none"/>
        </w:rPr>
        <w:t>。</w:t>
      </w:r>
    </w:p>
    <w:p>
      <w:pPr>
        <w:pStyle w:val="56"/>
        <w:ind w:firstLine="480"/>
        <w:rPr>
          <w:color w:val="auto"/>
          <w:szCs w:val="26"/>
          <w:highlight w:val="none"/>
        </w:rPr>
      </w:pPr>
      <w:r>
        <w:rPr>
          <w:color w:val="auto"/>
          <w:szCs w:val="26"/>
          <w:highlight w:val="none"/>
        </w:rPr>
        <w:t>（1</w:t>
      </w:r>
      <w:r>
        <w:rPr>
          <w:rFonts w:hint="eastAsia"/>
          <w:color w:val="auto"/>
          <w:szCs w:val="26"/>
          <w:highlight w:val="none"/>
        </w:rPr>
        <w:t>0</w:t>
      </w:r>
      <w:r>
        <w:rPr>
          <w:color w:val="auto"/>
          <w:szCs w:val="26"/>
          <w:highlight w:val="none"/>
        </w:rPr>
        <w:t>）项目建设情况</w:t>
      </w:r>
    </w:p>
    <w:p>
      <w:pPr>
        <w:pStyle w:val="56"/>
        <w:ind w:firstLine="480"/>
        <w:rPr>
          <w:color w:val="auto"/>
          <w:szCs w:val="26"/>
          <w:highlight w:val="none"/>
        </w:rPr>
      </w:pPr>
      <w:r>
        <w:rPr>
          <w:color w:val="auto"/>
          <w:szCs w:val="26"/>
          <w:highlight w:val="none"/>
        </w:rPr>
        <w:t>项目区原始场地为</w:t>
      </w:r>
      <w:r>
        <w:rPr>
          <w:color w:val="auto"/>
          <w:highlight w:val="none"/>
        </w:rPr>
        <w:t>自建房，在建设单位取得用地手续前已拆迁完成，建设单位以净地的方式取得。建设内容包括</w:t>
      </w:r>
      <w:r>
        <w:rPr>
          <w:rFonts w:hint="eastAsia"/>
          <w:color w:val="auto"/>
          <w:highlight w:val="none"/>
          <w:lang w:val="en-US" w:eastAsia="zh-CN"/>
        </w:rPr>
        <w:t>9</w:t>
      </w:r>
      <w:r>
        <w:rPr>
          <w:color w:val="auto"/>
          <w:highlight w:val="none"/>
        </w:rPr>
        <w:t>栋住宅楼以及</w:t>
      </w:r>
      <w:r>
        <w:rPr>
          <w:rFonts w:hint="eastAsia"/>
          <w:color w:val="auto"/>
          <w:highlight w:val="none"/>
          <w:lang w:val="en-US" w:eastAsia="zh-CN"/>
        </w:rPr>
        <w:t>2</w:t>
      </w:r>
      <w:r>
        <w:rPr>
          <w:color w:val="auto"/>
          <w:highlight w:val="none"/>
        </w:rPr>
        <w:t>栋商业楼</w:t>
      </w:r>
      <w:r>
        <w:rPr>
          <w:rFonts w:hint="eastAsia"/>
          <w:color w:val="auto"/>
          <w:highlight w:val="none"/>
          <w:lang w:val="en-US" w:eastAsia="zh-CN"/>
        </w:rPr>
        <w:t>，</w:t>
      </w:r>
      <w:r>
        <w:rPr>
          <w:color w:val="auto"/>
          <w:szCs w:val="26"/>
          <w:highlight w:val="none"/>
        </w:rPr>
        <w:t>本项目已于2020年</w:t>
      </w:r>
      <w:r>
        <w:rPr>
          <w:rFonts w:hint="eastAsia"/>
          <w:color w:val="auto"/>
          <w:szCs w:val="26"/>
          <w:highlight w:val="none"/>
          <w:lang w:val="en-US" w:eastAsia="zh-CN"/>
        </w:rPr>
        <w:t>4</w:t>
      </w:r>
      <w:r>
        <w:rPr>
          <w:color w:val="auto"/>
          <w:szCs w:val="26"/>
          <w:highlight w:val="none"/>
        </w:rPr>
        <w:t>月开工建设，现阶段9栋住宅楼</w:t>
      </w:r>
      <w:r>
        <w:rPr>
          <w:rFonts w:hint="eastAsia"/>
          <w:color w:val="auto"/>
          <w:szCs w:val="26"/>
          <w:highlight w:val="none"/>
          <w:lang w:eastAsia="zh-CN"/>
        </w:rPr>
        <w:t>结构均已完成</w:t>
      </w:r>
      <w:r>
        <w:rPr>
          <w:color w:val="auto"/>
          <w:szCs w:val="26"/>
          <w:highlight w:val="none"/>
        </w:rPr>
        <w:t>，</w:t>
      </w:r>
      <w:r>
        <w:rPr>
          <w:rFonts w:hint="eastAsia"/>
          <w:color w:val="auto"/>
          <w:highlight w:val="none"/>
        </w:rPr>
        <w:t>开挖堆土</w:t>
      </w:r>
      <w:r>
        <w:rPr>
          <w:rFonts w:hint="eastAsia"/>
          <w:color w:val="auto"/>
          <w:highlight w:val="none"/>
          <w:lang w:eastAsia="zh-CN"/>
        </w:rPr>
        <w:t>已部分回填，多余土方</w:t>
      </w:r>
      <w:r>
        <w:rPr>
          <w:rFonts w:hint="eastAsia"/>
          <w:color w:val="auto"/>
          <w:highlight w:val="none"/>
        </w:rPr>
        <w:t>临时堆置在每栋楼周边空地，</w:t>
      </w:r>
      <w:r>
        <w:rPr>
          <w:rFonts w:hint="eastAsia"/>
          <w:color w:val="auto"/>
          <w:highlight w:val="none"/>
          <w:lang w:val="en-US" w:eastAsia="zh-CN"/>
        </w:rPr>
        <w:t>2栋商业楼基础开挖已部分回填，</w:t>
      </w:r>
      <w:r>
        <w:rPr>
          <w:color w:val="auto"/>
          <w:szCs w:val="26"/>
          <w:highlight w:val="none"/>
        </w:rPr>
        <w:t>现阶段主要为</w:t>
      </w:r>
      <w:r>
        <w:rPr>
          <w:rFonts w:hint="eastAsia"/>
          <w:color w:val="auto"/>
          <w:szCs w:val="26"/>
          <w:highlight w:val="none"/>
          <w:lang w:eastAsia="zh-CN"/>
        </w:rPr>
        <w:t>商业楼</w:t>
      </w:r>
      <w:r>
        <w:rPr>
          <w:color w:val="auto"/>
          <w:szCs w:val="26"/>
          <w:highlight w:val="none"/>
        </w:rPr>
        <w:t>基础结构</w:t>
      </w:r>
      <w:r>
        <w:rPr>
          <w:rFonts w:hint="eastAsia"/>
          <w:color w:val="auto"/>
          <w:highlight w:val="none"/>
        </w:rPr>
        <w:t>施工，基础为条形基础</w:t>
      </w:r>
      <w:r>
        <w:rPr>
          <w:color w:val="auto"/>
          <w:szCs w:val="26"/>
          <w:highlight w:val="none"/>
        </w:rPr>
        <w:t>。施工生产区已堆放部分施工材料，其余还未开工建设。</w:t>
      </w:r>
    </w:p>
    <w:p>
      <w:pPr>
        <w:pStyle w:val="56"/>
        <w:ind w:firstLine="480"/>
        <w:rPr>
          <w:color w:val="auto"/>
          <w:highlight w:val="none"/>
        </w:rPr>
      </w:pPr>
      <w:r>
        <w:rPr>
          <w:color w:val="auto"/>
          <w:highlight w:val="none"/>
        </w:rPr>
        <w:t>通过现场踏勘及调查，项目区周边已实施彩钢板拦挡措施，可避免扰动面积的增加</w:t>
      </w:r>
      <w:r>
        <w:rPr>
          <w:rFonts w:hint="eastAsia"/>
          <w:color w:val="auto"/>
          <w:highlight w:val="none"/>
        </w:rPr>
        <w:t>，项目区建构筑物周边临时堆土未采取苫盖，易产生水土流失，同时区域内施工道路连接出入口的主路</w:t>
      </w:r>
      <w:r>
        <w:rPr>
          <w:rFonts w:hint="eastAsia"/>
          <w:color w:val="auto"/>
          <w:highlight w:val="none"/>
          <w:lang w:eastAsia="zh-CN"/>
        </w:rPr>
        <w:t>已全部硬化</w:t>
      </w:r>
      <w:r>
        <w:rPr>
          <w:rFonts w:hint="eastAsia"/>
          <w:color w:val="auto"/>
          <w:highlight w:val="none"/>
        </w:rPr>
        <w:t>，但其余道路车辆碾压，地表疏松，未采取洒水措施，易产生水土流失。</w:t>
      </w: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30"/>
        <w:gridCol w:w="45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2" w:hRule="exact"/>
        </w:trPr>
        <w:tc>
          <w:tcPr>
            <w:tcW w:w="4530" w:type="dxa"/>
            <w:vAlign w:val="center"/>
          </w:tcPr>
          <w:p>
            <w:pPr>
              <w:pStyle w:val="84"/>
              <w:rPr>
                <w:rFonts w:hint="eastAsia" w:eastAsia="仿宋_GB2312"/>
                <w:color w:val="auto"/>
                <w:highlight w:val="none"/>
                <w:lang w:eastAsia="zh-CN"/>
              </w:rPr>
            </w:pPr>
            <w:r>
              <w:rPr>
                <w:rFonts w:hint="eastAsia" w:eastAsia="仿宋_GB2312"/>
                <w:color w:val="auto"/>
                <w:highlight w:val="none"/>
                <w:lang w:eastAsia="zh-CN"/>
              </w:rPr>
              <w:drawing>
                <wp:inline distT="0" distB="0" distL="114300" distR="114300">
                  <wp:extent cx="2729230" cy="2047240"/>
                  <wp:effectExtent l="0" t="0" r="13970" b="10160"/>
                  <wp:docPr id="20" name="图片 20" descr="aebd7db7a00df77db4f3c58a51c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ebd7db7a00df77db4f3c58a51c2841"/>
                          <pic:cNvPicPr>
                            <a:picLocks noChangeAspect="1"/>
                          </pic:cNvPicPr>
                        </pic:nvPicPr>
                        <pic:blipFill>
                          <a:blip r:embed="rId29"/>
                          <a:stretch>
                            <a:fillRect/>
                          </a:stretch>
                        </pic:blipFill>
                        <pic:spPr>
                          <a:xfrm>
                            <a:off x="0" y="0"/>
                            <a:ext cx="2729230" cy="2047240"/>
                          </a:xfrm>
                          <a:prstGeom prst="rect">
                            <a:avLst/>
                          </a:prstGeom>
                        </pic:spPr>
                      </pic:pic>
                    </a:graphicData>
                  </a:graphic>
                </wp:inline>
              </w:drawing>
            </w:r>
          </w:p>
        </w:tc>
        <w:tc>
          <w:tcPr>
            <w:tcW w:w="4530" w:type="dxa"/>
            <w:vAlign w:val="center"/>
          </w:tcPr>
          <w:p>
            <w:pPr>
              <w:pStyle w:val="84"/>
              <w:rPr>
                <w:rFonts w:hint="eastAsia" w:eastAsia="仿宋_GB2312"/>
                <w:color w:val="auto"/>
                <w:highlight w:val="none"/>
                <w:lang w:eastAsia="zh-CN"/>
              </w:rPr>
            </w:pPr>
            <w:r>
              <w:rPr>
                <w:rFonts w:hint="eastAsia" w:eastAsia="仿宋_GB2312"/>
                <w:color w:val="auto"/>
                <w:highlight w:val="none"/>
                <w:lang w:eastAsia="zh-CN"/>
              </w:rPr>
              <w:drawing>
                <wp:inline distT="0" distB="0" distL="114300" distR="114300">
                  <wp:extent cx="2729230" cy="2047240"/>
                  <wp:effectExtent l="0" t="0" r="13970" b="10160"/>
                  <wp:docPr id="21" name="图片 21" descr="beb81be1d672428daf37e8fcd42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eb81be1d672428daf37e8fcd427347"/>
                          <pic:cNvPicPr>
                            <a:picLocks noChangeAspect="1"/>
                          </pic:cNvPicPr>
                        </pic:nvPicPr>
                        <pic:blipFill>
                          <a:blip r:embed="rId30"/>
                          <a:stretch>
                            <a:fillRect/>
                          </a:stretch>
                        </pic:blipFill>
                        <pic:spPr>
                          <a:xfrm>
                            <a:off x="0" y="0"/>
                            <a:ext cx="2729230" cy="2047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pStyle w:val="84"/>
              <w:rPr>
                <w:color w:val="auto"/>
                <w:highlight w:val="none"/>
              </w:rPr>
            </w:pPr>
            <w:r>
              <w:rPr>
                <w:rFonts w:hint="eastAsia"/>
                <w:color w:val="auto"/>
                <w:highlight w:val="none"/>
              </w:rPr>
              <w:t>建构筑物基坑开挖堆土</w:t>
            </w:r>
          </w:p>
        </w:tc>
        <w:tc>
          <w:tcPr>
            <w:tcW w:w="4530" w:type="dxa"/>
            <w:vAlign w:val="center"/>
          </w:tcPr>
          <w:p>
            <w:pPr>
              <w:pStyle w:val="84"/>
              <w:rPr>
                <w:color w:val="auto"/>
                <w:highlight w:val="none"/>
              </w:rPr>
            </w:pPr>
            <w:r>
              <w:rPr>
                <w:rFonts w:hint="eastAsia"/>
                <w:color w:val="auto"/>
                <w:highlight w:val="none"/>
                <w:lang w:val="en-US" w:eastAsia="zh-CN"/>
              </w:rPr>
              <w:t>2#商业楼</w:t>
            </w:r>
            <w:r>
              <w:rPr>
                <w:rFonts w:hint="eastAsia"/>
                <w:color w:val="auto"/>
                <w:highlight w:val="none"/>
              </w:rPr>
              <w:t>基坑</w:t>
            </w:r>
            <w:r>
              <w:rPr>
                <w:rFonts w:hint="eastAsia"/>
                <w:color w:val="auto"/>
                <w:highlight w:val="none"/>
                <w:lang w:val="en-US" w:eastAsia="zh-CN"/>
              </w:rPr>
              <w:t>已部分回填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exact"/>
        </w:trPr>
        <w:tc>
          <w:tcPr>
            <w:tcW w:w="4530" w:type="dxa"/>
            <w:vAlign w:val="center"/>
          </w:tcPr>
          <w:p>
            <w:pPr>
              <w:pStyle w:val="84"/>
              <w:rPr>
                <w:rFonts w:hint="eastAsia" w:eastAsia="仿宋_GB2312"/>
                <w:color w:val="auto"/>
                <w:highlight w:val="none"/>
                <w:lang w:eastAsia="zh-CN"/>
              </w:rPr>
            </w:pPr>
            <w:r>
              <w:rPr>
                <w:rFonts w:hint="eastAsia" w:eastAsia="仿宋_GB2312"/>
                <w:color w:val="auto"/>
                <w:highlight w:val="none"/>
                <w:lang w:eastAsia="zh-CN"/>
              </w:rPr>
              <w:drawing>
                <wp:inline distT="0" distB="0" distL="114300" distR="114300">
                  <wp:extent cx="2729230" cy="2047240"/>
                  <wp:effectExtent l="0" t="0" r="13970" b="10160"/>
                  <wp:docPr id="22" name="图片 22" descr="a73fbfffaf44f979876e98bbf03c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73fbfffaf44f979876e98bbf03c548"/>
                          <pic:cNvPicPr>
                            <a:picLocks noChangeAspect="1"/>
                          </pic:cNvPicPr>
                        </pic:nvPicPr>
                        <pic:blipFill>
                          <a:blip r:embed="rId31"/>
                          <a:stretch>
                            <a:fillRect/>
                          </a:stretch>
                        </pic:blipFill>
                        <pic:spPr>
                          <a:xfrm>
                            <a:off x="0" y="0"/>
                            <a:ext cx="2729230" cy="2047240"/>
                          </a:xfrm>
                          <a:prstGeom prst="rect">
                            <a:avLst/>
                          </a:prstGeom>
                        </pic:spPr>
                      </pic:pic>
                    </a:graphicData>
                  </a:graphic>
                </wp:inline>
              </w:drawing>
            </w:r>
          </w:p>
        </w:tc>
        <w:tc>
          <w:tcPr>
            <w:tcW w:w="4530" w:type="dxa"/>
            <w:vAlign w:val="center"/>
          </w:tcPr>
          <w:p>
            <w:pPr>
              <w:pStyle w:val="84"/>
              <w:rPr>
                <w:rFonts w:hint="eastAsia" w:eastAsia="仿宋_GB2312"/>
                <w:color w:val="auto"/>
                <w:highlight w:val="none"/>
                <w:lang w:eastAsia="zh-CN"/>
              </w:rPr>
            </w:pPr>
            <w:r>
              <w:rPr>
                <w:rFonts w:hint="eastAsia" w:eastAsia="仿宋_GB2312"/>
                <w:color w:val="auto"/>
                <w:highlight w:val="none"/>
                <w:lang w:eastAsia="zh-CN"/>
              </w:rPr>
              <w:drawing>
                <wp:inline distT="0" distB="0" distL="114300" distR="114300">
                  <wp:extent cx="2729230" cy="2047240"/>
                  <wp:effectExtent l="0" t="0" r="13970" b="10160"/>
                  <wp:docPr id="23" name="图片 23" descr="2b03e14d5470ad2bcc293dd094e3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b03e14d5470ad2bcc293dd094e31b3"/>
                          <pic:cNvPicPr>
                            <a:picLocks noChangeAspect="1"/>
                          </pic:cNvPicPr>
                        </pic:nvPicPr>
                        <pic:blipFill>
                          <a:blip r:embed="rId32"/>
                          <a:stretch>
                            <a:fillRect/>
                          </a:stretch>
                        </pic:blipFill>
                        <pic:spPr>
                          <a:xfrm>
                            <a:off x="0" y="0"/>
                            <a:ext cx="2729230" cy="2047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pStyle w:val="84"/>
              <w:rPr>
                <w:rFonts w:hint="eastAsia" w:eastAsia="仿宋_GB2312"/>
                <w:color w:val="auto"/>
                <w:highlight w:val="none"/>
                <w:lang w:eastAsia="zh-CN"/>
              </w:rPr>
            </w:pPr>
            <w:r>
              <w:rPr>
                <w:rFonts w:hint="eastAsia"/>
                <w:color w:val="auto"/>
                <w:highlight w:val="none"/>
                <w:lang w:eastAsia="zh-CN"/>
              </w:rPr>
              <w:t>场内道路</w:t>
            </w:r>
          </w:p>
        </w:tc>
        <w:tc>
          <w:tcPr>
            <w:tcW w:w="4530" w:type="dxa"/>
            <w:vAlign w:val="center"/>
          </w:tcPr>
          <w:p>
            <w:pPr>
              <w:pStyle w:val="84"/>
              <w:rPr>
                <w:rFonts w:hint="eastAsia" w:eastAsia="仿宋_GB2312"/>
                <w:color w:val="auto"/>
                <w:highlight w:val="none"/>
                <w:lang w:eastAsia="zh-CN"/>
              </w:rPr>
            </w:pPr>
            <w:r>
              <w:rPr>
                <w:rFonts w:hint="eastAsia"/>
                <w:color w:val="auto"/>
                <w:highlight w:val="none"/>
                <w:lang w:eastAsia="zh-CN"/>
              </w:rPr>
              <w:t>进场道路</w:t>
            </w:r>
          </w:p>
        </w:tc>
      </w:tr>
    </w:tbl>
    <w:p>
      <w:pPr>
        <w:rPr>
          <w:rFonts w:hint="eastAsia"/>
          <w:color w:val="auto"/>
          <w:szCs w:val="26"/>
          <w:highlight w:val="none"/>
        </w:rPr>
      </w:pPr>
      <w:r>
        <w:rPr>
          <w:rFonts w:hint="eastAsia"/>
          <w:color w:val="auto"/>
          <w:szCs w:val="26"/>
          <w:highlight w:val="none"/>
        </w:rPr>
        <w:br w:type="page"/>
      </w:r>
    </w:p>
    <w:p>
      <w:pPr>
        <w:pStyle w:val="56"/>
        <w:ind w:firstLine="480"/>
        <w:rPr>
          <w:color w:val="auto"/>
          <w:szCs w:val="26"/>
          <w:highlight w:val="none"/>
        </w:rPr>
      </w:pPr>
      <w:r>
        <w:rPr>
          <w:rFonts w:hint="eastAsia"/>
          <w:color w:val="auto"/>
          <w:szCs w:val="26"/>
          <w:highlight w:val="none"/>
        </w:rPr>
        <w:t>（11）工程特性表</w:t>
      </w:r>
    </w:p>
    <w:p>
      <w:pPr>
        <w:pStyle w:val="75"/>
        <w:rPr>
          <w:color w:val="auto"/>
          <w:highlight w:val="none"/>
        </w:rPr>
      </w:pPr>
      <w:r>
        <w:rPr>
          <w:color w:val="auto"/>
          <w:highlight w:val="none"/>
        </w:rPr>
        <w:t xml:space="preserve">表2.1-1    </w:t>
      </w:r>
      <w:bookmarkStart w:id="75" w:name="OLE_LINK2"/>
      <w:r>
        <w:rPr>
          <w:color w:val="auto"/>
          <w:highlight w:val="none"/>
        </w:rPr>
        <w:t xml:space="preserve"> </w:t>
      </w:r>
      <w:r>
        <w:rPr>
          <w:rFonts w:hint="eastAsia"/>
          <w:color w:val="auto"/>
          <w:highlight w:val="none"/>
          <w:lang w:eastAsia="zh-CN"/>
        </w:rPr>
        <w:t>伊宁县书香·雅居</w:t>
      </w:r>
      <w:r>
        <w:rPr>
          <w:color w:val="auto"/>
          <w:highlight w:val="none"/>
        </w:rPr>
        <w:t>建设项目工程特性表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0"/>
        <w:gridCol w:w="181"/>
        <w:gridCol w:w="1114"/>
        <w:gridCol w:w="101"/>
        <w:gridCol w:w="744"/>
        <w:gridCol w:w="32"/>
        <w:gridCol w:w="1048"/>
        <w:gridCol w:w="917"/>
        <w:gridCol w:w="395"/>
        <w:gridCol w:w="36"/>
        <w:gridCol w:w="146"/>
        <w:gridCol w:w="64"/>
        <w:gridCol w:w="383"/>
        <w:gridCol w:w="258"/>
        <w:gridCol w:w="326"/>
        <w:gridCol w:w="600"/>
        <w:gridCol w:w="205"/>
        <w:gridCol w:w="466"/>
        <w:gridCol w:w="466"/>
        <w:gridCol w:w="5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20"/>
            <w:noWrap/>
            <w:vAlign w:val="center"/>
          </w:tcPr>
          <w:p>
            <w:pPr>
              <w:pStyle w:val="84"/>
              <w:rPr>
                <w:color w:val="auto"/>
                <w:highlight w:val="none"/>
              </w:rPr>
            </w:pPr>
            <w:r>
              <w:rPr>
                <w:color w:val="auto"/>
                <w:highlight w:val="none"/>
              </w:rPr>
              <w:t>一、项目的基本情况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noWrap/>
            <w:vAlign w:val="center"/>
          </w:tcPr>
          <w:p>
            <w:pPr>
              <w:pStyle w:val="84"/>
              <w:rPr>
                <w:color w:val="auto"/>
                <w:highlight w:val="none"/>
              </w:rPr>
            </w:pPr>
            <w:r>
              <w:rPr>
                <w:color w:val="auto"/>
                <w:highlight w:val="none"/>
              </w:rPr>
              <w:t>1</w:t>
            </w:r>
          </w:p>
        </w:tc>
        <w:tc>
          <w:tcPr>
            <w:tcW w:w="625" w:type="pct"/>
            <w:noWrap/>
            <w:vAlign w:val="center"/>
          </w:tcPr>
          <w:p>
            <w:pPr>
              <w:pStyle w:val="84"/>
              <w:rPr>
                <w:color w:val="auto"/>
                <w:highlight w:val="none"/>
              </w:rPr>
            </w:pPr>
            <w:r>
              <w:rPr>
                <w:color w:val="auto"/>
                <w:highlight w:val="none"/>
              </w:rPr>
              <w:t>项目名称</w:t>
            </w:r>
          </w:p>
        </w:tc>
        <w:tc>
          <w:tcPr>
            <w:tcW w:w="3783" w:type="pct"/>
            <w:gridSpan w:val="17"/>
            <w:noWrap/>
            <w:vAlign w:val="center"/>
          </w:tcPr>
          <w:p>
            <w:pPr>
              <w:pStyle w:val="84"/>
              <w:rPr>
                <w:color w:val="auto"/>
                <w:highlight w:val="none"/>
              </w:rPr>
            </w:pPr>
            <w:r>
              <w:rPr>
                <w:rFonts w:hint="eastAsia"/>
                <w:color w:val="auto"/>
                <w:highlight w:val="none"/>
                <w:lang w:eastAsia="zh-CN"/>
              </w:rPr>
              <w:t>伊宁县书香·雅居</w:t>
            </w:r>
            <w:r>
              <w:rPr>
                <w:color w:val="auto"/>
                <w:highlight w:val="none"/>
              </w:rPr>
              <w:t>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noWrap/>
            <w:vAlign w:val="center"/>
          </w:tcPr>
          <w:p>
            <w:pPr>
              <w:pStyle w:val="84"/>
              <w:rPr>
                <w:color w:val="auto"/>
                <w:highlight w:val="none"/>
              </w:rPr>
            </w:pPr>
            <w:r>
              <w:rPr>
                <w:color w:val="auto"/>
                <w:highlight w:val="none"/>
              </w:rPr>
              <w:t>2</w:t>
            </w:r>
          </w:p>
        </w:tc>
        <w:tc>
          <w:tcPr>
            <w:tcW w:w="625" w:type="pct"/>
            <w:noWrap/>
            <w:vAlign w:val="center"/>
          </w:tcPr>
          <w:p>
            <w:pPr>
              <w:pStyle w:val="84"/>
              <w:rPr>
                <w:color w:val="auto"/>
                <w:highlight w:val="none"/>
              </w:rPr>
            </w:pPr>
            <w:r>
              <w:rPr>
                <w:color w:val="auto"/>
                <w:highlight w:val="none"/>
              </w:rPr>
              <w:t>建设地点</w:t>
            </w:r>
          </w:p>
        </w:tc>
        <w:tc>
          <w:tcPr>
            <w:tcW w:w="1838" w:type="pct"/>
            <w:gridSpan w:val="7"/>
            <w:noWrap/>
            <w:vAlign w:val="center"/>
          </w:tcPr>
          <w:p>
            <w:pPr>
              <w:pStyle w:val="84"/>
              <w:rPr>
                <w:color w:val="auto"/>
                <w:highlight w:val="none"/>
              </w:rPr>
            </w:pPr>
            <w:r>
              <w:rPr>
                <w:rFonts w:hint="eastAsia"/>
                <w:color w:val="auto"/>
                <w:highlight w:val="none"/>
                <w:lang w:eastAsia="zh-CN"/>
              </w:rPr>
              <w:t>伊宁</w:t>
            </w:r>
            <w:r>
              <w:rPr>
                <w:color w:val="auto"/>
                <w:highlight w:val="none"/>
              </w:rPr>
              <w:t>县</w:t>
            </w:r>
          </w:p>
        </w:tc>
        <w:tc>
          <w:tcPr>
            <w:tcW w:w="661" w:type="pct"/>
            <w:gridSpan w:val="5"/>
            <w:noWrap/>
            <w:vAlign w:val="center"/>
          </w:tcPr>
          <w:p>
            <w:pPr>
              <w:pStyle w:val="84"/>
              <w:rPr>
                <w:color w:val="auto"/>
                <w:highlight w:val="none"/>
              </w:rPr>
            </w:pPr>
            <w:r>
              <w:rPr>
                <w:color w:val="auto"/>
                <w:highlight w:val="none"/>
              </w:rPr>
              <w:t>水行政主管部门</w:t>
            </w:r>
          </w:p>
        </w:tc>
        <w:tc>
          <w:tcPr>
            <w:tcW w:w="1283" w:type="pct"/>
            <w:gridSpan w:val="5"/>
            <w:noWrap/>
            <w:vAlign w:val="center"/>
          </w:tcPr>
          <w:p>
            <w:pPr>
              <w:pStyle w:val="84"/>
              <w:rPr>
                <w:color w:val="auto"/>
                <w:highlight w:val="none"/>
              </w:rPr>
            </w:pPr>
            <w:r>
              <w:rPr>
                <w:rFonts w:hint="eastAsia"/>
                <w:color w:val="auto"/>
                <w:highlight w:val="none"/>
                <w:lang w:eastAsia="zh-CN"/>
              </w:rPr>
              <w:t>伊宁</w:t>
            </w:r>
            <w:r>
              <w:rPr>
                <w:color w:val="auto"/>
                <w:highlight w:val="none"/>
              </w:rPr>
              <w:t>县水利局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noWrap/>
            <w:vAlign w:val="center"/>
          </w:tcPr>
          <w:p>
            <w:pPr>
              <w:pStyle w:val="84"/>
              <w:rPr>
                <w:color w:val="auto"/>
                <w:highlight w:val="none"/>
              </w:rPr>
            </w:pPr>
            <w:r>
              <w:rPr>
                <w:color w:val="auto"/>
                <w:highlight w:val="none"/>
              </w:rPr>
              <w:t>3</w:t>
            </w:r>
          </w:p>
        </w:tc>
        <w:tc>
          <w:tcPr>
            <w:tcW w:w="625" w:type="pct"/>
            <w:noWrap/>
            <w:vAlign w:val="center"/>
          </w:tcPr>
          <w:p>
            <w:pPr>
              <w:pStyle w:val="84"/>
              <w:rPr>
                <w:color w:val="auto"/>
                <w:highlight w:val="none"/>
              </w:rPr>
            </w:pPr>
            <w:r>
              <w:rPr>
                <w:color w:val="auto"/>
                <w:highlight w:val="none"/>
              </w:rPr>
              <w:t>工程等级</w:t>
            </w:r>
          </w:p>
        </w:tc>
        <w:tc>
          <w:tcPr>
            <w:tcW w:w="1838" w:type="pct"/>
            <w:gridSpan w:val="7"/>
            <w:noWrap/>
            <w:vAlign w:val="center"/>
          </w:tcPr>
          <w:p>
            <w:pPr>
              <w:pStyle w:val="84"/>
              <w:rPr>
                <w:color w:val="auto"/>
                <w:highlight w:val="none"/>
              </w:rPr>
            </w:pPr>
            <w:r>
              <w:rPr>
                <w:color w:val="auto"/>
                <w:highlight w:val="none"/>
              </w:rPr>
              <w:t>小型</w:t>
            </w:r>
          </w:p>
        </w:tc>
        <w:tc>
          <w:tcPr>
            <w:tcW w:w="661" w:type="pct"/>
            <w:gridSpan w:val="5"/>
            <w:noWrap/>
            <w:vAlign w:val="center"/>
          </w:tcPr>
          <w:p>
            <w:pPr>
              <w:pStyle w:val="84"/>
              <w:rPr>
                <w:color w:val="auto"/>
                <w:highlight w:val="none"/>
              </w:rPr>
            </w:pPr>
            <w:r>
              <w:rPr>
                <w:color w:val="auto"/>
                <w:highlight w:val="none"/>
              </w:rPr>
              <w:t>工程性质</w:t>
            </w:r>
          </w:p>
        </w:tc>
        <w:tc>
          <w:tcPr>
            <w:tcW w:w="1283" w:type="pct"/>
            <w:gridSpan w:val="5"/>
            <w:noWrap/>
            <w:vAlign w:val="center"/>
          </w:tcPr>
          <w:p>
            <w:pPr>
              <w:pStyle w:val="84"/>
              <w:rPr>
                <w:color w:val="auto"/>
                <w:highlight w:val="none"/>
              </w:rPr>
            </w:pPr>
            <w:r>
              <w:rPr>
                <w:color w:val="auto"/>
                <w:highlight w:val="none"/>
              </w:rPr>
              <w:t>新建项目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noWrap/>
            <w:vAlign w:val="center"/>
          </w:tcPr>
          <w:p>
            <w:pPr>
              <w:pStyle w:val="84"/>
              <w:rPr>
                <w:color w:val="auto"/>
                <w:highlight w:val="none"/>
              </w:rPr>
            </w:pPr>
            <w:r>
              <w:rPr>
                <w:color w:val="auto"/>
                <w:highlight w:val="none"/>
              </w:rPr>
              <w:t>4</w:t>
            </w:r>
          </w:p>
        </w:tc>
        <w:tc>
          <w:tcPr>
            <w:tcW w:w="625" w:type="pct"/>
            <w:noWrap/>
            <w:vAlign w:val="center"/>
          </w:tcPr>
          <w:p>
            <w:pPr>
              <w:pStyle w:val="84"/>
              <w:rPr>
                <w:color w:val="auto"/>
                <w:highlight w:val="none"/>
              </w:rPr>
            </w:pPr>
            <w:r>
              <w:rPr>
                <w:color w:val="auto"/>
                <w:highlight w:val="none"/>
              </w:rPr>
              <w:t>建设单位</w:t>
            </w:r>
          </w:p>
        </w:tc>
        <w:tc>
          <w:tcPr>
            <w:tcW w:w="3783" w:type="pct"/>
            <w:gridSpan w:val="17"/>
            <w:noWrap/>
            <w:vAlign w:val="center"/>
          </w:tcPr>
          <w:p>
            <w:pPr>
              <w:pStyle w:val="84"/>
              <w:rPr>
                <w:rFonts w:hint="eastAsia" w:eastAsia="仿宋_GB2312"/>
                <w:color w:val="auto"/>
                <w:highlight w:val="none"/>
                <w:lang w:eastAsia="zh-CN"/>
              </w:rPr>
            </w:pPr>
            <w:r>
              <w:rPr>
                <w:rFonts w:hint="eastAsia"/>
                <w:color w:val="auto"/>
                <w:szCs w:val="36"/>
                <w:highlight w:val="none"/>
                <w:lang w:eastAsia="zh-CN"/>
              </w:rPr>
              <w:t>伊宁县城市保障性住房投资建设管理有限公司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noWrap/>
            <w:vAlign w:val="center"/>
          </w:tcPr>
          <w:p>
            <w:pPr>
              <w:pStyle w:val="84"/>
              <w:rPr>
                <w:color w:val="auto"/>
                <w:highlight w:val="none"/>
              </w:rPr>
            </w:pPr>
            <w:r>
              <w:rPr>
                <w:color w:val="auto"/>
                <w:highlight w:val="none"/>
              </w:rPr>
              <w:t>5</w:t>
            </w:r>
          </w:p>
        </w:tc>
        <w:tc>
          <w:tcPr>
            <w:tcW w:w="625" w:type="pct"/>
            <w:noWrap/>
            <w:vAlign w:val="center"/>
          </w:tcPr>
          <w:p>
            <w:pPr>
              <w:pStyle w:val="84"/>
              <w:rPr>
                <w:color w:val="auto"/>
                <w:highlight w:val="none"/>
              </w:rPr>
            </w:pPr>
            <w:r>
              <w:rPr>
                <w:color w:val="auto"/>
                <w:highlight w:val="none"/>
              </w:rPr>
              <w:t>投资单位</w:t>
            </w:r>
          </w:p>
        </w:tc>
        <w:tc>
          <w:tcPr>
            <w:tcW w:w="3783" w:type="pct"/>
            <w:gridSpan w:val="17"/>
            <w:noWrap/>
            <w:vAlign w:val="center"/>
          </w:tcPr>
          <w:p>
            <w:pPr>
              <w:pStyle w:val="84"/>
              <w:rPr>
                <w:rFonts w:hint="eastAsia" w:eastAsia="仿宋_GB2312"/>
                <w:color w:val="auto"/>
                <w:highlight w:val="none"/>
                <w:lang w:eastAsia="zh-CN"/>
              </w:rPr>
            </w:pPr>
            <w:r>
              <w:rPr>
                <w:rFonts w:hint="eastAsia"/>
                <w:color w:val="auto"/>
                <w:szCs w:val="36"/>
                <w:highlight w:val="none"/>
                <w:lang w:eastAsia="zh-CN"/>
              </w:rPr>
              <w:t>伊宁县城市保障性住房投资建设管理有限公司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vMerge w:val="restart"/>
            <w:noWrap/>
            <w:vAlign w:val="center"/>
          </w:tcPr>
          <w:p>
            <w:pPr>
              <w:pStyle w:val="84"/>
              <w:rPr>
                <w:color w:val="auto"/>
                <w:highlight w:val="none"/>
              </w:rPr>
            </w:pPr>
            <w:r>
              <w:rPr>
                <w:color w:val="auto"/>
                <w:highlight w:val="none"/>
              </w:rPr>
              <w:t>6</w:t>
            </w:r>
          </w:p>
        </w:tc>
        <w:tc>
          <w:tcPr>
            <w:tcW w:w="625" w:type="pct"/>
            <w:vMerge w:val="restart"/>
            <w:noWrap/>
            <w:vAlign w:val="center"/>
          </w:tcPr>
          <w:p>
            <w:pPr>
              <w:pStyle w:val="84"/>
              <w:rPr>
                <w:color w:val="auto"/>
                <w:highlight w:val="none"/>
              </w:rPr>
            </w:pPr>
            <w:r>
              <w:rPr>
                <w:color w:val="auto"/>
                <w:highlight w:val="none"/>
              </w:rPr>
              <w:t>建设规模</w:t>
            </w:r>
          </w:p>
        </w:tc>
        <w:tc>
          <w:tcPr>
            <w:tcW w:w="492" w:type="pct"/>
            <w:gridSpan w:val="3"/>
            <w:noWrap/>
            <w:vAlign w:val="center"/>
          </w:tcPr>
          <w:p>
            <w:pPr>
              <w:pStyle w:val="84"/>
              <w:rPr>
                <w:color w:val="auto"/>
                <w:highlight w:val="none"/>
              </w:rPr>
            </w:pPr>
            <w:r>
              <w:rPr>
                <w:color w:val="auto"/>
                <w:highlight w:val="none"/>
              </w:rPr>
              <w:t>用地性质</w:t>
            </w:r>
          </w:p>
        </w:tc>
        <w:tc>
          <w:tcPr>
            <w:tcW w:w="1428" w:type="pct"/>
            <w:gridSpan w:val="5"/>
            <w:noWrap/>
            <w:vAlign w:val="center"/>
          </w:tcPr>
          <w:p>
            <w:pPr>
              <w:pStyle w:val="84"/>
              <w:rPr>
                <w:color w:val="auto"/>
                <w:highlight w:val="none"/>
              </w:rPr>
            </w:pPr>
            <w:r>
              <w:rPr>
                <w:color w:val="auto"/>
                <w:highlight w:val="none"/>
              </w:rPr>
              <w:t>建设用地</w:t>
            </w:r>
          </w:p>
        </w:tc>
        <w:tc>
          <w:tcPr>
            <w:tcW w:w="916" w:type="pct"/>
            <w:gridSpan w:val="5"/>
            <w:noWrap/>
            <w:vAlign w:val="center"/>
          </w:tcPr>
          <w:p>
            <w:pPr>
              <w:pStyle w:val="84"/>
              <w:rPr>
                <w:color w:val="auto"/>
                <w:highlight w:val="none"/>
              </w:rPr>
            </w:pPr>
            <w:r>
              <w:rPr>
                <w:rFonts w:hint="eastAsia"/>
                <w:color w:val="auto"/>
                <w:highlight w:val="none"/>
                <w:lang w:eastAsia="zh-CN"/>
              </w:rPr>
              <w:t>总建筑面积</w:t>
            </w:r>
            <w:r>
              <w:rPr>
                <w:color w:val="auto"/>
                <w:highlight w:val="none"/>
              </w:rPr>
              <w:t>（m²）</w:t>
            </w:r>
          </w:p>
        </w:tc>
        <w:tc>
          <w:tcPr>
            <w:tcW w:w="946" w:type="pct"/>
            <w:gridSpan w:val="4"/>
            <w:noWrap/>
            <w:vAlign w:val="center"/>
          </w:tcPr>
          <w:p>
            <w:pPr>
              <w:pStyle w:val="84"/>
              <w:rPr>
                <w:rFonts w:hint="default" w:eastAsia="仿宋_GB2312"/>
                <w:color w:val="auto"/>
                <w:highlight w:val="none"/>
                <w:lang w:val="en-US" w:eastAsia="zh-CN"/>
              </w:rPr>
            </w:pPr>
            <w:r>
              <w:rPr>
                <w:rFonts w:hint="default" w:ascii="Times New Roman" w:hAnsi="Times New Roman" w:eastAsia="仿宋_GB2312" w:cs="Times New Roman"/>
                <w:color w:val="auto"/>
                <w:highlight w:val="none"/>
                <w:lang w:val="en-US" w:eastAsia="zh-CN"/>
              </w:rPr>
              <w:t>38913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vMerge w:val="continue"/>
            <w:noWrap/>
            <w:vAlign w:val="center"/>
          </w:tcPr>
          <w:p>
            <w:pPr>
              <w:pStyle w:val="84"/>
              <w:rPr>
                <w:color w:val="auto"/>
                <w:highlight w:val="none"/>
              </w:rPr>
            </w:pPr>
          </w:p>
        </w:tc>
        <w:tc>
          <w:tcPr>
            <w:tcW w:w="625" w:type="pct"/>
            <w:vMerge w:val="continue"/>
            <w:noWrap/>
            <w:vAlign w:val="center"/>
          </w:tcPr>
          <w:p>
            <w:pPr>
              <w:pStyle w:val="84"/>
              <w:rPr>
                <w:color w:val="auto"/>
                <w:highlight w:val="none"/>
              </w:rPr>
            </w:pPr>
          </w:p>
        </w:tc>
        <w:tc>
          <w:tcPr>
            <w:tcW w:w="492" w:type="pct"/>
            <w:gridSpan w:val="3"/>
            <w:vMerge w:val="restart"/>
            <w:noWrap/>
            <w:vAlign w:val="center"/>
          </w:tcPr>
          <w:p>
            <w:pPr>
              <w:pStyle w:val="84"/>
              <w:rPr>
                <w:color w:val="auto"/>
                <w:highlight w:val="none"/>
              </w:rPr>
            </w:pPr>
            <w:r>
              <w:rPr>
                <w:color w:val="auto"/>
                <w:highlight w:val="none"/>
              </w:rPr>
              <w:t>建筑层数</w:t>
            </w:r>
          </w:p>
        </w:tc>
        <w:tc>
          <w:tcPr>
            <w:tcW w:w="1428" w:type="pct"/>
            <w:gridSpan w:val="5"/>
            <w:noWrap/>
            <w:vAlign w:val="center"/>
          </w:tcPr>
          <w:p>
            <w:pPr>
              <w:pStyle w:val="84"/>
              <w:rPr>
                <w:rFonts w:hint="default"/>
                <w:color w:val="auto"/>
                <w:highlight w:val="none"/>
                <w:lang w:val="en-US" w:eastAsia="zh-CN"/>
              </w:rPr>
            </w:pPr>
            <w:r>
              <w:rPr>
                <w:rFonts w:hint="eastAsia"/>
                <w:color w:val="auto"/>
                <w:highlight w:val="none"/>
                <w:lang w:eastAsia="zh-CN"/>
              </w:rPr>
              <w:t>住宅</w:t>
            </w:r>
            <w:r>
              <w:rPr>
                <w:rFonts w:hint="eastAsia"/>
                <w:color w:val="auto"/>
                <w:highlight w:val="none"/>
                <w:lang w:val="en-US" w:eastAsia="zh-CN"/>
              </w:rPr>
              <w:t>楼7+1F/6+1F/5+1F</w:t>
            </w:r>
          </w:p>
        </w:tc>
        <w:tc>
          <w:tcPr>
            <w:tcW w:w="579" w:type="pct"/>
            <w:gridSpan w:val="4"/>
            <w:vMerge w:val="restart"/>
            <w:noWrap/>
            <w:vAlign w:val="center"/>
          </w:tcPr>
          <w:p>
            <w:pPr>
              <w:pStyle w:val="84"/>
              <w:rPr>
                <w:color w:val="auto"/>
                <w:highlight w:val="none"/>
              </w:rPr>
            </w:pPr>
            <w:r>
              <w:rPr>
                <w:color w:val="auto"/>
                <w:highlight w:val="none"/>
              </w:rPr>
              <w:t>建筑高度（m）</w:t>
            </w:r>
          </w:p>
        </w:tc>
        <w:tc>
          <w:tcPr>
            <w:tcW w:w="1283" w:type="pct"/>
            <w:gridSpan w:val="5"/>
            <w:noWrap/>
            <w:vAlign w:val="center"/>
          </w:tcPr>
          <w:p>
            <w:pPr>
              <w:pStyle w:val="84"/>
              <w:rPr>
                <w:rFonts w:hint="default" w:eastAsia="仿宋_GB2312"/>
                <w:color w:val="auto"/>
                <w:highlight w:val="none"/>
                <w:lang w:val="en-US" w:eastAsia="zh-CN"/>
              </w:rPr>
            </w:pPr>
            <w:r>
              <w:rPr>
                <w:rFonts w:hint="eastAsia"/>
                <w:color w:val="auto"/>
                <w:highlight w:val="none"/>
                <w:lang w:val="en-US" w:eastAsia="zh-CN"/>
              </w:rPr>
              <w:t>17.4/23.65/21/20.3/14.5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vMerge w:val="continue"/>
            <w:noWrap/>
            <w:vAlign w:val="center"/>
          </w:tcPr>
          <w:p>
            <w:pPr>
              <w:pStyle w:val="84"/>
              <w:rPr>
                <w:color w:val="auto"/>
                <w:highlight w:val="none"/>
              </w:rPr>
            </w:pPr>
          </w:p>
        </w:tc>
        <w:tc>
          <w:tcPr>
            <w:tcW w:w="625" w:type="pct"/>
            <w:vMerge w:val="continue"/>
            <w:noWrap/>
            <w:vAlign w:val="center"/>
          </w:tcPr>
          <w:p>
            <w:pPr>
              <w:pStyle w:val="84"/>
              <w:rPr>
                <w:color w:val="auto"/>
                <w:highlight w:val="none"/>
              </w:rPr>
            </w:pPr>
          </w:p>
        </w:tc>
        <w:tc>
          <w:tcPr>
            <w:tcW w:w="492" w:type="pct"/>
            <w:gridSpan w:val="3"/>
            <w:vMerge w:val="continue"/>
            <w:noWrap/>
            <w:vAlign w:val="center"/>
          </w:tcPr>
          <w:p>
            <w:pPr>
              <w:pStyle w:val="84"/>
              <w:rPr>
                <w:color w:val="auto"/>
                <w:highlight w:val="none"/>
              </w:rPr>
            </w:pPr>
          </w:p>
        </w:tc>
        <w:tc>
          <w:tcPr>
            <w:tcW w:w="1428" w:type="pct"/>
            <w:gridSpan w:val="5"/>
            <w:noWrap/>
            <w:vAlign w:val="center"/>
          </w:tcPr>
          <w:p>
            <w:pPr>
              <w:pStyle w:val="84"/>
              <w:rPr>
                <w:rFonts w:hint="eastAsia"/>
                <w:color w:val="auto"/>
                <w:highlight w:val="none"/>
                <w:lang w:val="en-US" w:eastAsia="zh-CN"/>
              </w:rPr>
            </w:pPr>
            <w:r>
              <w:rPr>
                <w:rFonts w:hint="eastAsia"/>
                <w:color w:val="auto"/>
                <w:highlight w:val="none"/>
                <w:lang w:eastAsia="zh-CN"/>
              </w:rPr>
              <w:t>商业楼</w:t>
            </w:r>
            <w:r>
              <w:rPr>
                <w:rFonts w:hint="eastAsia"/>
                <w:color w:val="auto"/>
                <w:highlight w:val="none"/>
                <w:lang w:val="en-US" w:eastAsia="zh-CN"/>
              </w:rPr>
              <w:t>2F+1/2F/3F</w:t>
            </w:r>
          </w:p>
        </w:tc>
        <w:tc>
          <w:tcPr>
            <w:tcW w:w="579" w:type="pct"/>
            <w:gridSpan w:val="4"/>
            <w:vMerge w:val="continue"/>
            <w:noWrap/>
            <w:vAlign w:val="center"/>
          </w:tcPr>
          <w:p>
            <w:pPr>
              <w:pStyle w:val="84"/>
              <w:rPr>
                <w:rFonts w:hint="eastAsia"/>
                <w:color w:val="auto"/>
                <w:highlight w:val="none"/>
                <w:lang w:val="en-US" w:eastAsia="zh-CN"/>
              </w:rPr>
            </w:pPr>
          </w:p>
        </w:tc>
        <w:tc>
          <w:tcPr>
            <w:tcW w:w="1283" w:type="pct"/>
            <w:gridSpan w:val="5"/>
            <w:noWrap/>
            <w:vAlign w:val="center"/>
          </w:tcPr>
          <w:p>
            <w:pPr>
              <w:pStyle w:val="84"/>
              <w:rPr>
                <w:rFonts w:hint="default"/>
                <w:color w:val="auto"/>
                <w:highlight w:val="none"/>
                <w:lang w:val="en-US" w:eastAsia="zh-CN"/>
              </w:rPr>
            </w:pPr>
            <w:r>
              <w:rPr>
                <w:rFonts w:hint="eastAsia"/>
                <w:color w:val="auto"/>
                <w:highlight w:val="none"/>
                <w:lang w:val="en-US" w:eastAsia="zh-CN"/>
              </w:rPr>
              <w:t>6.19/9.28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vMerge w:val="continue"/>
            <w:noWrap/>
            <w:vAlign w:val="center"/>
          </w:tcPr>
          <w:p>
            <w:pPr>
              <w:pStyle w:val="84"/>
              <w:rPr>
                <w:rFonts w:hint="eastAsia"/>
                <w:color w:val="auto"/>
                <w:highlight w:val="none"/>
                <w:lang w:val="en-US" w:eastAsia="zh-CN"/>
              </w:rPr>
            </w:pPr>
          </w:p>
        </w:tc>
        <w:tc>
          <w:tcPr>
            <w:tcW w:w="625" w:type="pct"/>
            <w:vMerge w:val="continue"/>
            <w:noWrap/>
            <w:vAlign w:val="center"/>
          </w:tcPr>
          <w:p>
            <w:pPr>
              <w:pStyle w:val="84"/>
              <w:rPr>
                <w:rFonts w:hint="eastAsia"/>
                <w:color w:val="auto"/>
                <w:highlight w:val="none"/>
                <w:lang w:val="en-US" w:eastAsia="zh-CN"/>
              </w:rPr>
            </w:pPr>
          </w:p>
        </w:tc>
        <w:tc>
          <w:tcPr>
            <w:tcW w:w="492" w:type="pct"/>
            <w:gridSpan w:val="3"/>
            <w:vMerge w:val="continue"/>
            <w:noWrap/>
            <w:vAlign w:val="center"/>
          </w:tcPr>
          <w:p>
            <w:pPr>
              <w:pStyle w:val="84"/>
              <w:rPr>
                <w:rFonts w:hint="eastAsia"/>
                <w:color w:val="auto"/>
                <w:highlight w:val="none"/>
                <w:lang w:val="en-US" w:eastAsia="zh-CN"/>
              </w:rPr>
            </w:pPr>
          </w:p>
        </w:tc>
        <w:tc>
          <w:tcPr>
            <w:tcW w:w="1428" w:type="pct"/>
            <w:gridSpan w:val="5"/>
            <w:noWrap/>
            <w:vAlign w:val="center"/>
          </w:tcPr>
          <w:p>
            <w:pPr>
              <w:pStyle w:val="84"/>
              <w:rPr>
                <w:rFonts w:hint="eastAsia"/>
                <w:color w:val="auto"/>
                <w:highlight w:val="none"/>
                <w:lang w:val="en-US" w:eastAsia="zh-CN"/>
              </w:rPr>
            </w:pPr>
            <w:r>
              <w:rPr>
                <w:rFonts w:hint="eastAsia"/>
                <w:color w:val="auto"/>
                <w:highlight w:val="none"/>
                <w:lang w:val="en-US" w:eastAsia="zh-CN"/>
              </w:rPr>
              <w:t>警卫室1F</w:t>
            </w:r>
          </w:p>
        </w:tc>
        <w:tc>
          <w:tcPr>
            <w:tcW w:w="579" w:type="pct"/>
            <w:gridSpan w:val="4"/>
            <w:vMerge w:val="continue"/>
            <w:noWrap/>
            <w:vAlign w:val="center"/>
          </w:tcPr>
          <w:p>
            <w:pPr>
              <w:pStyle w:val="84"/>
              <w:rPr>
                <w:rFonts w:hint="eastAsia"/>
                <w:color w:val="auto"/>
                <w:highlight w:val="none"/>
                <w:lang w:val="en-US" w:eastAsia="zh-CN"/>
              </w:rPr>
            </w:pPr>
          </w:p>
        </w:tc>
        <w:tc>
          <w:tcPr>
            <w:tcW w:w="1283" w:type="pct"/>
            <w:gridSpan w:val="5"/>
            <w:noWrap/>
            <w:vAlign w:val="center"/>
          </w:tcPr>
          <w:p>
            <w:pPr>
              <w:pStyle w:val="84"/>
              <w:rPr>
                <w:rFonts w:hint="default"/>
                <w:color w:val="auto"/>
                <w:highlight w:val="none"/>
                <w:lang w:val="en-US" w:eastAsia="zh-CN"/>
              </w:rPr>
            </w:pPr>
            <w:r>
              <w:rPr>
                <w:rFonts w:hint="eastAsia"/>
                <w:color w:val="auto"/>
                <w:highlight w:val="none"/>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vMerge w:val="continue"/>
            <w:noWrap/>
            <w:vAlign w:val="center"/>
          </w:tcPr>
          <w:p>
            <w:pPr>
              <w:pStyle w:val="84"/>
              <w:rPr>
                <w:rFonts w:hint="eastAsia"/>
                <w:color w:val="auto"/>
                <w:highlight w:val="none"/>
                <w:lang w:val="en-US" w:eastAsia="zh-CN"/>
              </w:rPr>
            </w:pPr>
          </w:p>
        </w:tc>
        <w:tc>
          <w:tcPr>
            <w:tcW w:w="625" w:type="pct"/>
            <w:vMerge w:val="continue"/>
            <w:noWrap/>
            <w:vAlign w:val="center"/>
          </w:tcPr>
          <w:p>
            <w:pPr>
              <w:pStyle w:val="84"/>
              <w:rPr>
                <w:rFonts w:hint="eastAsia"/>
                <w:color w:val="auto"/>
                <w:highlight w:val="none"/>
                <w:lang w:val="en-US" w:eastAsia="zh-CN"/>
              </w:rPr>
            </w:pPr>
          </w:p>
        </w:tc>
        <w:tc>
          <w:tcPr>
            <w:tcW w:w="492" w:type="pct"/>
            <w:gridSpan w:val="3"/>
            <w:vMerge w:val="continue"/>
            <w:noWrap/>
            <w:vAlign w:val="center"/>
          </w:tcPr>
          <w:p>
            <w:pPr>
              <w:pStyle w:val="84"/>
              <w:rPr>
                <w:rFonts w:hint="eastAsia"/>
                <w:color w:val="auto"/>
                <w:highlight w:val="none"/>
                <w:lang w:val="en-US" w:eastAsia="zh-CN"/>
              </w:rPr>
            </w:pPr>
          </w:p>
        </w:tc>
        <w:tc>
          <w:tcPr>
            <w:tcW w:w="1428" w:type="pct"/>
            <w:gridSpan w:val="5"/>
            <w:noWrap/>
            <w:vAlign w:val="center"/>
          </w:tcPr>
          <w:p>
            <w:pPr>
              <w:pStyle w:val="84"/>
              <w:rPr>
                <w:rFonts w:hint="eastAsia"/>
                <w:color w:val="auto"/>
                <w:highlight w:val="none"/>
                <w:lang w:val="en-US" w:eastAsia="zh-CN"/>
              </w:rPr>
            </w:pPr>
            <w:r>
              <w:rPr>
                <w:rFonts w:hint="eastAsia"/>
                <w:color w:val="auto"/>
                <w:highlight w:val="none"/>
                <w:lang w:val="en-US" w:eastAsia="zh-CN"/>
              </w:rPr>
              <w:t>垃圾收集点1F</w:t>
            </w:r>
          </w:p>
        </w:tc>
        <w:tc>
          <w:tcPr>
            <w:tcW w:w="579" w:type="pct"/>
            <w:gridSpan w:val="4"/>
            <w:vMerge w:val="continue"/>
            <w:noWrap/>
            <w:vAlign w:val="center"/>
          </w:tcPr>
          <w:p>
            <w:pPr>
              <w:pStyle w:val="84"/>
              <w:rPr>
                <w:rFonts w:hint="eastAsia"/>
                <w:color w:val="auto"/>
                <w:highlight w:val="none"/>
                <w:lang w:val="en-US" w:eastAsia="zh-CN"/>
              </w:rPr>
            </w:pPr>
          </w:p>
        </w:tc>
        <w:tc>
          <w:tcPr>
            <w:tcW w:w="1283" w:type="pct"/>
            <w:gridSpan w:val="5"/>
            <w:noWrap/>
            <w:vAlign w:val="center"/>
          </w:tcPr>
          <w:p>
            <w:pPr>
              <w:pStyle w:val="84"/>
              <w:rPr>
                <w:rFonts w:hint="default"/>
                <w:color w:val="auto"/>
                <w:highlight w:val="none"/>
                <w:lang w:val="en-US" w:eastAsia="zh-CN"/>
              </w:rPr>
            </w:pPr>
            <w:r>
              <w:rPr>
                <w:rFonts w:hint="eastAsia"/>
                <w:color w:val="auto"/>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vMerge w:val="continue"/>
            <w:noWrap/>
            <w:vAlign w:val="center"/>
          </w:tcPr>
          <w:p>
            <w:pPr>
              <w:pStyle w:val="84"/>
              <w:rPr>
                <w:rFonts w:hint="eastAsia"/>
                <w:color w:val="auto"/>
                <w:highlight w:val="none"/>
                <w:lang w:val="en-US" w:eastAsia="zh-CN"/>
              </w:rPr>
            </w:pPr>
          </w:p>
        </w:tc>
        <w:tc>
          <w:tcPr>
            <w:tcW w:w="625" w:type="pct"/>
            <w:vMerge w:val="continue"/>
            <w:noWrap/>
            <w:vAlign w:val="center"/>
          </w:tcPr>
          <w:p>
            <w:pPr>
              <w:pStyle w:val="84"/>
              <w:rPr>
                <w:rFonts w:hint="eastAsia"/>
                <w:color w:val="auto"/>
                <w:highlight w:val="none"/>
                <w:lang w:val="en-US" w:eastAsia="zh-CN"/>
              </w:rPr>
            </w:pPr>
          </w:p>
        </w:tc>
        <w:tc>
          <w:tcPr>
            <w:tcW w:w="492" w:type="pct"/>
            <w:gridSpan w:val="3"/>
            <w:vMerge w:val="continue"/>
            <w:noWrap/>
            <w:vAlign w:val="center"/>
          </w:tcPr>
          <w:p>
            <w:pPr>
              <w:pStyle w:val="84"/>
              <w:rPr>
                <w:rFonts w:hint="eastAsia"/>
                <w:color w:val="auto"/>
                <w:highlight w:val="none"/>
                <w:lang w:val="en-US" w:eastAsia="zh-CN"/>
              </w:rPr>
            </w:pPr>
          </w:p>
        </w:tc>
        <w:tc>
          <w:tcPr>
            <w:tcW w:w="1428" w:type="pct"/>
            <w:gridSpan w:val="5"/>
            <w:noWrap/>
            <w:vAlign w:val="center"/>
          </w:tcPr>
          <w:p>
            <w:pPr>
              <w:pStyle w:val="84"/>
              <w:rPr>
                <w:rFonts w:hint="eastAsia"/>
                <w:color w:val="auto"/>
                <w:highlight w:val="none"/>
                <w:lang w:val="en-US" w:eastAsia="zh-CN"/>
              </w:rPr>
            </w:pPr>
            <w:r>
              <w:rPr>
                <w:rFonts w:hint="eastAsia"/>
                <w:color w:val="auto"/>
                <w:highlight w:val="none"/>
                <w:lang w:val="en-US" w:eastAsia="zh-CN"/>
              </w:rPr>
              <w:t>天然气调压站1F</w:t>
            </w:r>
          </w:p>
        </w:tc>
        <w:tc>
          <w:tcPr>
            <w:tcW w:w="579" w:type="pct"/>
            <w:gridSpan w:val="4"/>
            <w:vMerge w:val="continue"/>
            <w:noWrap/>
            <w:vAlign w:val="center"/>
          </w:tcPr>
          <w:p>
            <w:pPr>
              <w:pStyle w:val="84"/>
              <w:rPr>
                <w:rFonts w:hint="eastAsia"/>
                <w:color w:val="auto"/>
                <w:highlight w:val="none"/>
                <w:lang w:val="en-US" w:eastAsia="zh-CN"/>
              </w:rPr>
            </w:pPr>
          </w:p>
        </w:tc>
        <w:tc>
          <w:tcPr>
            <w:tcW w:w="1283" w:type="pct"/>
            <w:gridSpan w:val="5"/>
            <w:noWrap/>
            <w:vAlign w:val="center"/>
          </w:tcPr>
          <w:p>
            <w:pPr>
              <w:pStyle w:val="84"/>
              <w:rPr>
                <w:rFonts w:hint="default"/>
                <w:color w:val="auto"/>
                <w:highlight w:val="none"/>
                <w:lang w:val="en-US" w:eastAsia="zh-CN"/>
              </w:rPr>
            </w:pPr>
            <w:r>
              <w:rPr>
                <w:rFonts w:hint="eastAsia"/>
                <w:color w:val="auto"/>
                <w:highlight w:val="none"/>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noWrap/>
            <w:vAlign w:val="center"/>
          </w:tcPr>
          <w:p>
            <w:pPr>
              <w:pStyle w:val="84"/>
              <w:rPr>
                <w:color w:val="auto"/>
                <w:highlight w:val="none"/>
              </w:rPr>
            </w:pPr>
            <w:r>
              <w:rPr>
                <w:color w:val="auto"/>
                <w:highlight w:val="none"/>
              </w:rPr>
              <w:t>7</w:t>
            </w:r>
          </w:p>
        </w:tc>
        <w:tc>
          <w:tcPr>
            <w:tcW w:w="625" w:type="pct"/>
            <w:noWrap/>
            <w:vAlign w:val="center"/>
          </w:tcPr>
          <w:p>
            <w:pPr>
              <w:pStyle w:val="84"/>
              <w:rPr>
                <w:color w:val="auto"/>
                <w:highlight w:val="none"/>
              </w:rPr>
            </w:pPr>
            <w:r>
              <w:rPr>
                <w:color w:val="auto"/>
                <w:highlight w:val="none"/>
              </w:rPr>
              <w:t>总投资</w:t>
            </w:r>
          </w:p>
        </w:tc>
        <w:tc>
          <w:tcPr>
            <w:tcW w:w="1920" w:type="pct"/>
            <w:gridSpan w:val="8"/>
            <w:noWrap/>
            <w:vAlign w:val="center"/>
          </w:tcPr>
          <w:p>
            <w:pPr>
              <w:pStyle w:val="84"/>
              <w:rPr>
                <w:color w:val="auto"/>
                <w:highlight w:val="none"/>
              </w:rPr>
            </w:pPr>
            <w:r>
              <w:rPr>
                <w:rFonts w:hint="eastAsia"/>
                <w:color w:val="auto"/>
                <w:highlight w:val="none"/>
                <w:lang w:eastAsia="zh-CN"/>
              </w:rPr>
              <w:t>11000</w:t>
            </w:r>
            <w:r>
              <w:rPr>
                <w:color w:val="auto"/>
                <w:highlight w:val="none"/>
              </w:rPr>
              <w:t>万元</w:t>
            </w:r>
          </w:p>
        </w:tc>
        <w:tc>
          <w:tcPr>
            <w:tcW w:w="251" w:type="pct"/>
            <w:gridSpan w:val="2"/>
            <w:noWrap/>
            <w:vAlign w:val="center"/>
          </w:tcPr>
          <w:p>
            <w:pPr>
              <w:pStyle w:val="84"/>
              <w:rPr>
                <w:color w:val="auto"/>
                <w:highlight w:val="none"/>
              </w:rPr>
            </w:pPr>
            <w:r>
              <w:rPr>
                <w:color w:val="auto"/>
                <w:highlight w:val="none"/>
              </w:rPr>
              <w:t>8</w:t>
            </w:r>
          </w:p>
        </w:tc>
        <w:tc>
          <w:tcPr>
            <w:tcW w:w="665" w:type="pct"/>
            <w:gridSpan w:val="3"/>
            <w:noWrap/>
            <w:vAlign w:val="center"/>
          </w:tcPr>
          <w:p>
            <w:pPr>
              <w:pStyle w:val="84"/>
              <w:rPr>
                <w:color w:val="auto"/>
                <w:highlight w:val="none"/>
              </w:rPr>
            </w:pPr>
            <w:r>
              <w:rPr>
                <w:color w:val="auto"/>
                <w:highlight w:val="none"/>
              </w:rPr>
              <w:t>土建投资</w:t>
            </w:r>
          </w:p>
        </w:tc>
        <w:tc>
          <w:tcPr>
            <w:tcW w:w="946" w:type="pct"/>
            <w:gridSpan w:val="4"/>
            <w:noWrap/>
            <w:vAlign w:val="center"/>
          </w:tcPr>
          <w:p>
            <w:pPr>
              <w:pStyle w:val="84"/>
              <w:rPr>
                <w:color w:val="auto"/>
                <w:highlight w:val="none"/>
              </w:rPr>
            </w:pPr>
            <w:r>
              <w:rPr>
                <w:rFonts w:hint="eastAsia"/>
                <w:color w:val="auto"/>
                <w:highlight w:val="none"/>
                <w:lang w:eastAsia="zh-CN"/>
              </w:rPr>
              <w:t>6600</w:t>
            </w:r>
            <w:r>
              <w:rPr>
                <w:color w:val="auto"/>
                <w:highlight w:val="none"/>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noWrap/>
            <w:vAlign w:val="center"/>
          </w:tcPr>
          <w:p>
            <w:pPr>
              <w:pStyle w:val="84"/>
              <w:rPr>
                <w:rFonts w:hint="eastAsia" w:eastAsia="仿宋_GB2312"/>
                <w:color w:val="auto"/>
                <w:highlight w:val="none"/>
                <w:lang w:eastAsia="zh-CN"/>
              </w:rPr>
            </w:pPr>
            <w:r>
              <w:rPr>
                <w:rFonts w:hint="eastAsia"/>
                <w:color w:val="auto"/>
                <w:highlight w:val="none"/>
                <w:lang w:val="en-US" w:eastAsia="zh-CN"/>
              </w:rPr>
              <w:t>9</w:t>
            </w:r>
          </w:p>
        </w:tc>
        <w:tc>
          <w:tcPr>
            <w:tcW w:w="625" w:type="pct"/>
            <w:noWrap/>
            <w:vAlign w:val="center"/>
          </w:tcPr>
          <w:p>
            <w:pPr>
              <w:pStyle w:val="84"/>
              <w:rPr>
                <w:color w:val="auto"/>
                <w:highlight w:val="none"/>
              </w:rPr>
            </w:pPr>
            <w:r>
              <w:rPr>
                <w:color w:val="auto"/>
                <w:highlight w:val="none"/>
              </w:rPr>
              <w:t>建设期</w:t>
            </w:r>
          </w:p>
        </w:tc>
        <w:tc>
          <w:tcPr>
            <w:tcW w:w="3783" w:type="pct"/>
            <w:gridSpan w:val="17"/>
            <w:noWrap/>
            <w:vAlign w:val="center"/>
          </w:tcPr>
          <w:p>
            <w:pPr>
              <w:pStyle w:val="84"/>
              <w:rPr>
                <w:color w:val="auto"/>
                <w:highlight w:val="none"/>
              </w:rPr>
            </w:pPr>
            <w:r>
              <w:rPr>
                <w:color w:val="auto"/>
                <w:highlight w:val="none"/>
              </w:rPr>
              <w:t>2020年</w:t>
            </w:r>
            <w:r>
              <w:rPr>
                <w:rFonts w:hint="eastAsia"/>
                <w:color w:val="auto"/>
                <w:highlight w:val="none"/>
                <w:lang w:val="en-US" w:eastAsia="zh-CN"/>
              </w:rPr>
              <w:t>4</w:t>
            </w:r>
            <w:r>
              <w:rPr>
                <w:color w:val="auto"/>
                <w:highlight w:val="none"/>
              </w:rPr>
              <w:t>月至202</w:t>
            </w:r>
            <w:r>
              <w:rPr>
                <w:rFonts w:hint="eastAsia"/>
                <w:color w:val="auto"/>
                <w:highlight w:val="none"/>
              </w:rPr>
              <w:t>1</w:t>
            </w:r>
            <w:r>
              <w:rPr>
                <w:color w:val="auto"/>
                <w:highlight w:val="none"/>
              </w:rPr>
              <w:t>年</w:t>
            </w:r>
            <w:r>
              <w:rPr>
                <w:rFonts w:hint="eastAsia"/>
                <w:color w:val="auto"/>
                <w:highlight w:val="none"/>
                <w:lang w:val="en-US" w:eastAsia="zh-CN"/>
              </w:rPr>
              <w:t>10</w:t>
            </w:r>
            <w:r>
              <w:rPr>
                <w:color w:val="auto"/>
                <w:highlight w:val="none"/>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20"/>
            <w:noWrap/>
            <w:vAlign w:val="center"/>
          </w:tcPr>
          <w:p>
            <w:pPr>
              <w:pStyle w:val="84"/>
              <w:rPr>
                <w:color w:val="auto"/>
                <w:highlight w:val="none"/>
              </w:rPr>
            </w:pPr>
            <w:r>
              <w:rPr>
                <w:color w:val="auto"/>
                <w:highlight w:val="none"/>
              </w:rPr>
              <w:t>二、项目组成及主要技术指标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691" w:type="pct"/>
            <w:gridSpan w:val="5"/>
            <w:vMerge w:val="restart"/>
            <w:noWrap/>
            <w:vAlign w:val="center"/>
          </w:tcPr>
          <w:p>
            <w:pPr>
              <w:pStyle w:val="84"/>
              <w:rPr>
                <w:color w:val="auto"/>
                <w:highlight w:val="none"/>
              </w:rPr>
            </w:pPr>
            <w:r>
              <w:rPr>
                <w:color w:val="auto"/>
                <w:highlight w:val="none"/>
              </w:rPr>
              <w:t>项目组成</w:t>
            </w:r>
          </w:p>
        </w:tc>
        <w:tc>
          <w:tcPr>
            <w:tcW w:w="3308" w:type="pct"/>
            <w:gridSpan w:val="15"/>
            <w:noWrap/>
            <w:vAlign w:val="center"/>
          </w:tcPr>
          <w:p>
            <w:pPr>
              <w:pStyle w:val="84"/>
              <w:rPr>
                <w:color w:val="auto"/>
                <w:highlight w:val="none"/>
              </w:rPr>
            </w:pPr>
            <w:r>
              <w:rPr>
                <w:color w:val="auto"/>
                <w:highlight w:val="none"/>
              </w:rPr>
              <w:t>占地面积(hm²)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691" w:type="pct"/>
            <w:gridSpan w:val="5"/>
            <w:vMerge w:val="continue"/>
            <w:noWrap/>
            <w:vAlign w:val="center"/>
          </w:tcPr>
          <w:p>
            <w:pPr>
              <w:pStyle w:val="84"/>
              <w:rPr>
                <w:color w:val="auto"/>
                <w:highlight w:val="none"/>
              </w:rPr>
            </w:pPr>
          </w:p>
        </w:tc>
        <w:tc>
          <w:tcPr>
            <w:tcW w:w="1343" w:type="pct"/>
            <w:gridSpan w:val="4"/>
            <w:noWrap/>
            <w:vAlign w:val="center"/>
          </w:tcPr>
          <w:p>
            <w:pPr>
              <w:pStyle w:val="84"/>
              <w:rPr>
                <w:color w:val="auto"/>
                <w:highlight w:val="none"/>
              </w:rPr>
            </w:pPr>
            <w:r>
              <w:rPr>
                <w:color w:val="auto"/>
                <w:highlight w:val="none"/>
              </w:rPr>
              <w:t>永久占地</w:t>
            </w:r>
          </w:p>
        </w:tc>
        <w:tc>
          <w:tcPr>
            <w:tcW w:w="1018" w:type="pct"/>
            <w:gridSpan w:val="7"/>
            <w:noWrap/>
            <w:vAlign w:val="center"/>
          </w:tcPr>
          <w:p>
            <w:pPr>
              <w:pStyle w:val="84"/>
              <w:rPr>
                <w:color w:val="auto"/>
                <w:highlight w:val="none"/>
              </w:rPr>
            </w:pPr>
            <w:r>
              <w:rPr>
                <w:color w:val="auto"/>
                <w:highlight w:val="none"/>
              </w:rPr>
              <w:t>临时占地</w:t>
            </w:r>
          </w:p>
        </w:tc>
        <w:tc>
          <w:tcPr>
            <w:tcW w:w="946" w:type="pct"/>
            <w:gridSpan w:val="4"/>
            <w:noWrap/>
            <w:vAlign w:val="center"/>
          </w:tcPr>
          <w:p>
            <w:pPr>
              <w:pStyle w:val="84"/>
              <w:rPr>
                <w:color w:val="auto"/>
                <w:highlight w:val="none"/>
              </w:rPr>
            </w:pPr>
            <w:r>
              <w:rPr>
                <w:color w:val="auto"/>
                <w:highlight w:val="none"/>
              </w:rPr>
              <w:t>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vMerge w:val="restart"/>
            <w:noWrap/>
            <w:vAlign w:val="center"/>
          </w:tcPr>
          <w:p>
            <w:pPr>
              <w:pStyle w:val="84"/>
              <w:rPr>
                <w:color w:val="auto"/>
                <w:highlight w:val="none"/>
              </w:rPr>
            </w:pPr>
            <w:r>
              <w:rPr>
                <w:color w:val="auto"/>
                <w:highlight w:val="none"/>
              </w:rPr>
              <w:t>冲洪积平原区</w:t>
            </w:r>
          </w:p>
        </w:tc>
        <w:tc>
          <w:tcPr>
            <w:tcW w:w="1100" w:type="pct"/>
            <w:gridSpan w:val="3"/>
            <w:noWrap/>
            <w:vAlign w:val="center"/>
          </w:tcPr>
          <w:p>
            <w:pPr>
              <w:pStyle w:val="84"/>
              <w:rPr>
                <w:color w:val="auto"/>
                <w:szCs w:val="20"/>
                <w:highlight w:val="none"/>
              </w:rPr>
            </w:pPr>
            <w:r>
              <w:rPr>
                <w:color w:val="auto"/>
                <w:szCs w:val="22"/>
                <w:highlight w:val="none"/>
              </w:rPr>
              <w:t>建构筑物区</w:t>
            </w:r>
          </w:p>
        </w:tc>
        <w:tc>
          <w:tcPr>
            <w:tcW w:w="1343" w:type="pct"/>
            <w:gridSpan w:val="4"/>
            <w:noWrap/>
            <w:vAlign w:val="center"/>
          </w:tcPr>
          <w:p>
            <w:pPr>
              <w:pStyle w:val="84"/>
              <w:rPr>
                <w:color w:val="auto"/>
                <w:highlight w:val="none"/>
              </w:rPr>
            </w:pPr>
            <w:r>
              <w:rPr>
                <w:color w:val="auto"/>
                <w:highlight w:val="none"/>
              </w:rPr>
              <w:t>0.</w:t>
            </w:r>
            <w:r>
              <w:rPr>
                <w:rFonts w:hint="eastAsia"/>
                <w:color w:val="auto"/>
                <w:highlight w:val="none"/>
                <w:lang w:val="en-US" w:eastAsia="zh-CN"/>
              </w:rPr>
              <w:t>73</w:t>
            </w:r>
            <w:r>
              <w:rPr>
                <w:color w:val="auto"/>
                <w:highlight w:val="none"/>
              </w:rPr>
              <w:t xml:space="preserve"> </w:t>
            </w:r>
          </w:p>
        </w:tc>
        <w:tc>
          <w:tcPr>
            <w:tcW w:w="1018" w:type="pct"/>
            <w:gridSpan w:val="7"/>
            <w:noWrap/>
            <w:vAlign w:val="center"/>
          </w:tcPr>
          <w:p>
            <w:pPr>
              <w:pStyle w:val="84"/>
              <w:rPr>
                <w:rFonts w:hint="eastAsia" w:eastAsia="仿宋_GB2312"/>
                <w:color w:val="auto"/>
                <w:highlight w:val="none"/>
                <w:lang w:eastAsia="zh-CN"/>
              </w:rPr>
            </w:pPr>
            <w:r>
              <w:rPr>
                <w:rFonts w:hint="eastAsia"/>
                <w:color w:val="auto"/>
                <w:highlight w:val="none"/>
                <w:lang w:val="en-US" w:eastAsia="zh-CN"/>
              </w:rPr>
              <w:t>/</w:t>
            </w:r>
          </w:p>
        </w:tc>
        <w:tc>
          <w:tcPr>
            <w:tcW w:w="946" w:type="pct"/>
            <w:gridSpan w:val="4"/>
            <w:noWrap/>
            <w:vAlign w:val="center"/>
          </w:tcPr>
          <w:p>
            <w:pPr>
              <w:pStyle w:val="84"/>
              <w:ind w:firstLine="0" w:firstLineChars="0"/>
              <w:rPr>
                <w:color w:val="auto"/>
                <w:highlight w:val="none"/>
              </w:rPr>
            </w:pPr>
            <w:r>
              <w:rPr>
                <w:color w:val="auto"/>
                <w:highlight w:val="none"/>
              </w:rPr>
              <w:t>0.</w:t>
            </w:r>
            <w:r>
              <w:rPr>
                <w:rFonts w:hint="eastAsia"/>
                <w:color w:val="auto"/>
                <w:highlight w:val="none"/>
                <w:lang w:val="en-US" w:eastAsia="zh-CN"/>
              </w:rPr>
              <w:t>73</w:t>
            </w:r>
            <w:r>
              <w:rPr>
                <w:color w:val="auto"/>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vMerge w:val="continue"/>
            <w:noWrap/>
            <w:vAlign w:val="center"/>
          </w:tcPr>
          <w:p>
            <w:pPr>
              <w:pStyle w:val="84"/>
              <w:rPr>
                <w:color w:val="auto"/>
                <w:highlight w:val="none"/>
              </w:rPr>
            </w:pPr>
          </w:p>
        </w:tc>
        <w:tc>
          <w:tcPr>
            <w:tcW w:w="1100" w:type="pct"/>
            <w:gridSpan w:val="3"/>
            <w:noWrap/>
            <w:vAlign w:val="center"/>
          </w:tcPr>
          <w:p>
            <w:pPr>
              <w:pStyle w:val="84"/>
              <w:rPr>
                <w:color w:val="auto"/>
                <w:szCs w:val="22"/>
                <w:highlight w:val="none"/>
              </w:rPr>
            </w:pPr>
            <w:r>
              <w:rPr>
                <w:color w:val="auto"/>
                <w:szCs w:val="22"/>
                <w:highlight w:val="none"/>
              </w:rPr>
              <w:t>绿化区</w:t>
            </w:r>
          </w:p>
        </w:tc>
        <w:tc>
          <w:tcPr>
            <w:tcW w:w="1343" w:type="pct"/>
            <w:gridSpan w:val="4"/>
            <w:noWrap/>
            <w:vAlign w:val="center"/>
          </w:tcPr>
          <w:p>
            <w:pPr>
              <w:pStyle w:val="84"/>
              <w:rPr>
                <w:color w:val="auto"/>
                <w:highlight w:val="none"/>
              </w:rPr>
            </w:pPr>
            <w:r>
              <w:rPr>
                <w:rFonts w:hint="eastAsia"/>
                <w:color w:val="auto"/>
                <w:highlight w:val="none"/>
                <w:lang w:val="en-US" w:eastAsia="zh-CN"/>
              </w:rPr>
              <w:t>1.21</w:t>
            </w:r>
            <w:r>
              <w:rPr>
                <w:color w:val="auto"/>
                <w:highlight w:val="none"/>
              </w:rPr>
              <w:t xml:space="preserve"> </w:t>
            </w:r>
          </w:p>
        </w:tc>
        <w:tc>
          <w:tcPr>
            <w:tcW w:w="1018" w:type="pct"/>
            <w:gridSpan w:val="7"/>
            <w:noWrap/>
            <w:vAlign w:val="center"/>
          </w:tcPr>
          <w:p>
            <w:pPr>
              <w:pStyle w:val="84"/>
              <w:rPr>
                <w:rFonts w:hint="eastAsia" w:eastAsia="仿宋_GB2312"/>
                <w:color w:val="auto"/>
                <w:highlight w:val="none"/>
                <w:lang w:val="en-US" w:eastAsia="zh-CN"/>
              </w:rPr>
            </w:pPr>
            <w:r>
              <w:rPr>
                <w:rFonts w:hint="eastAsia"/>
                <w:color w:val="auto"/>
                <w:highlight w:val="none"/>
                <w:lang w:val="en-US" w:eastAsia="zh-CN"/>
              </w:rPr>
              <w:t>/</w:t>
            </w:r>
          </w:p>
        </w:tc>
        <w:tc>
          <w:tcPr>
            <w:tcW w:w="946" w:type="pct"/>
            <w:gridSpan w:val="4"/>
            <w:noWrap/>
            <w:vAlign w:val="center"/>
          </w:tcPr>
          <w:p>
            <w:pPr>
              <w:pStyle w:val="84"/>
              <w:ind w:firstLine="0" w:firstLineChars="0"/>
              <w:rPr>
                <w:color w:val="auto"/>
                <w:highlight w:val="none"/>
              </w:rPr>
            </w:pPr>
            <w:r>
              <w:rPr>
                <w:rFonts w:hint="eastAsia"/>
                <w:color w:val="auto"/>
                <w:highlight w:val="none"/>
                <w:lang w:val="en-US" w:eastAsia="zh-CN"/>
              </w:rPr>
              <w:t>1.21</w:t>
            </w:r>
            <w:r>
              <w:rPr>
                <w:color w:val="auto"/>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vMerge w:val="continue"/>
            <w:noWrap/>
            <w:vAlign w:val="center"/>
          </w:tcPr>
          <w:p>
            <w:pPr>
              <w:pStyle w:val="84"/>
              <w:rPr>
                <w:color w:val="auto"/>
                <w:highlight w:val="none"/>
              </w:rPr>
            </w:pPr>
          </w:p>
        </w:tc>
        <w:tc>
          <w:tcPr>
            <w:tcW w:w="1100" w:type="pct"/>
            <w:gridSpan w:val="3"/>
            <w:noWrap/>
            <w:vAlign w:val="center"/>
          </w:tcPr>
          <w:p>
            <w:pPr>
              <w:pStyle w:val="84"/>
              <w:rPr>
                <w:color w:val="auto"/>
                <w:szCs w:val="20"/>
                <w:highlight w:val="none"/>
              </w:rPr>
            </w:pPr>
            <w:r>
              <w:rPr>
                <w:color w:val="auto"/>
                <w:szCs w:val="22"/>
                <w:highlight w:val="none"/>
              </w:rPr>
              <w:t>道路及硬化区</w:t>
            </w:r>
          </w:p>
        </w:tc>
        <w:tc>
          <w:tcPr>
            <w:tcW w:w="1343" w:type="pct"/>
            <w:gridSpan w:val="4"/>
            <w:noWrap/>
            <w:vAlign w:val="center"/>
          </w:tcPr>
          <w:p>
            <w:pPr>
              <w:pStyle w:val="84"/>
              <w:rPr>
                <w:color w:val="auto"/>
                <w:highlight w:val="none"/>
              </w:rPr>
            </w:pPr>
            <w:r>
              <w:rPr>
                <w:color w:val="auto"/>
                <w:highlight w:val="none"/>
              </w:rPr>
              <w:t>1.</w:t>
            </w:r>
            <w:r>
              <w:rPr>
                <w:rFonts w:hint="eastAsia"/>
                <w:color w:val="auto"/>
                <w:highlight w:val="none"/>
                <w:lang w:val="en-US" w:eastAsia="zh-CN"/>
              </w:rPr>
              <w:t>02</w:t>
            </w:r>
            <w:r>
              <w:rPr>
                <w:color w:val="auto"/>
                <w:highlight w:val="none"/>
              </w:rPr>
              <w:t xml:space="preserve"> </w:t>
            </w:r>
          </w:p>
        </w:tc>
        <w:tc>
          <w:tcPr>
            <w:tcW w:w="1018" w:type="pct"/>
            <w:gridSpan w:val="7"/>
            <w:noWrap/>
            <w:vAlign w:val="center"/>
          </w:tcPr>
          <w:p>
            <w:pPr>
              <w:pStyle w:val="84"/>
              <w:rPr>
                <w:rFonts w:hint="eastAsia" w:eastAsia="仿宋_GB2312"/>
                <w:color w:val="auto"/>
                <w:highlight w:val="none"/>
                <w:lang w:eastAsia="zh-CN"/>
              </w:rPr>
            </w:pPr>
            <w:r>
              <w:rPr>
                <w:rFonts w:hint="eastAsia"/>
                <w:color w:val="auto"/>
                <w:highlight w:val="none"/>
                <w:lang w:val="en-US" w:eastAsia="zh-CN"/>
              </w:rPr>
              <w:t>/</w:t>
            </w:r>
          </w:p>
        </w:tc>
        <w:tc>
          <w:tcPr>
            <w:tcW w:w="946" w:type="pct"/>
            <w:gridSpan w:val="4"/>
            <w:noWrap/>
            <w:vAlign w:val="center"/>
          </w:tcPr>
          <w:p>
            <w:pPr>
              <w:pStyle w:val="84"/>
              <w:ind w:firstLine="0" w:firstLineChars="0"/>
              <w:rPr>
                <w:color w:val="auto"/>
                <w:highlight w:val="none"/>
              </w:rPr>
            </w:pPr>
            <w:r>
              <w:rPr>
                <w:color w:val="auto"/>
                <w:highlight w:val="none"/>
              </w:rPr>
              <w:t>1.</w:t>
            </w:r>
            <w:r>
              <w:rPr>
                <w:rFonts w:hint="eastAsia"/>
                <w:color w:val="auto"/>
                <w:highlight w:val="none"/>
                <w:lang w:val="en-US" w:eastAsia="zh-CN"/>
              </w:rPr>
              <w:t>02</w:t>
            </w:r>
            <w:r>
              <w:rPr>
                <w:color w:val="auto"/>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vMerge w:val="continue"/>
            <w:noWrap/>
            <w:vAlign w:val="center"/>
          </w:tcPr>
          <w:p>
            <w:pPr>
              <w:pStyle w:val="84"/>
              <w:rPr>
                <w:color w:val="auto"/>
                <w:highlight w:val="none"/>
              </w:rPr>
            </w:pPr>
          </w:p>
        </w:tc>
        <w:tc>
          <w:tcPr>
            <w:tcW w:w="1100" w:type="pct"/>
            <w:gridSpan w:val="3"/>
            <w:noWrap/>
            <w:vAlign w:val="center"/>
          </w:tcPr>
          <w:p>
            <w:pPr>
              <w:pStyle w:val="84"/>
              <w:rPr>
                <w:color w:val="auto"/>
                <w:szCs w:val="20"/>
                <w:highlight w:val="none"/>
              </w:rPr>
            </w:pPr>
            <w:r>
              <w:rPr>
                <w:color w:val="auto"/>
                <w:szCs w:val="22"/>
                <w:highlight w:val="none"/>
              </w:rPr>
              <w:t>管线工程区</w:t>
            </w:r>
          </w:p>
        </w:tc>
        <w:tc>
          <w:tcPr>
            <w:tcW w:w="1343" w:type="pct"/>
            <w:gridSpan w:val="4"/>
            <w:noWrap/>
            <w:vAlign w:val="center"/>
          </w:tcPr>
          <w:p>
            <w:pPr>
              <w:pStyle w:val="84"/>
              <w:rPr>
                <w:color w:val="auto"/>
                <w:highlight w:val="none"/>
              </w:rPr>
            </w:pPr>
            <w:r>
              <w:rPr>
                <w:color w:val="auto"/>
                <w:highlight w:val="none"/>
              </w:rPr>
              <w:t>(0.</w:t>
            </w:r>
            <w:r>
              <w:rPr>
                <w:rFonts w:hint="eastAsia"/>
                <w:color w:val="auto"/>
                <w:highlight w:val="none"/>
                <w:lang w:val="en-US" w:eastAsia="zh-CN"/>
              </w:rPr>
              <w:t>5</w:t>
            </w:r>
            <w:r>
              <w:rPr>
                <w:color w:val="auto"/>
                <w:highlight w:val="none"/>
              </w:rPr>
              <w:t>0)</w:t>
            </w:r>
          </w:p>
        </w:tc>
        <w:tc>
          <w:tcPr>
            <w:tcW w:w="1018" w:type="pct"/>
            <w:gridSpan w:val="7"/>
            <w:noWrap/>
            <w:vAlign w:val="center"/>
          </w:tcPr>
          <w:p>
            <w:pPr>
              <w:pStyle w:val="84"/>
              <w:rPr>
                <w:rFonts w:hint="eastAsia" w:eastAsia="仿宋_GB2312"/>
                <w:color w:val="auto"/>
                <w:highlight w:val="none"/>
                <w:lang w:eastAsia="zh-CN"/>
              </w:rPr>
            </w:pPr>
            <w:r>
              <w:rPr>
                <w:rFonts w:hint="eastAsia"/>
                <w:color w:val="auto"/>
                <w:highlight w:val="none"/>
                <w:lang w:val="en-US" w:eastAsia="zh-CN"/>
              </w:rPr>
              <w:t>/</w:t>
            </w:r>
          </w:p>
        </w:tc>
        <w:tc>
          <w:tcPr>
            <w:tcW w:w="946" w:type="pct"/>
            <w:gridSpan w:val="4"/>
            <w:noWrap/>
            <w:vAlign w:val="center"/>
          </w:tcPr>
          <w:p>
            <w:pPr>
              <w:pStyle w:val="84"/>
              <w:ind w:firstLine="0" w:firstLineChars="0"/>
              <w:rPr>
                <w:color w:val="auto"/>
                <w:highlight w:val="none"/>
              </w:rPr>
            </w:pPr>
            <w:r>
              <w:rPr>
                <w:color w:val="auto"/>
                <w:highlight w:val="none"/>
              </w:rPr>
              <w:t>(0.</w:t>
            </w:r>
            <w:r>
              <w:rPr>
                <w:rFonts w:hint="eastAsia"/>
                <w:color w:val="auto"/>
                <w:highlight w:val="none"/>
                <w:lang w:val="en-US" w:eastAsia="zh-CN"/>
              </w:rPr>
              <w:t>5</w:t>
            </w:r>
            <w:r>
              <w:rPr>
                <w:color w:val="auto"/>
                <w:highlight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vMerge w:val="continue"/>
            <w:noWrap/>
            <w:vAlign w:val="center"/>
          </w:tcPr>
          <w:p>
            <w:pPr>
              <w:pStyle w:val="84"/>
              <w:rPr>
                <w:color w:val="auto"/>
                <w:highlight w:val="none"/>
              </w:rPr>
            </w:pPr>
          </w:p>
        </w:tc>
        <w:tc>
          <w:tcPr>
            <w:tcW w:w="1100" w:type="pct"/>
            <w:gridSpan w:val="3"/>
            <w:noWrap/>
            <w:vAlign w:val="center"/>
          </w:tcPr>
          <w:p>
            <w:pPr>
              <w:pStyle w:val="84"/>
              <w:rPr>
                <w:color w:val="auto"/>
                <w:szCs w:val="20"/>
                <w:highlight w:val="none"/>
              </w:rPr>
            </w:pPr>
            <w:r>
              <w:rPr>
                <w:color w:val="auto"/>
                <w:szCs w:val="22"/>
                <w:highlight w:val="none"/>
              </w:rPr>
              <w:t>施工生产区</w:t>
            </w:r>
          </w:p>
        </w:tc>
        <w:tc>
          <w:tcPr>
            <w:tcW w:w="1343" w:type="pct"/>
            <w:gridSpan w:val="4"/>
            <w:noWrap/>
            <w:vAlign w:val="center"/>
          </w:tcPr>
          <w:p>
            <w:pPr>
              <w:pStyle w:val="84"/>
              <w:rPr>
                <w:color w:val="auto"/>
                <w:highlight w:val="none"/>
              </w:rPr>
            </w:pPr>
            <w:r>
              <w:rPr>
                <w:color w:val="auto"/>
                <w:highlight w:val="none"/>
              </w:rPr>
              <w:t>(0.</w:t>
            </w:r>
            <w:r>
              <w:rPr>
                <w:rFonts w:hint="eastAsia"/>
                <w:color w:val="auto"/>
                <w:highlight w:val="none"/>
                <w:lang w:val="en-US" w:eastAsia="zh-CN"/>
              </w:rPr>
              <w:t>3</w:t>
            </w:r>
            <w:r>
              <w:rPr>
                <w:color w:val="auto"/>
                <w:highlight w:val="none"/>
              </w:rPr>
              <w:t>0)</w:t>
            </w:r>
          </w:p>
        </w:tc>
        <w:tc>
          <w:tcPr>
            <w:tcW w:w="1018" w:type="pct"/>
            <w:gridSpan w:val="7"/>
            <w:noWrap/>
            <w:vAlign w:val="center"/>
          </w:tcPr>
          <w:p>
            <w:pPr>
              <w:pStyle w:val="84"/>
              <w:rPr>
                <w:rFonts w:hint="eastAsia" w:eastAsia="仿宋_GB2312"/>
                <w:color w:val="auto"/>
                <w:highlight w:val="none"/>
                <w:lang w:eastAsia="zh-CN"/>
              </w:rPr>
            </w:pPr>
            <w:r>
              <w:rPr>
                <w:rFonts w:hint="eastAsia"/>
                <w:color w:val="auto"/>
                <w:highlight w:val="none"/>
                <w:lang w:val="en-US" w:eastAsia="zh-CN"/>
              </w:rPr>
              <w:t>/</w:t>
            </w:r>
          </w:p>
        </w:tc>
        <w:tc>
          <w:tcPr>
            <w:tcW w:w="946" w:type="pct"/>
            <w:gridSpan w:val="4"/>
            <w:noWrap/>
            <w:vAlign w:val="center"/>
          </w:tcPr>
          <w:p>
            <w:pPr>
              <w:pStyle w:val="84"/>
              <w:ind w:firstLine="0" w:firstLineChars="0"/>
              <w:rPr>
                <w:color w:val="auto"/>
                <w:highlight w:val="none"/>
              </w:rPr>
            </w:pPr>
            <w:r>
              <w:rPr>
                <w:color w:val="auto"/>
                <w:highlight w:val="none"/>
              </w:rPr>
              <w:t>(0.</w:t>
            </w:r>
            <w:r>
              <w:rPr>
                <w:rFonts w:hint="eastAsia"/>
                <w:color w:val="auto"/>
                <w:highlight w:val="none"/>
                <w:lang w:val="en-US" w:eastAsia="zh-CN"/>
              </w:rPr>
              <w:t>3</w:t>
            </w:r>
            <w:r>
              <w:rPr>
                <w:color w:val="auto"/>
                <w:highlight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vMerge w:val="continue"/>
            <w:noWrap/>
            <w:vAlign w:val="center"/>
          </w:tcPr>
          <w:p>
            <w:pPr>
              <w:pStyle w:val="84"/>
              <w:rPr>
                <w:color w:val="auto"/>
                <w:highlight w:val="none"/>
              </w:rPr>
            </w:pPr>
          </w:p>
        </w:tc>
        <w:tc>
          <w:tcPr>
            <w:tcW w:w="1100" w:type="pct"/>
            <w:gridSpan w:val="3"/>
            <w:noWrap/>
            <w:vAlign w:val="center"/>
          </w:tcPr>
          <w:p>
            <w:pPr>
              <w:pStyle w:val="84"/>
              <w:rPr>
                <w:color w:val="auto"/>
                <w:szCs w:val="20"/>
                <w:highlight w:val="none"/>
              </w:rPr>
            </w:pPr>
            <w:r>
              <w:rPr>
                <w:color w:val="auto"/>
                <w:szCs w:val="22"/>
                <w:highlight w:val="none"/>
              </w:rPr>
              <w:t>合计</w:t>
            </w:r>
          </w:p>
        </w:tc>
        <w:tc>
          <w:tcPr>
            <w:tcW w:w="1343" w:type="pct"/>
            <w:gridSpan w:val="4"/>
            <w:noWrap/>
            <w:vAlign w:val="center"/>
          </w:tcPr>
          <w:p>
            <w:pPr>
              <w:pStyle w:val="84"/>
              <w:rPr>
                <w:color w:val="auto"/>
                <w:highlight w:val="none"/>
              </w:rPr>
            </w:pPr>
            <w:r>
              <w:rPr>
                <w:color w:val="auto"/>
                <w:highlight w:val="none"/>
              </w:rPr>
              <w:t>2.</w:t>
            </w:r>
            <w:r>
              <w:rPr>
                <w:rFonts w:hint="eastAsia"/>
                <w:color w:val="auto"/>
                <w:highlight w:val="none"/>
                <w:lang w:val="en-US" w:eastAsia="zh-CN"/>
              </w:rPr>
              <w:t>9</w:t>
            </w:r>
            <w:r>
              <w:rPr>
                <w:color w:val="auto"/>
                <w:highlight w:val="none"/>
              </w:rPr>
              <w:t xml:space="preserve">6 </w:t>
            </w:r>
          </w:p>
        </w:tc>
        <w:tc>
          <w:tcPr>
            <w:tcW w:w="1018" w:type="pct"/>
            <w:gridSpan w:val="7"/>
            <w:noWrap/>
            <w:vAlign w:val="center"/>
          </w:tcPr>
          <w:p>
            <w:pPr>
              <w:pStyle w:val="84"/>
              <w:rPr>
                <w:rFonts w:hint="eastAsia" w:eastAsia="仿宋_GB2312"/>
                <w:color w:val="auto"/>
                <w:highlight w:val="none"/>
                <w:lang w:eastAsia="zh-CN"/>
              </w:rPr>
            </w:pPr>
            <w:r>
              <w:rPr>
                <w:rFonts w:hint="eastAsia"/>
                <w:color w:val="auto"/>
                <w:highlight w:val="none"/>
                <w:lang w:val="en-US" w:eastAsia="zh-CN"/>
              </w:rPr>
              <w:t>/</w:t>
            </w:r>
          </w:p>
        </w:tc>
        <w:tc>
          <w:tcPr>
            <w:tcW w:w="946" w:type="pct"/>
            <w:gridSpan w:val="4"/>
            <w:noWrap/>
            <w:vAlign w:val="center"/>
          </w:tcPr>
          <w:p>
            <w:pPr>
              <w:pStyle w:val="84"/>
              <w:ind w:firstLine="0" w:firstLineChars="0"/>
              <w:rPr>
                <w:color w:val="auto"/>
                <w:highlight w:val="none"/>
              </w:rPr>
            </w:pPr>
            <w:r>
              <w:rPr>
                <w:color w:val="auto"/>
                <w:highlight w:val="none"/>
              </w:rPr>
              <w:t>2.</w:t>
            </w:r>
            <w:r>
              <w:rPr>
                <w:rFonts w:hint="eastAsia"/>
                <w:color w:val="auto"/>
                <w:highlight w:val="none"/>
                <w:lang w:val="en-US" w:eastAsia="zh-CN"/>
              </w:rPr>
              <w:t>9</w:t>
            </w:r>
            <w:r>
              <w:rPr>
                <w:color w:val="auto"/>
                <w:highlight w:val="none"/>
              </w:rPr>
              <w:t xml:space="preserve">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90" w:type="pct"/>
            <w:gridSpan w:val="2"/>
            <w:vMerge w:val="continue"/>
            <w:noWrap/>
            <w:vAlign w:val="center"/>
          </w:tcPr>
          <w:p>
            <w:pPr>
              <w:pStyle w:val="84"/>
              <w:rPr>
                <w:color w:val="auto"/>
                <w:highlight w:val="none"/>
              </w:rPr>
            </w:pPr>
          </w:p>
        </w:tc>
        <w:tc>
          <w:tcPr>
            <w:tcW w:w="4409" w:type="pct"/>
            <w:gridSpan w:val="18"/>
            <w:noWrap/>
            <w:vAlign w:val="center"/>
          </w:tcPr>
          <w:p>
            <w:pPr>
              <w:pStyle w:val="84"/>
              <w:rPr>
                <w:color w:val="auto"/>
                <w:highlight w:val="none"/>
              </w:rPr>
            </w:pPr>
            <w:r>
              <w:rPr>
                <w:color w:val="auto"/>
                <w:highlight w:val="none"/>
              </w:rPr>
              <w:t>“（）”表示重复占地。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20"/>
            <w:noWrap/>
            <w:vAlign w:val="center"/>
          </w:tcPr>
          <w:p>
            <w:pPr>
              <w:pStyle w:val="84"/>
              <w:rPr>
                <w:color w:val="auto"/>
                <w:highlight w:val="none"/>
              </w:rPr>
            </w:pPr>
            <w:r>
              <w:rPr>
                <w:color w:val="auto"/>
                <w:highlight w:val="none"/>
              </w:rPr>
              <w:t>三、项目土石方挖填工程量(万m³)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73" w:type="pct"/>
            <w:gridSpan w:val="4"/>
            <w:vMerge w:val="restart"/>
            <w:noWrap/>
            <w:vAlign w:val="center"/>
          </w:tcPr>
          <w:p>
            <w:pPr>
              <w:pStyle w:val="84"/>
              <w:rPr>
                <w:color w:val="auto"/>
                <w:highlight w:val="none"/>
              </w:rPr>
            </w:pPr>
            <w:r>
              <w:rPr>
                <w:color w:val="auto"/>
                <w:highlight w:val="none"/>
              </w:rPr>
              <w:t>项目单元</w:t>
            </w:r>
          </w:p>
        </w:tc>
        <w:tc>
          <w:tcPr>
            <w:tcW w:w="417" w:type="pct"/>
            <w:vMerge w:val="restart"/>
            <w:noWrap/>
            <w:vAlign w:val="center"/>
          </w:tcPr>
          <w:p>
            <w:pPr>
              <w:pStyle w:val="84"/>
              <w:rPr>
                <w:color w:val="auto"/>
                <w:highlight w:val="none"/>
              </w:rPr>
            </w:pPr>
            <w:r>
              <w:rPr>
                <w:color w:val="auto"/>
                <w:highlight w:val="none"/>
              </w:rPr>
              <w:t>开挖</w:t>
            </w:r>
          </w:p>
        </w:tc>
        <w:tc>
          <w:tcPr>
            <w:tcW w:w="606" w:type="pct"/>
            <w:gridSpan w:val="2"/>
            <w:vMerge w:val="restart"/>
            <w:noWrap/>
            <w:vAlign w:val="center"/>
          </w:tcPr>
          <w:p>
            <w:pPr>
              <w:pStyle w:val="84"/>
              <w:rPr>
                <w:color w:val="auto"/>
                <w:highlight w:val="none"/>
              </w:rPr>
            </w:pPr>
            <w:r>
              <w:rPr>
                <w:color w:val="auto"/>
                <w:highlight w:val="none"/>
              </w:rPr>
              <w:t>回填</w:t>
            </w:r>
          </w:p>
        </w:tc>
        <w:tc>
          <w:tcPr>
            <w:tcW w:w="875" w:type="pct"/>
            <w:gridSpan w:val="5"/>
            <w:noWrap/>
            <w:vAlign w:val="center"/>
          </w:tcPr>
          <w:p>
            <w:pPr>
              <w:pStyle w:val="84"/>
              <w:rPr>
                <w:color w:val="auto"/>
                <w:highlight w:val="none"/>
              </w:rPr>
            </w:pPr>
            <w:r>
              <w:rPr>
                <w:color w:val="auto"/>
                <w:highlight w:val="none"/>
              </w:rPr>
              <w:t>调入</w:t>
            </w:r>
          </w:p>
        </w:tc>
        <w:tc>
          <w:tcPr>
            <w:tcW w:w="543" w:type="pct"/>
            <w:gridSpan w:val="3"/>
            <w:noWrap/>
            <w:vAlign w:val="center"/>
          </w:tcPr>
          <w:p>
            <w:pPr>
              <w:pStyle w:val="84"/>
              <w:rPr>
                <w:color w:val="auto"/>
                <w:highlight w:val="none"/>
              </w:rPr>
            </w:pPr>
            <w:r>
              <w:rPr>
                <w:color w:val="auto"/>
                <w:highlight w:val="none"/>
              </w:rPr>
              <w:t>调出</w:t>
            </w:r>
          </w:p>
        </w:tc>
        <w:tc>
          <w:tcPr>
            <w:tcW w:w="714" w:type="pct"/>
            <w:gridSpan w:val="3"/>
            <w:noWrap/>
            <w:vAlign w:val="center"/>
          </w:tcPr>
          <w:p>
            <w:pPr>
              <w:pStyle w:val="84"/>
              <w:rPr>
                <w:color w:val="auto"/>
                <w:highlight w:val="none"/>
              </w:rPr>
            </w:pPr>
            <w:r>
              <w:rPr>
                <w:color w:val="auto"/>
                <w:highlight w:val="none"/>
              </w:rPr>
              <w:t>借方</w:t>
            </w:r>
          </w:p>
        </w:tc>
        <w:tc>
          <w:tcPr>
            <w:tcW w:w="569" w:type="pct"/>
            <w:gridSpan w:val="2"/>
            <w:noWrap/>
            <w:vAlign w:val="center"/>
          </w:tcPr>
          <w:p>
            <w:pPr>
              <w:pStyle w:val="84"/>
              <w:rPr>
                <w:color w:val="auto"/>
                <w:highlight w:val="none"/>
              </w:rPr>
            </w:pPr>
            <w:r>
              <w:rPr>
                <w:color w:val="auto"/>
                <w:highlight w:val="none"/>
              </w:rPr>
              <w:t>弃方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73" w:type="pct"/>
            <w:gridSpan w:val="4"/>
            <w:vMerge w:val="continue"/>
            <w:noWrap/>
            <w:vAlign w:val="center"/>
          </w:tcPr>
          <w:p>
            <w:pPr>
              <w:pStyle w:val="84"/>
              <w:rPr>
                <w:color w:val="auto"/>
                <w:highlight w:val="none"/>
              </w:rPr>
            </w:pPr>
          </w:p>
        </w:tc>
        <w:tc>
          <w:tcPr>
            <w:tcW w:w="417" w:type="pct"/>
            <w:vMerge w:val="continue"/>
            <w:noWrap/>
            <w:vAlign w:val="center"/>
          </w:tcPr>
          <w:p>
            <w:pPr>
              <w:pStyle w:val="84"/>
              <w:rPr>
                <w:color w:val="auto"/>
                <w:highlight w:val="none"/>
              </w:rPr>
            </w:pPr>
          </w:p>
        </w:tc>
        <w:tc>
          <w:tcPr>
            <w:tcW w:w="606" w:type="pct"/>
            <w:gridSpan w:val="2"/>
            <w:vMerge w:val="continue"/>
            <w:noWrap/>
            <w:vAlign w:val="center"/>
          </w:tcPr>
          <w:p>
            <w:pPr>
              <w:pStyle w:val="84"/>
              <w:rPr>
                <w:color w:val="auto"/>
                <w:highlight w:val="none"/>
              </w:rPr>
            </w:pPr>
          </w:p>
        </w:tc>
        <w:tc>
          <w:tcPr>
            <w:tcW w:w="515" w:type="pct"/>
            <w:noWrap/>
            <w:vAlign w:val="center"/>
          </w:tcPr>
          <w:p>
            <w:pPr>
              <w:pStyle w:val="84"/>
              <w:rPr>
                <w:color w:val="auto"/>
                <w:highlight w:val="none"/>
              </w:rPr>
            </w:pPr>
            <w:r>
              <w:rPr>
                <w:color w:val="auto"/>
                <w:highlight w:val="none"/>
              </w:rPr>
              <w:t>数量</w:t>
            </w:r>
          </w:p>
        </w:tc>
        <w:tc>
          <w:tcPr>
            <w:tcW w:w="360" w:type="pct"/>
            <w:gridSpan w:val="4"/>
            <w:noWrap/>
            <w:vAlign w:val="center"/>
          </w:tcPr>
          <w:p>
            <w:pPr>
              <w:pStyle w:val="84"/>
              <w:rPr>
                <w:color w:val="auto"/>
                <w:highlight w:val="none"/>
              </w:rPr>
            </w:pPr>
            <w:r>
              <w:rPr>
                <w:color w:val="auto"/>
                <w:highlight w:val="none"/>
              </w:rPr>
              <w:t>来源</w:t>
            </w:r>
          </w:p>
        </w:tc>
        <w:tc>
          <w:tcPr>
            <w:tcW w:w="360" w:type="pct"/>
            <w:gridSpan w:val="2"/>
            <w:noWrap/>
            <w:vAlign w:val="center"/>
          </w:tcPr>
          <w:p>
            <w:pPr>
              <w:pStyle w:val="84"/>
              <w:rPr>
                <w:color w:val="auto"/>
                <w:highlight w:val="none"/>
              </w:rPr>
            </w:pPr>
            <w:r>
              <w:rPr>
                <w:color w:val="auto"/>
                <w:highlight w:val="none"/>
              </w:rPr>
              <w:t>数量</w:t>
            </w:r>
          </w:p>
        </w:tc>
        <w:tc>
          <w:tcPr>
            <w:tcW w:w="183" w:type="pct"/>
            <w:noWrap/>
            <w:vAlign w:val="center"/>
          </w:tcPr>
          <w:p>
            <w:pPr>
              <w:pStyle w:val="84"/>
              <w:rPr>
                <w:color w:val="auto"/>
                <w:highlight w:val="none"/>
              </w:rPr>
            </w:pPr>
            <w:r>
              <w:rPr>
                <w:color w:val="auto"/>
                <w:highlight w:val="none"/>
              </w:rPr>
              <w:t>去向</w:t>
            </w:r>
          </w:p>
        </w:tc>
        <w:tc>
          <w:tcPr>
            <w:tcW w:w="452" w:type="pct"/>
            <w:gridSpan w:val="2"/>
            <w:noWrap/>
            <w:vAlign w:val="center"/>
          </w:tcPr>
          <w:p>
            <w:pPr>
              <w:pStyle w:val="84"/>
              <w:rPr>
                <w:color w:val="auto"/>
                <w:highlight w:val="none"/>
              </w:rPr>
            </w:pPr>
            <w:r>
              <w:rPr>
                <w:color w:val="auto"/>
                <w:highlight w:val="none"/>
              </w:rPr>
              <w:t>数量</w:t>
            </w:r>
          </w:p>
        </w:tc>
        <w:tc>
          <w:tcPr>
            <w:tcW w:w="261" w:type="pct"/>
            <w:noWrap/>
            <w:vAlign w:val="center"/>
          </w:tcPr>
          <w:p>
            <w:pPr>
              <w:pStyle w:val="84"/>
              <w:rPr>
                <w:color w:val="auto"/>
                <w:highlight w:val="none"/>
              </w:rPr>
            </w:pPr>
            <w:r>
              <w:rPr>
                <w:color w:val="auto"/>
                <w:highlight w:val="none"/>
              </w:rPr>
              <w:t>来源</w:t>
            </w:r>
          </w:p>
        </w:tc>
        <w:tc>
          <w:tcPr>
            <w:tcW w:w="261" w:type="pct"/>
            <w:noWrap/>
            <w:vAlign w:val="center"/>
          </w:tcPr>
          <w:p>
            <w:pPr>
              <w:pStyle w:val="84"/>
              <w:rPr>
                <w:color w:val="auto"/>
                <w:highlight w:val="none"/>
              </w:rPr>
            </w:pPr>
            <w:r>
              <w:rPr>
                <w:color w:val="auto"/>
                <w:highlight w:val="none"/>
              </w:rPr>
              <w:t>数量</w:t>
            </w:r>
          </w:p>
        </w:tc>
        <w:tc>
          <w:tcPr>
            <w:tcW w:w="307" w:type="pct"/>
            <w:noWrap/>
            <w:vAlign w:val="center"/>
          </w:tcPr>
          <w:p>
            <w:pPr>
              <w:pStyle w:val="84"/>
              <w:rPr>
                <w:color w:val="auto"/>
                <w:highlight w:val="none"/>
              </w:rPr>
            </w:pPr>
            <w:r>
              <w:rPr>
                <w:color w:val="auto"/>
                <w:highlight w:val="none"/>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88" w:type="pct"/>
            <w:noWrap/>
            <w:vAlign w:val="center"/>
          </w:tcPr>
          <w:p>
            <w:pPr>
              <w:pStyle w:val="84"/>
              <w:rPr>
                <w:color w:val="auto"/>
                <w:highlight w:val="none"/>
              </w:rPr>
            </w:pPr>
            <w:r>
              <w:rPr>
                <w:rFonts w:hint="eastAsia" w:ascii="宋体" w:hAnsi="宋体" w:eastAsia="宋体" w:cs="宋体"/>
                <w:color w:val="auto"/>
                <w:highlight w:val="none"/>
              </w:rPr>
              <w:t>①</w:t>
            </w:r>
          </w:p>
        </w:tc>
        <w:tc>
          <w:tcPr>
            <w:tcW w:w="784" w:type="pct"/>
            <w:gridSpan w:val="3"/>
            <w:noWrap/>
            <w:vAlign w:val="center"/>
          </w:tcPr>
          <w:p>
            <w:pPr>
              <w:pStyle w:val="84"/>
              <w:rPr>
                <w:color w:val="auto"/>
                <w:szCs w:val="20"/>
                <w:highlight w:val="none"/>
              </w:rPr>
            </w:pPr>
            <w:r>
              <w:rPr>
                <w:color w:val="auto"/>
                <w:highlight w:val="none"/>
              </w:rPr>
              <w:t>建构筑物区</w:t>
            </w:r>
          </w:p>
        </w:tc>
        <w:tc>
          <w:tcPr>
            <w:tcW w:w="417" w:type="pct"/>
            <w:noWrap/>
            <w:vAlign w:val="center"/>
          </w:tcPr>
          <w:p>
            <w:pPr>
              <w:pStyle w:val="84"/>
              <w:rPr>
                <w:color w:val="auto"/>
                <w:highlight w:val="none"/>
              </w:rPr>
            </w:pPr>
            <w:r>
              <w:rPr>
                <w:color w:val="auto"/>
                <w:highlight w:val="none"/>
              </w:rPr>
              <w:t>1.</w:t>
            </w:r>
            <w:r>
              <w:rPr>
                <w:rFonts w:hint="eastAsia"/>
                <w:color w:val="auto"/>
                <w:highlight w:val="none"/>
                <w:lang w:val="en-US" w:eastAsia="zh-CN"/>
              </w:rPr>
              <w:t>74</w:t>
            </w:r>
            <w:r>
              <w:rPr>
                <w:color w:val="auto"/>
                <w:highlight w:val="none"/>
              </w:rPr>
              <w:t xml:space="preserve"> </w:t>
            </w:r>
          </w:p>
        </w:tc>
        <w:tc>
          <w:tcPr>
            <w:tcW w:w="606" w:type="pct"/>
            <w:gridSpan w:val="2"/>
            <w:noWrap/>
            <w:vAlign w:val="center"/>
          </w:tcPr>
          <w:p>
            <w:pPr>
              <w:pStyle w:val="84"/>
              <w:rPr>
                <w:rFonts w:hint="default" w:eastAsia="仿宋_GB2312"/>
                <w:color w:val="auto"/>
                <w:highlight w:val="none"/>
                <w:lang w:val="en-US" w:eastAsia="zh-CN"/>
              </w:rPr>
            </w:pPr>
            <w:r>
              <w:rPr>
                <w:rFonts w:hint="eastAsia"/>
                <w:color w:val="auto"/>
                <w:highlight w:val="none"/>
                <w:lang w:val="en-US" w:eastAsia="zh-CN"/>
              </w:rPr>
              <w:t>0.65</w:t>
            </w:r>
          </w:p>
        </w:tc>
        <w:tc>
          <w:tcPr>
            <w:tcW w:w="515" w:type="pct"/>
            <w:noWrap/>
            <w:vAlign w:val="center"/>
          </w:tcPr>
          <w:p>
            <w:pPr>
              <w:pStyle w:val="84"/>
              <w:rPr>
                <w:color w:val="auto"/>
                <w:highlight w:val="none"/>
              </w:rPr>
            </w:pPr>
          </w:p>
        </w:tc>
        <w:tc>
          <w:tcPr>
            <w:tcW w:w="360" w:type="pct"/>
            <w:gridSpan w:val="4"/>
            <w:noWrap/>
            <w:vAlign w:val="center"/>
          </w:tcPr>
          <w:p>
            <w:pPr>
              <w:pStyle w:val="84"/>
              <w:rPr>
                <w:rFonts w:eastAsia="宋体"/>
                <w:color w:val="auto"/>
                <w:highlight w:val="none"/>
              </w:rPr>
            </w:pPr>
          </w:p>
        </w:tc>
        <w:tc>
          <w:tcPr>
            <w:tcW w:w="360" w:type="pct"/>
            <w:gridSpan w:val="2"/>
            <w:noWrap/>
            <w:vAlign w:val="center"/>
          </w:tcPr>
          <w:p>
            <w:pPr>
              <w:pStyle w:val="84"/>
              <w:rPr>
                <w:rFonts w:hint="default" w:eastAsia="宋体"/>
                <w:color w:val="auto"/>
                <w:highlight w:val="none"/>
                <w:lang w:val="en-US" w:eastAsia="zh-CN"/>
              </w:rPr>
            </w:pPr>
            <w:r>
              <w:rPr>
                <w:rFonts w:hint="eastAsia" w:eastAsia="宋体"/>
                <w:color w:val="auto"/>
                <w:highlight w:val="none"/>
                <w:lang w:val="en-US" w:eastAsia="zh-CN"/>
              </w:rPr>
              <w:t>1.09</w:t>
            </w:r>
          </w:p>
        </w:tc>
        <w:tc>
          <w:tcPr>
            <w:tcW w:w="183" w:type="pct"/>
            <w:noWrap/>
            <w:vAlign w:val="center"/>
          </w:tcPr>
          <w:p>
            <w:pPr>
              <w:pStyle w:val="84"/>
              <w:rPr>
                <w:color w:val="auto"/>
                <w:highlight w:val="none"/>
              </w:rPr>
            </w:pPr>
            <w:r>
              <w:rPr>
                <w:rFonts w:hint="eastAsia" w:ascii="宋体" w:hAnsi="宋体" w:eastAsia="宋体" w:cs="宋体"/>
                <w:color w:val="auto"/>
                <w:highlight w:val="none"/>
              </w:rPr>
              <w:t>②③</w:t>
            </w:r>
          </w:p>
        </w:tc>
        <w:tc>
          <w:tcPr>
            <w:tcW w:w="452" w:type="pct"/>
            <w:gridSpan w:val="2"/>
            <w:noWrap/>
            <w:vAlign w:val="center"/>
          </w:tcPr>
          <w:p>
            <w:pPr>
              <w:pStyle w:val="84"/>
              <w:rPr>
                <w:color w:val="auto"/>
                <w:highlight w:val="none"/>
              </w:rPr>
            </w:pPr>
          </w:p>
        </w:tc>
        <w:tc>
          <w:tcPr>
            <w:tcW w:w="261" w:type="pct"/>
            <w:noWrap/>
            <w:vAlign w:val="center"/>
          </w:tcPr>
          <w:p>
            <w:pPr>
              <w:pStyle w:val="84"/>
              <w:rPr>
                <w:color w:val="auto"/>
                <w:highlight w:val="none"/>
              </w:rPr>
            </w:pPr>
          </w:p>
        </w:tc>
        <w:tc>
          <w:tcPr>
            <w:tcW w:w="261" w:type="pct"/>
            <w:noWrap/>
            <w:vAlign w:val="center"/>
          </w:tcPr>
          <w:p>
            <w:pPr>
              <w:pStyle w:val="84"/>
              <w:rPr>
                <w:color w:val="auto"/>
                <w:highlight w:val="none"/>
              </w:rPr>
            </w:pPr>
          </w:p>
        </w:tc>
        <w:tc>
          <w:tcPr>
            <w:tcW w:w="307" w:type="pct"/>
            <w:vMerge w:val="restart"/>
            <w:noWrap/>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88" w:type="pct"/>
            <w:noWrap/>
            <w:vAlign w:val="center"/>
          </w:tcPr>
          <w:p>
            <w:pPr>
              <w:pStyle w:val="84"/>
              <w:rPr>
                <w:color w:val="auto"/>
                <w:highlight w:val="none"/>
              </w:rPr>
            </w:pPr>
            <w:r>
              <w:rPr>
                <w:rFonts w:hint="eastAsia" w:ascii="宋体" w:hAnsi="宋体" w:eastAsia="宋体" w:cs="宋体"/>
                <w:color w:val="auto"/>
                <w:highlight w:val="none"/>
              </w:rPr>
              <w:t>②</w:t>
            </w:r>
          </w:p>
        </w:tc>
        <w:tc>
          <w:tcPr>
            <w:tcW w:w="784" w:type="pct"/>
            <w:gridSpan w:val="3"/>
            <w:noWrap/>
            <w:vAlign w:val="center"/>
          </w:tcPr>
          <w:p>
            <w:pPr>
              <w:pStyle w:val="84"/>
              <w:rPr>
                <w:color w:val="auto"/>
                <w:highlight w:val="none"/>
              </w:rPr>
            </w:pPr>
            <w:r>
              <w:rPr>
                <w:color w:val="auto"/>
                <w:highlight w:val="none"/>
              </w:rPr>
              <w:t>绿化区</w:t>
            </w:r>
          </w:p>
        </w:tc>
        <w:tc>
          <w:tcPr>
            <w:tcW w:w="417" w:type="pct"/>
            <w:noWrap/>
            <w:vAlign w:val="center"/>
          </w:tcPr>
          <w:p>
            <w:pPr>
              <w:pStyle w:val="84"/>
              <w:rPr>
                <w:color w:val="auto"/>
                <w:highlight w:val="none"/>
              </w:rPr>
            </w:pPr>
          </w:p>
        </w:tc>
        <w:tc>
          <w:tcPr>
            <w:tcW w:w="606" w:type="pct"/>
            <w:gridSpan w:val="2"/>
            <w:noWrap/>
            <w:vAlign w:val="center"/>
          </w:tcPr>
          <w:p>
            <w:pPr>
              <w:pStyle w:val="84"/>
              <w:rPr>
                <w:rFonts w:hint="default" w:eastAsia="仿宋_GB2312"/>
                <w:color w:val="auto"/>
                <w:highlight w:val="none"/>
                <w:lang w:val="en-US" w:eastAsia="zh-CN"/>
              </w:rPr>
            </w:pPr>
            <w:r>
              <w:rPr>
                <w:color w:val="auto"/>
                <w:highlight w:val="none"/>
              </w:rPr>
              <w:t>0.</w:t>
            </w:r>
            <w:r>
              <w:rPr>
                <w:rFonts w:hint="eastAsia"/>
                <w:color w:val="auto"/>
                <w:highlight w:val="none"/>
                <w:lang w:val="en-US" w:eastAsia="zh-CN"/>
              </w:rPr>
              <w:t>59</w:t>
            </w:r>
          </w:p>
        </w:tc>
        <w:tc>
          <w:tcPr>
            <w:tcW w:w="515" w:type="pct"/>
            <w:noWrap/>
            <w:vAlign w:val="center"/>
          </w:tcPr>
          <w:p>
            <w:pPr>
              <w:pStyle w:val="84"/>
              <w:ind w:firstLine="0" w:firstLineChars="0"/>
              <w:rPr>
                <w:color w:val="auto"/>
                <w:highlight w:val="none"/>
              </w:rPr>
            </w:pPr>
            <w:r>
              <w:rPr>
                <w:color w:val="auto"/>
                <w:highlight w:val="none"/>
              </w:rPr>
              <w:t>0.</w:t>
            </w:r>
            <w:r>
              <w:rPr>
                <w:rFonts w:hint="eastAsia"/>
                <w:color w:val="auto"/>
                <w:highlight w:val="none"/>
                <w:lang w:val="en-US" w:eastAsia="zh-CN"/>
              </w:rPr>
              <w:t>59</w:t>
            </w:r>
          </w:p>
        </w:tc>
        <w:tc>
          <w:tcPr>
            <w:tcW w:w="360" w:type="pct"/>
            <w:gridSpan w:val="4"/>
            <w:noWrap/>
            <w:vAlign w:val="center"/>
          </w:tcPr>
          <w:p>
            <w:pPr>
              <w:pStyle w:val="84"/>
              <w:rPr>
                <w:rFonts w:eastAsia="宋体"/>
                <w:color w:val="auto"/>
                <w:highlight w:val="none"/>
              </w:rPr>
            </w:pPr>
            <w:r>
              <w:rPr>
                <w:rFonts w:hint="eastAsia" w:ascii="宋体" w:hAnsi="宋体" w:eastAsia="宋体" w:cs="宋体"/>
                <w:color w:val="auto"/>
                <w:highlight w:val="none"/>
              </w:rPr>
              <w:t>①</w:t>
            </w:r>
          </w:p>
        </w:tc>
        <w:tc>
          <w:tcPr>
            <w:tcW w:w="360" w:type="pct"/>
            <w:gridSpan w:val="2"/>
            <w:noWrap/>
            <w:vAlign w:val="center"/>
          </w:tcPr>
          <w:p>
            <w:pPr>
              <w:pStyle w:val="84"/>
              <w:rPr>
                <w:rFonts w:eastAsia="宋体"/>
                <w:color w:val="auto"/>
                <w:highlight w:val="none"/>
              </w:rPr>
            </w:pPr>
          </w:p>
        </w:tc>
        <w:tc>
          <w:tcPr>
            <w:tcW w:w="183" w:type="pct"/>
            <w:noWrap/>
            <w:vAlign w:val="center"/>
          </w:tcPr>
          <w:p>
            <w:pPr>
              <w:pStyle w:val="84"/>
              <w:rPr>
                <w:color w:val="auto"/>
                <w:highlight w:val="none"/>
              </w:rPr>
            </w:pPr>
          </w:p>
        </w:tc>
        <w:tc>
          <w:tcPr>
            <w:tcW w:w="452" w:type="pct"/>
            <w:gridSpan w:val="2"/>
            <w:noWrap/>
            <w:vAlign w:val="center"/>
          </w:tcPr>
          <w:p>
            <w:pPr>
              <w:pStyle w:val="84"/>
              <w:rPr>
                <w:color w:val="auto"/>
                <w:highlight w:val="none"/>
              </w:rPr>
            </w:pPr>
          </w:p>
        </w:tc>
        <w:tc>
          <w:tcPr>
            <w:tcW w:w="261" w:type="pct"/>
            <w:noWrap/>
            <w:vAlign w:val="center"/>
          </w:tcPr>
          <w:p>
            <w:pPr>
              <w:pStyle w:val="84"/>
              <w:rPr>
                <w:color w:val="auto"/>
                <w:highlight w:val="none"/>
              </w:rPr>
            </w:pPr>
          </w:p>
        </w:tc>
        <w:tc>
          <w:tcPr>
            <w:tcW w:w="261" w:type="pct"/>
            <w:noWrap/>
            <w:vAlign w:val="center"/>
          </w:tcPr>
          <w:p>
            <w:pPr>
              <w:pStyle w:val="84"/>
              <w:rPr>
                <w:color w:val="auto"/>
                <w:highlight w:val="none"/>
              </w:rPr>
            </w:pPr>
          </w:p>
        </w:tc>
        <w:tc>
          <w:tcPr>
            <w:tcW w:w="307" w:type="pct"/>
            <w:vMerge w:val="continue"/>
            <w:noWrap/>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88" w:type="pct"/>
            <w:noWrap/>
            <w:vAlign w:val="center"/>
          </w:tcPr>
          <w:p>
            <w:pPr>
              <w:pStyle w:val="84"/>
              <w:rPr>
                <w:color w:val="auto"/>
                <w:highlight w:val="none"/>
              </w:rPr>
            </w:pPr>
            <w:r>
              <w:rPr>
                <w:rFonts w:hint="eastAsia" w:ascii="宋体" w:hAnsi="宋体" w:eastAsia="宋体" w:cs="宋体"/>
                <w:color w:val="auto"/>
                <w:highlight w:val="none"/>
              </w:rPr>
              <w:t>③</w:t>
            </w:r>
          </w:p>
        </w:tc>
        <w:tc>
          <w:tcPr>
            <w:tcW w:w="784" w:type="pct"/>
            <w:gridSpan w:val="3"/>
            <w:noWrap/>
            <w:vAlign w:val="center"/>
          </w:tcPr>
          <w:p>
            <w:pPr>
              <w:pStyle w:val="84"/>
              <w:rPr>
                <w:color w:val="auto"/>
                <w:szCs w:val="20"/>
                <w:highlight w:val="none"/>
              </w:rPr>
            </w:pPr>
            <w:r>
              <w:rPr>
                <w:color w:val="auto"/>
                <w:highlight w:val="none"/>
              </w:rPr>
              <w:t>道路及硬化区</w:t>
            </w:r>
          </w:p>
        </w:tc>
        <w:tc>
          <w:tcPr>
            <w:tcW w:w="417" w:type="pct"/>
            <w:noWrap/>
            <w:vAlign w:val="center"/>
          </w:tcPr>
          <w:p>
            <w:pPr>
              <w:pStyle w:val="84"/>
              <w:rPr>
                <w:color w:val="auto"/>
                <w:highlight w:val="none"/>
              </w:rPr>
            </w:pPr>
          </w:p>
        </w:tc>
        <w:tc>
          <w:tcPr>
            <w:tcW w:w="606" w:type="pct"/>
            <w:gridSpan w:val="2"/>
            <w:noWrap/>
            <w:vAlign w:val="center"/>
          </w:tcPr>
          <w:p>
            <w:pPr>
              <w:pStyle w:val="84"/>
              <w:rPr>
                <w:color w:val="auto"/>
                <w:highlight w:val="none"/>
              </w:rPr>
            </w:pPr>
            <w:r>
              <w:rPr>
                <w:color w:val="auto"/>
                <w:highlight w:val="none"/>
              </w:rPr>
              <w:t>0.</w:t>
            </w:r>
            <w:r>
              <w:rPr>
                <w:rFonts w:hint="eastAsia"/>
                <w:color w:val="auto"/>
                <w:highlight w:val="none"/>
                <w:lang w:val="en-US" w:eastAsia="zh-CN"/>
              </w:rPr>
              <w:t>50</w:t>
            </w:r>
            <w:r>
              <w:rPr>
                <w:color w:val="auto"/>
                <w:highlight w:val="none"/>
              </w:rPr>
              <w:t xml:space="preserve"> </w:t>
            </w:r>
          </w:p>
        </w:tc>
        <w:tc>
          <w:tcPr>
            <w:tcW w:w="515" w:type="pct"/>
            <w:noWrap/>
            <w:vAlign w:val="center"/>
          </w:tcPr>
          <w:p>
            <w:pPr>
              <w:pStyle w:val="84"/>
              <w:ind w:firstLine="0" w:firstLineChars="0"/>
              <w:rPr>
                <w:color w:val="auto"/>
                <w:highlight w:val="none"/>
              </w:rPr>
            </w:pPr>
            <w:r>
              <w:rPr>
                <w:color w:val="auto"/>
                <w:highlight w:val="none"/>
              </w:rPr>
              <w:t>0.</w:t>
            </w:r>
            <w:r>
              <w:rPr>
                <w:rFonts w:hint="eastAsia"/>
                <w:color w:val="auto"/>
                <w:highlight w:val="none"/>
                <w:lang w:val="en-US" w:eastAsia="zh-CN"/>
              </w:rPr>
              <w:t>50</w:t>
            </w:r>
            <w:r>
              <w:rPr>
                <w:color w:val="auto"/>
                <w:highlight w:val="none"/>
              </w:rPr>
              <w:t xml:space="preserve"> </w:t>
            </w:r>
          </w:p>
        </w:tc>
        <w:tc>
          <w:tcPr>
            <w:tcW w:w="360" w:type="pct"/>
            <w:gridSpan w:val="4"/>
            <w:noWrap/>
            <w:vAlign w:val="center"/>
          </w:tcPr>
          <w:p>
            <w:pPr>
              <w:pStyle w:val="84"/>
              <w:rPr>
                <w:rFonts w:eastAsia="宋体"/>
                <w:color w:val="auto"/>
                <w:highlight w:val="none"/>
              </w:rPr>
            </w:pPr>
            <w:r>
              <w:rPr>
                <w:rFonts w:hint="eastAsia" w:ascii="宋体" w:hAnsi="宋体" w:eastAsia="宋体" w:cs="宋体"/>
                <w:color w:val="auto"/>
                <w:highlight w:val="none"/>
              </w:rPr>
              <w:t>①</w:t>
            </w:r>
          </w:p>
        </w:tc>
        <w:tc>
          <w:tcPr>
            <w:tcW w:w="360" w:type="pct"/>
            <w:gridSpan w:val="2"/>
            <w:noWrap/>
            <w:vAlign w:val="center"/>
          </w:tcPr>
          <w:p>
            <w:pPr>
              <w:pStyle w:val="84"/>
              <w:rPr>
                <w:rFonts w:eastAsia="宋体"/>
                <w:color w:val="auto"/>
                <w:highlight w:val="none"/>
              </w:rPr>
            </w:pPr>
          </w:p>
        </w:tc>
        <w:tc>
          <w:tcPr>
            <w:tcW w:w="183" w:type="pct"/>
            <w:noWrap/>
            <w:vAlign w:val="center"/>
          </w:tcPr>
          <w:p>
            <w:pPr>
              <w:pStyle w:val="84"/>
              <w:rPr>
                <w:color w:val="auto"/>
                <w:highlight w:val="none"/>
              </w:rPr>
            </w:pPr>
          </w:p>
        </w:tc>
        <w:tc>
          <w:tcPr>
            <w:tcW w:w="452" w:type="pct"/>
            <w:gridSpan w:val="2"/>
            <w:noWrap/>
            <w:vAlign w:val="center"/>
          </w:tcPr>
          <w:p>
            <w:pPr>
              <w:pStyle w:val="84"/>
              <w:rPr>
                <w:color w:val="auto"/>
                <w:highlight w:val="none"/>
              </w:rPr>
            </w:pPr>
          </w:p>
        </w:tc>
        <w:tc>
          <w:tcPr>
            <w:tcW w:w="261" w:type="pct"/>
            <w:noWrap/>
            <w:vAlign w:val="center"/>
          </w:tcPr>
          <w:p>
            <w:pPr>
              <w:pStyle w:val="84"/>
              <w:rPr>
                <w:color w:val="auto"/>
                <w:highlight w:val="none"/>
              </w:rPr>
            </w:pPr>
          </w:p>
        </w:tc>
        <w:tc>
          <w:tcPr>
            <w:tcW w:w="261" w:type="pct"/>
            <w:noWrap/>
            <w:vAlign w:val="center"/>
          </w:tcPr>
          <w:p>
            <w:pPr>
              <w:pStyle w:val="84"/>
              <w:rPr>
                <w:color w:val="auto"/>
                <w:highlight w:val="none"/>
              </w:rPr>
            </w:pPr>
          </w:p>
        </w:tc>
        <w:tc>
          <w:tcPr>
            <w:tcW w:w="307" w:type="pct"/>
            <w:vMerge w:val="continue"/>
            <w:noWrap/>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88" w:type="pct"/>
            <w:noWrap/>
            <w:vAlign w:val="center"/>
          </w:tcPr>
          <w:p>
            <w:pPr>
              <w:pStyle w:val="84"/>
              <w:rPr>
                <w:color w:val="auto"/>
                <w:highlight w:val="none"/>
              </w:rPr>
            </w:pPr>
            <w:r>
              <w:rPr>
                <w:rFonts w:hint="eastAsia" w:ascii="宋体" w:hAnsi="宋体" w:eastAsia="宋体" w:cs="宋体"/>
                <w:color w:val="auto"/>
                <w:szCs w:val="22"/>
                <w:highlight w:val="none"/>
              </w:rPr>
              <w:t>④</w:t>
            </w:r>
          </w:p>
        </w:tc>
        <w:tc>
          <w:tcPr>
            <w:tcW w:w="784" w:type="pct"/>
            <w:gridSpan w:val="3"/>
            <w:noWrap/>
            <w:vAlign w:val="center"/>
          </w:tcPr>
          <w:p>
            <w:pPr>
              <w:pStyle w:val="84"/>
              <w:rPr>
                <w:color w:val="auto"/>
                <w:szCs w:val="20"/>
                <w:highlight w:val="none"/>
              </w:rPr>
            </w:pPr>
            <w:r>
              <w:rPr>
                <w:color w:val="auto"/>
                <w:highlight w:val="none"/>
              </w:rPr>
              <w:t>管线工程区</w:t>
            </w:r>
          </w:p>
        </w:tc>
        <w:tc>
          <w:tcPr>
            <w:tcW w:w="417" w:type="pct"/>
            <w:noWrap/>
            <w:vAlign w:val="center"/>
          </w:tcPr>
          <w:p>
            <w:pPr>
              <w:pStyle w:val="84"/>
              <w:rPr>
                <w:rFonts w:hint="eastAsia" w:eastAsia="仿宋_GB2312"/>
                <w:color w:val="auto"/>
                <w:highlight w:val="none"/>
                <w:lang w:eastAsia="zh-CN"/>
              </w:rPr>
            </w:pPr>
            <w:r>
              <w:rPr>
                <w:color w:val="auto"/>
                <w:highlight w:val="none"/>
              </w:rPr>
              <w:t>0.4</w:t>
            </w:r>
            <w:r>
              <w:rPr>
                <w:rFonts w:hint="eastAsia"/>
                <w:color w:val="auto"/>
                <w:highlight w:val="none"/>
                <w:lang w:val="en-US" w:eastAsia="zh-CN"/>
              </w:rPr>
              <w:t>5</w:t>
            </w:r>
          </w:p>
        </w:tc>
        <w:tc>
          <w:tcPr>
            <w:tcW w:w="606" w:type="pct"/>
            <w:gridSpan w:val="2"/>
            <w:noWrap/>
            <w:vAlign w:val="center"/>
          </w:tcPr>
          <w:p>
            <w:pPr>
              <w:pStyle w:val="84"/>
              <w:rPr>
                <w:color w:val="auto"/>
                <w:highlight w:val="none"/>
              </w:rPr>
            </w:pPr>
            <w:r>
              <w:rPr>
                <w:color w:val="auto"/>
                <w:highlight w:val="none"/>
              </w:rPr>
              <w:t>0.4</w:t>
            </w:r>
            <w:r>
              <w:rPr>
                <w:rFonts w:hint="eastAsia"/>
                <w:color w:val="auto"/>
                <w:highlight w:val="none"/>
                <w:lang w:val="en-US" w:eastAsia="zh-CN"/>
              </w:rPr>
              <w:t>5</w:t>
            </w:r>
            <w:r>
              <w:rPr>
                <w:color w:val="auto"/>
                <w:highlight w:val="none"/>
              </w:rPr>
              <w:t xml:space="preserve"> </w:t>
            </w:r>
          </w:p>
        </w:tc>
        <w:tc>
          <w:tcPr>
            <w:tcW w:w="515" w:type="pct"/>
            <w:noWrap/>
            <w:vAlign w:val="center"/>
          </w:tcPr>
          <w:p>
            <w:pPr>
              <w:pStyle w:val="84"/>
              <w:rPr>
                <w:color w:val="auto"/>
                <w:highlight w:val="none"/>
              </w:rPr>
            </w:pPr>
          </w:p>
        </w:tc>
        <w:tc>
          <w:tcPr>
            <w:tcW w:w="360" w:type="pct"/>
            <w:gridSpan w:val="4"/>
            <w:noWrap/>
            <w:vAlign w:val="center"/>
          </w:tcPr>
          <w:p>
            <w:pPr>
              <w:pStyle w:val="84"/>
              <w:rPr>
                <w:rFonts w:eastAsia="宋体"/>
                <w:color w:val="auto"/>
                <w:highlight w:val="none"/>
              </w:rPr>
            </w:pPr>
          </w:p>
        </w:tc>
        <w:tc>
          <w:tcPr>
            <w:tcW w:w="360" w:type="pct"/>
            <w:gridSpan w:val="2"/>
            <w:noWrap/>
            <w:vAlign w:val="center"/>
          </w:tcPr>
          <w:p>
            <w:pPr>
              <w:pStyle w:val="84"/>
              <w:rPr>
                <w:rFonts w:eastAsia="宋体"/>
                <w:color w:val="auto"/>
                <w:highlight w:val="none"/>
              </w:rPr>
            </w:pPr>
          </w:p>
        </w:tc>
        <w:tc>
          <w:tcPr>
            <w:tcW w:w="183" w:type="pct"/>
            <w:noWrap/>
            <w:vAlign w:val="center"/>
          </w:tcPr>
          <w:p>
            <w:pPr>
              <w:pStyle w:val="84"/>
              <w:rPr>
                <w:color w:val="auto"/>
                <w:highlight w:val="none"/>
              </w:rPr>
            </w:pPr>
          </w:p>
        </w:tc>
        <w:tc>
          <w:tcPr>
            <w:tcW w:w="452" w:type="pct"/>
            <w:gridSpan w:val="2"/>
            <w:noWrap/>
            <w:vAlign w:val="center"/>
          </w:tcPr>
          <w:p>
            <w:pPr>
              <w:pStyle w:val="84"/>
              <w:rPr>
                <w:color w:val="auto"/>
                <w:highlight w:val="none"/>
              </w:rPr>
            </w:pPr>
          </w:p>
        </w:tc>
        <w:tc>
          <w:tcPr>
            <w:tcW w:w="261" w:type="pct"/>
            <w:noWrap/>
            <w:vAlign w:val="center"/>
          </w:tcPr>
          <w:p>
            <w:pPr>
              <w:pStyle w:val="84"/>
              <w:rPr>
                <w:color w:val="auto"/>
                <w:highlight w:val="none"/>
              </w:rPr>
            </w:pPr>
          </w:p>
        </w:tc>
        <w:tc>
          <w:tcPr>
            <w:tcW w:w="261" w:type="pct"/>
            <w:noWrap/>
            <w:vAlign w:val="center"/>
          </w:tcPr>
          <w:p>
            <w:pPr>
              <w:pStyle w:val="84"/>
              <w:rPr>
                <w:color w:val="auto"/>
                <w:highlight w:val="none"/>
              </w:rPr>
            </w:pPr>
          </w:p>
        </w:tc>
        <w:tc>
          <w:tcPr>
            <w:tcW w:w="307" w:type="pct"/>
            <w:vMerge w:val="continue"/>
            <w:noWrap/>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88" w:type="pct"/>
            <w:noWrap/>
            <w:vAlign w:val="center"/>
          </w:tcPr>
          <w:p>
            <w:pPr>
              <w:pStyle w:val="84"/>
              <w:rPr>
                <w:color w:val="auto"/>
                <w:szCs w:val="20"/>
                <w:highlight w:val="none"/>
              </w:rPr>
            </w:pPr>
            <w:r>
              <w:rPr>
                <w:rFonts w:hint="eastAsia" w:ascii="宋体" w:hAnsi="宋体" w:eastAsia="宋体" w:cs="宋体"/>
                <w:color w:val="auto"/>
                <w:szCs w:val="20"/>
                <w:highlight w:val="none"/>
              </w:rPr>
              <w:t>⑤</w:t>
            </w:r>
          </w:p>
        </w:tc>
        <w:tc>
          <w:tcPr>
            <w:tcW w:w="784" w:type="pct"/>
            <w:gridSpan w:val="3"/>
            <w:noWrap/>
            <w:vAlign w:val="center"/>
          </w:tcPr>
          <w:p>
            <w:pPr>
              <w:pStyle w:val="84"/>
              <w:rPr>
                <w:color w:val="auto"/>
                <w:szCs w:val="20"/>
                <w:highlight w:val="none"/>
              </w:rPr>
            </w:pPr>
            <w:r>
              <w:rPr>
                <w:color w:val="auto"/>
                <w:highlight w:val="none"/>
              </w:rPr>
              <w:t>施工生产区</w:t>
            </w:r>
          </w:p>
        </w:tc>
        <w:tc>
          <w:tcPr>
            <w:tcW w:w="417" w:type="pct"/>
            <w:noWrap/>
            <w:vAlign w:val="center"/>
          </w:tcPr>
          <w:p>
            <w:pPr>
              <w:pStyle w:val="84"/>
              <w:rPr>
                <w:color w:val="auto"/>
                <w:highlight w:val="none"/>
              </w:rPr>
            </w:pPr>
          </w:p>
        </w:tc>
        <w:tc>
          <w:tcPr>
            <w:tcW w:w="606" w:type="pct"/>
            <w:gridSpan w:val="2"/>
            <w:noWrap/>
            <w:vAlign w:val="center"/>
          </w:tcPr>
          <w:p>
            <w:pPr>
              <w:pStyle w:val="84"/>
              <w:rPr>
                <w:color w:val="auto"/>
                <w:highlight w:val="none"/>
              </w:rPr>
            </w:pPr>
          </w:p>
        </w:tc>
        <w:tc>
          <w:tcPr>
            <w:tcW w:w="515" w:type="pct"/>
            <w:noWrap/>
            <w:vAlign w:val="center"/>
          </w:tcPr>
          <w:p>
            <w:pPr>
              <w:pStyle w:val="84"/>
              <w:rPr>
                <w:color w:val="auto"/>
                <w:highlight w:val="none"/>
              </w:rPr>
            </w:pPr>
          </w:p>
        </w:tc>
        <w:tc>
          <w:tcPr>
            <w:tcW w:w="360" w:type="pct"/>
            <w:gridSpan w:val="4"/>
            <w:noWrap/>
            <w:vAlign w:val="center"/>
          </w:tcPr>
          <w:p>
            <w:pPr>
              <w:pStyle w:val="84"/>
              <w:rPr>
                <w:rFonts w:eastAsia="宋体"/>
                <w:color w:val="auto"/>
                <w:highlight w:val="none"/>
              </w:rPr>
            </w:pPr>
          </w:p>
        </w:tc>
        <w:tc>
          <w:tcPr>
            <w:tcW w:w="360" w:type="pct"/>
            <w:gridSpan w:val="2"/>
            <w:noWrap/>
            <w:vAlign w:val="center"/>
          </w:tcPr>
          <w:p>
            <w:pPr>
              <w:pStyle w:val="84"/>
              <w:rPr>
                <w:rFonts w:eastAsia="宋体"/>
                <w:color w:val="auto"/>
                <w:highlight w:val="none"/>
              </w:rPr>
            </w:pPr>
          </w:p>
        </w:tc>
        <w:tc>
          <w:tcPr>
            <w:tcW w:w="183" w:type="pct"/>
            <w:noWrap/>
            <w:vAlign w:val="center"/>
          </w:tcPr>
          <w:p>
            <w:pPr>
              <w:pStyle w:val="84"/>
              <w:rPr>
                <w:color w:val="auto"/>
                <w:highlight w:val="none"/>
              </w:rPr>
            </w:pPr>
          </w:p>
        </w:tc>
        <w:tc>
          <w:tcPr>
            <w:tcW w:w="452" w:type="pct"/>
            <w:gridSpan w:val="2"/>
            <w:noWrap/>
            <w:vAlign w:val="center"/>
          </w:tcPr>
          <w:p>
            <w:pPr>
              <w:pStyle w:val="84"/>
              <w:rPr>
                <w:color w:val="auto"/>
                <w:highlight w:val="none"/>
              </w:rPr>
            </w:pPr>
          </w:p>
        </w:tc>
        <w:tc>
          <w:tcPr>
            <w:tcW w:w="261" w:type="pct"/>
            <w:noWrap/>
            <w:vAlign w:val="center"/>
          </w:tcPr>
          <w:p>
            <w:pPr>
              <w:pStyle w:val="84"/>
              <w:rPr>
                <w:color w:val="auto"/>
                <w:highlight w:val="none"/>
              </w:rPr>
            </w:pPr>
          </w:p>
        </w:tc>
        <w:tc>
          <w:tcPr>
            <w:tcW w:w="261" w:type="pct"/>
            <w:noWrap/>
            <w:vAlign w:val="center"/>
          </w:tcPr>
          <w:p>
            <w:pPr>
              <w:pStyle w:val="84"/>
              <w:rPr>
                <w:color w:val="auto"/>
                <w:highlight w:val="none"/>
              </w:rPr>
            </w:pPr>
          </w:p>
        </w:tc>
        <w:tc>
          <w:tcPr>
            <w:tcW w:w="307" w:type="pct"/>
            <w:vMerge w:val="continue"/>
            <w:noWrap/>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73" w:type="pct"/>
            <w:gridSpan w:val="4"/>
            <w:noWrap/>
            <w:vAlign w:val="center"/>
          </w:tcPr>
          <w:p>
            <w:pPr>
              <w:pStyle w:val="84"/>
              <w:rPr>
                <w:color w:val="auto"/>
                <w:highlight w:val="none"/>
              </w:rPr>
            </w:pPr>
            <w:r>
              <w:rPr>
                <w:color w:val="auto"/>
                <w:highlight w:val="none"/>
              </w:rPr>
              <w:t>合计</w:t>
            </w:r>
          </w:p>
        </w:tc>
        <w:tc>
          <w:tcPr>
            <w:tcW w:w="417" w:type="pct"/>
            <w:noWrap/>
            <w:vAlign w:val="center"/>
          </w:tcPr>
          <w:p>
            <w:pPr>
              <w:pStyle w:val="84"/>
              <w:rPr>
                <w:color w:val="auto"/>
                <w:highlight w:val="none"/>
              </w:rPr>
            </w:pPr>
            <w:r>
              <w:rPr>
                <w:color w:val="auto"/>
                <w:highlight w:val="none"/>
              </w:rPr>
              <w:t>2.1</w:t>
            </w:r>
            <w:r>
              <w:rPr>
                <w:rFonts w:hint="eastAsia"/>
                <w:color w:val="auto"/>
                <w:highlight w:val="none"/>
                <w:lang w:val="en-US" w:eastAsia="zh-CN"/>
              </w:rPr>
              <w:t>8</w:t>
            </w:r>
            <w:r>
              <w:rPr>
                <w:color w:val="auto"/>
                <w:highlight w:val="none"/>
              </w:rPr>
              <w:t xml:space="preserve"> </w:t>
            </w:r>
          </w:p>
        </w:tc>
        <w:tc>
          <w:tcPr>
            <w:tcW w:w="606" w:type="pct"/>
            <w:gridSpan w:val="2"/>
            <w:noWrap/>
            <w:vAlign w:val="center"/>
          </w:tcPr>
          <w:p>
            <w:pPr>
              <w:pStyle w:val="84"/>
              <w:rPr>
                <w:color w:val="auto"/>
                <w:highlight w:val="none"/>
              </w:rPr>
            </w:pPr>
            <w:r>
              <w:rPr>
                <w:color w:val="auto"/>
                <w:highlight w:val="none"/>
              </w:rPr>
              <w:t>2.1</w:t>
            </w:r>
            <w:r>
              <w:rPr>
                <w:rFonts w:hint="eastAsia"/>
                <w:color w:val="auto"/>
                <w:highlight w:val="none"/>
                <w:lang w:val="en-US" w:eastAsia="zh-CN"/>
              </w:rPr>
              <w:t>8</w:t>
            </w:r>
            <w:r>
              <w:rPr>
                <w:color w:val="auto"/>
                <w:highlight w:val="none"/>
              </w:rPr>
              <w:t xml:space="preserve"> </w:t>
            </w:r>
          </w:p>
        </w:tc>
        <w:tc>
          <w:tcPr>
            <w:tcW w:w="515" w:type="pct"/>
            <w:noWrap/>
            <w:vAlign w:val="center"/>
          </w:tcPr>
          <w:p>
            <w:pPr>
              <w:pStyle w:val="84"/>
              <w:rPr>
                <w:rFonts w:hint="default" w:eastAsia="宋体"/>
                <w:color w:val="auto"/>
                <w:sz w:val="22"/>
                <w:szCs w:val="22"/>
                <w:highlight w:val="none"/>
                <w:lang w:val="en-US" w:eastAsia="zh-CN"/>
              </w:rPr>
            </w:pPr>
            <w:r>
              <w:rPr>
                <w:rFonts w:hint="eastAsia" w:eastAsia="宋体"/>
                <w:color w:val="auto"/>
                <w:sz w:val="22"/>
                <w:highlight w:val="none"/>
                <w:lang w:val="en-US" w:eastAsia="zh-CN"/>
              </w:rPr>
              <w:t>1.09</w:t>
            </w:r>
          </w:p>
        </w:tc>
        <w:tc>
          <w:tcPr>
            <w:tcW w:w="360" w:type="pct"/>
            <w:gridSpan w:val="4"/>
            <w:noWrap/>
            <w:vAlign w:val="center"/>
          </w:tcPr>
          <w:p>
            <w:pPr>
              <w:pStyle w:val="84"/>
              <w:rPr>
                <w:rFonts w:eastAsia="宋体"/>
                <w:color w:val="auto"/>
                <w:highlight w:val="none"/>
              </w:rPr>
            </w:pPr>
          </w:p>
        </w:tc>
        <w:tc>
          <w:tcPr>
            <w:tcW w:w="360" w:type="pct"/>
            <w:gridSpan w:val="2"/>
            <w:noWrap/>
            <w:vAlign w:val="center"/>
          </w:tcPr>
          <w:p>
            <w:pPr>
              <w:pStyle w:val="84"/>
              <w:rPr>
                <w:rFonts w:hint="default" w:eastAsia="仿宋_GB2312"/>
                <w:color w:val="auto"/>
                <w:highlight w:val="none"/>
                <w:lang w:val="en-US" w:eastAsia="zh-CN"/>
              </w:rPr>
            </w:pPr>
            <w:r>
              <w:rPr>
                <w:rFonts w:hint="eastAsia"/>
                <w:color w:val="auto"/>
                <w:highlight w:val="none"/>
                <w:lang w:val="en-US" w:eastAsia="zh-CN"/>
              </w:rPr>
              <w:t>1.09</w:t>
            </w:r>
          </w:p>
        </w:tc>
        <w:tc>
          <w:tcPr>
            <w:tcW w:w="183" w:type="pct"/>
            <w:noWrap/>
            <w:vAlign w:val="center"/>
          </w:tcPr>
          <w:p>
            <w:pPr>
              <w:pStyle w:val="84"/>
              <w:rPr>
                <w:color w:val="auto"/>
                <w:highlight w:val="none"/>
              </w:rPr>
            </w:pPr>
          </w:p>
        </w:tc>
        <w:tc>
          <w:tcPr>
            <w:tcW w:w="452" w:type="pct"/>
            <w:gridSpan w:val="2"/>
            <w:noWrap/>
            <w:vAlign w:val="center"/>
          </w:tcPr>
          <w:p>
            <w:pPr>
              <w:pStyle w:val="84"/>
              <w:rPr>
                <w:color w:val="auto"/>
                <w:highlight w:val="none"/>
              </w:rPr>
            </w:pPr>
            <w:r>
              <w:rPr>
                <w:color w:val="auto"/>
                <w:highlight w:val="none"/>
              </w:rPr>
              <w:t>0</w:t>
            </w:r>
          </w:p>
        </w:tc>
        <w:tc>
          <w:tcPr>
            <w:tcW w:w="261" w:type="pct"/>
            <w:noWrap/>
            <w:vAlign w:val="center"/>
          </w:tcPr>
          <w:p>
            <w:pPr>
              <w:pStyle w:val="84"/>
              <w:rPr>
                <w:color w:val="auto"/>
                <w:highlight w:val="none"/>
              </w:rPr>
            </w:pPr>
          </w:p>
        </w:tc>
        <w:tc>
          <w:tcPr>
            <w:tcW w:w="261" w:type="pct"/>
            <w:noWrap/>
            <w:vAlign w:val="center"/>
          </w:tcPr>
          <w:p>
            <w:pPr>
              <w:pStyle w:val="84"/>
              <w:rPr>
                <w:color w:val="auto"/>
                <w:highlight w:val="none"/>
              </w:rPr>
            </w:pPr>
            <w:r>
              <w:rPr>
                <w:color w:val="auto"/>
                <w:highlight w:val="none"/>
              </w:rPr>
              <w:t>0</w:t>
            </w:r>
          </w:p>
        </w:tc>
        <w:tc>
          <w:tcPr>
            <w:tcW w:w="307" w:type="pct"/>
            <w:vMerge w:val="continue"/>
            <w:noWrap/>
            <w:vAlign w:val="center"/>
          </w:tcPr>
          <w:p>
            <w:pPr>
              <w:pStyle w:val="84"/>
              <w:rPr>
                <w:color w:val="auto"/>
                <w:highlight w:val="none"/>
              </w:rPr>
            </w:pPr>
          </w:p>
        </w:tc>
      </w:tr>
      <w:bookmarkEnd w:id="75"/>
    </w:tbl>
    <w:p>
      <w:pPr>
        <w:pStyle w:val="69"/>
        <w:rPr>
          <w:color w:val="auto"/>
          <w:highlight w:val="none"/>
        </w:rPr>
      </w:pPr>
      <w:r>
        <w:rPr>
          <w:color w:val="auto"/>
          <w:highlight w:val="none"/>
        </w:rPr>
        <w:t>2.1.2 工程布置</w:t>
      </w:r>
    </w:p>
    <w:p>
      <w:pPr>
        <w:pStyle w:val="72"/>
        <w:rPr>
          <w:color w:val="auto"/>
          <w:highlight w:val="none"/>
        </w:rPr>
      </w:pPr>
      <w:r>
        <w:rPr>
          <w:color w:val="auto"/>
          <w:highlight w:val="none"/>
        </w:rPr>
        <w:t>2.1.2.1 平面布置</w:t>
      </w:r>
    </w:p>
    <w:p>
      <w:pPr>
        <w:pStyle w:val="56"/>
        <w:ind w:firstLine="480"/>
        <w:rPr>
          <w:color w:val="auto"/>
          <w:highlight w:val="none"/>
        </w:rPr>
      </w:pPr>
      <w:r>
        <w:rPr>
          <w:color w:val="auto"/>
          <w:highlight w:val="none"/>
        </w:rPr>
        <w:t>本工程用地规整，建筑物沿场地分散布设，周边空地设置硬化以及景观绿化，场地规划布局合理，满足建设方使用需求，同时满足规划指标要求。本项目位于</w:t>
      </w:r>
      <w:r>
        <w:rPr>
          <w:rFonts w:hint="eastAsia"/>
          <w:color w:val="auto"/>
          <w:highlight w:val="none"/>
          <w:lang w:eastAsia="zh-CN"/>
        </w:rPr>
        <w:t>伊宁县公安局以南，新城路以北，文明路以东，703乡道以西</w:t>
      </w:r>
      <w:r>
        <w:rPr>
          <w:color w:val="auto"/>
          <w:szCs w:val="26"/>
          <w:highlight w:val="none"/>
        </w:rPr>
        <w:t>，紧邻道路布设</w:t>
      </w:r>
      <w:r>
        <w:rPr>
          <w:color w:val="auto"/>
          <w:highlight w:val="none"/>
        </w:rPr>
        <w:t>，在建成后，西侧布设一处出入口，连接</w:t>
      </w:r>
      <w:r>
        <w:rPr>
          <w:rFonts w:hint="eastAsia"/>
          <w:color w:val="auto"/>
          <w:highlight w:val="none"/>
          <w:lang w:eastAsia="zh-CN"/>
        </w:rPr>
        <w:t>文明路</w:t>
      </w:r>
      <w:r>
        <w:rPr>
          <w:color w:val="auto"/>
          <w:highlight w:val="none"/>
        </w:rPr>
        <w:t>。</w:t>
      </w:r>
    </w:p>
    <w:p>
      <w:pPr>
        <w:pStyle w:val="56"/>
        <w:ind w:firstLine="480"/>
        <w:rPr>
          <w:color w:val="auto"/>
          <w:highlight w:val="none"/>
        </w:rPr>
      </w:pPr>
      <w:r>
        <w:rPr>
          <w:color w:val="auto"/>
          <w:highlight w:val="none"/>
        </w:rPr>
        <w:t>本期工程项目区整体分为两块，</w:t>
      </w:r>
      <w:r>
        <w:rPr>
          <w:rFonts w:hint="eastAsia"/>
          <w:color w:val="auto"/>
          <w:highlight w:val="none"/>
          <w:lang w:eastAsia="zh-CN"/>
        </w:rPr>
        <w:t>东西</w:t>
      </w:r>
      <w:r>
        <w:rPr>
          <w:color w:val="auto"/>
          <w:highlight w:val="none"/>
        </w:rPr>
        <w:t>两块，</w:t>
      </w:r>
      <w:r>
        <w:rPr>
          <w:rFonts w:hint="eastAsia"/>
          <w:color w:val="auto"/>
          <w:highlight w:val="none"/>
          <w:lang w:eastAsia="zh-CN"/>
        </w:rPr>
        <w:t>西</w:t>
      </w:r>
      <w:r>
        <w:rPr>
          <w:color w:val="auto"/>
          <w:highlight w:val="none"/>
        </w:rPr>
        <w:t>侧</w:t>
      </w:r>
      <w:r>
        <w:rPr>
          <w:rFonts w:hint="eastAsia"/>
          <w:color w:val="auto"/>
          <w:highlight w:val="none"/>
          <w:lang w:eastAsia="zh-CN"/>
        </w:rPr>
        <w:t>出入口两边各</w:t>
      </w:r>
      <w:r>
        <w:rPr>
          <w:color w:val="auto"/>
          <w:highlight w:val="none"/>
        </w:rPr>
        <w:t>建设</w:t>
      </w:r>
      <w:r>
        <w:rPr>
          <w:rFonts w:hint="eastAsia"/>
          <w:color w:val="auto"/>
          <w:highlight w:val="none"/>
          <w:lang w:eastAsia="zh-CN"/>
        </w:rPr>
        <w:t>两栋商业楼，</w:t>
      </w:r>
      <w:r>
        <w:rPr>
          <w:rFonts w:hint="eastAsia"/>
          <w:color w:val="auto"/>
          <w:highlight w:val="none"/>
          <w:lang w:val="en-US" w:eastAsia="zh-CN"/>
        </w:rPr>
        <w:t>1</w:t>
      </w:r>
      <w:r>
        <w:rPr>
          <w:color w:val="auto"/>
          <w:highlight w:val="none"/>
        </w:rPr>
        <w:t>#</w:t>
      </w:r>
      <w:r>
        <w:rPr>
          <w:rFonts w:hint="eastAsia"/>
          <w:color w:val="auto"/>
          <w:highlight w:val="none"/>
          <w:lang w:eastAsia="zh-CN"/>
        </w:rPr>
        <w:t>商业楼位于西侧出入口以北；</w:t>
      </w:r>
      <w:r>
        <w:rPr>
          <w:rFonts w:hint="eastAsia"/>
          <w:color w:val="auto"/>
          <w:highlight w:val="none"/>
          <w:lang w:val="en-US" w:eastAsia="zh-CN"/>
        </w:rPr>
        <w:t>2</w:t>
      </w:r>
      <w:r>
        <w:rPr>
          <w:color w:val="auto"/>
          <w:highlight w:val="none"/>
        </w:rPr>
        <w:t>#</w:t>
      </w:r>
      <w:r>
        <w:rPr>
          <w:rFonts w:hint="eastAsia"/>
          <w:color w:val="auto"/>
          <w:highlight w:val="none"/>
          <w:lang w:eastAsia="zh-CN"/>
        </w:rPr>
        <w:t>商业楼位于西侧出入口以南</w:t>
      </w:r>
      <w:r>
        <w:rPr>
          <w:color w:val="auto"/>
          <w:highlight w:val="none"/>
        </w:rPr>
        <w:t>，</w:t>
      </w:r>
      <w:r>
        <w:rPr>
          <w:rFonts w:hint="eastAsia"/>
          <w:color w:val="auto"/>
          <w:highlight w:val="none"/>
          <w:lang w:eastAsia="zh-CN"/>
        </w:rPr>
        <w:t>其余住宅楼呈</w:t>
      </w:r>
      <w:r>
        <w:rPr>
          <w:color w:val="auto"/>
          <w:highlight w:val="none"/>
        </w:rPr>
        <w:t>南北走向，东西布设，</w:t>
      </w:r>
      <w:r>
        <w:rPr>
          <w:rFonts w:hint="eastAsia"/>
          <w:color w:val="auto"/>
          <w:highlight w:val="none"/>
          <w:lang w:eastAsia="zh-CN"/>
        </w:rPr>
        <w:t>由北向南，由西向东分别为</w:t>
      </w:r>
      <w:r>
        <w:rPr>
          <w:rFonts w:hint="eastAsia"/>
          <w:color w:val="auto"/>
          <w:highlight w:val="none"/>
          <w:lang w:val="en-US" w:eastAsia="zh-CN"/>
        </w:rPr>
        <w:t>1#、2#、5#、3#、6#、7#、8#、9#、10#住宅楼，</w:t>
      </w:r>
      <w:r>
        <w:rPr>
          <w:color w:val="auto"/>
          <w:highlight w:val="none"/>
        </w:rPr>
        <w:t>周边布设绿化以及道路。项目区景观绿化主要在建筑周围及项目区四周布置，并布置人行景观路，宽</w:t>
      </w:r>
      <w:r>
        <w:rPr>
          <w:rFonts w:hint="eastAsia"/>
          <w:color w:val="auto"/>
          <w:highlight w:val="none"/>
          <w:lang w:val="en-US" w:eastAsia="zh-CN"/>
        </w:rPr>
        <w:t>6</w:t>
      </w:r>
      <w:r>
        <w:rPr>
          <w:color w:val="auto"/>
          <w:highlight w:val="none"/>
        </w:rPr>
        <w:t>.0m，为项目区的整体布局营造一份美好的人文环境。同时主体设计在项目区内楼前布设环形道路，同时兼做消防通道，道路宽度为</w:t>
      </w:r>
      <w:r>
        <w:rPr>
          <w:rFonts w:hint="eastAsia"/>
          <w:color w:val="auto"/>
          <w:highlight w:val="none"/>
          <w:lang w:val="en-US" w:eastAsia="zh-CN"/>
        </w:rPr>
        <w:t>6</w:t>
      </w:r>
      <w:r>
        <w:rPr>
          <w:color w:val="auto"/>
          <w:highlight w:val="none"/>
        </w:rPr>
        <w:t>.0m，最小转弯半径</w:t>
      </w:r>
      <w:r>
        <w:rPr>
          <w:rFonts w:hint="eastAsia"/>
          <w:color w:val="auto"/>
          <w:highlight w:val="none"/>
          <w:lang w:val="en-US" w:eastAsia="zh-CN"/>
        </w:rPr>
        <w:t>8</w:t>
      </w:r>
      <w:r>
        <w:rPr>
          <w:color w:val="auto"/>
          <w:highlight w:val="none"/>
        </w:rPr>
        <w:t>m。同时主体设计在建构筑物及道路沿线空地设置地面停车位，共设置地面停车位2</w:t>
      </w:r>
      <w:r>
        <w:rPr>
          <w:rFonts w:hint="eastAsia"/>
          <w:color w:val="auto"/>
          <w:highlight w:val="none"/>
          <w:lang w:val="en-US" w:eastAsia="zh-CN"/>
        </w:rPr>
        <w:t>7</w:t>
      </w:r>
      <w:r>
        <w:rPr>
          <w:color w:val="auto"/>
          <w:highlight w:val="none"/>
        </w:rPr>
        <w:t>8</w:t>
      </w:r>
      <w:r>
        <w:rPr>
          <w:rFonts w:hint="eastAsia"/>
          <w:color w:val="auto"/>
          <w:highlight w:val="none"/>
          <w:lang w:eastAsia="zh-CN"/>
        </w:rPr>
        <w:t>辆</w:t>
      </w:r>
      <w:r>
        <w:rPr>
          <w:color w:val="auto"/>
          <w:highlight w:val="none"/>
        </w:rPr>
        <w:t>，基本能满足来访停车和住户停车的需求。同时本项目各类管线均由周边布设的市政管网接入。</w:t>
      </w:r>
    </w:p>
    <w:p>
      <w:pPr>
        <w:pStyle w:val="56"/>
        <w:ind w:firstLine="480"/>
        <w:rPr>
          <w:color w:val="auto"/>
          <w:highlight w:val="none"/>
        </w:rPr>
      </w:pPr>
      <w:r>
        <w:rPr>
          <w:color w:val="auto"/>
          <w:highlight w:val="none"/>
        </w:rPr>
        <w:t>经过现场踏勘，项目区位于</w:t>
      </w:r>
      <w:r>
        <w:rPr>
          <w:rFonts w:hint="default" w:ascii="Times New Roman" w:hAnsi="Times New Roman" w:eastAsia="仿宋_GB2312" w:cs="Times New Roman"/>
          <w:color w:val="auto"/>
          <w:highlight w:val="none"/>
        </w:rPr>
        <w:t>冲洪积平原区</w:t>
      </w:r>
      <w:r>
        <w:rPr>
          <w:rFonts w:hint="eastAsia" w:cs="Times New Roman"/>
          <w:color w:val="auto"/>
          <w:highlight w:val="none"/>
          <w:lang w:eastAsia="zh-CN"/>
        </w:rPr>
        <w:t>，</w:t>
      </w:r>
      <w:r>
        <w:rPr>
          <w:color w:val="auto"/>
          <w:highlight w:val="none"/>
        </w:rPr>
        <w:t>土壤类型以灰钙土为主。植被类型为荒漠植被，主要植被以蒿属-禾本科植被为主，有灰灰菜、野麻、蒲公英、马兰、芨芨草等，</w:t>
      </w:r>
      <w:r>
        <w:rPr>
          <w:rFonts w:hint="eastAsia"/>
          <w:color w:val="auto"/>
          <w:highlight w:val="none"/>
          <w:lang w:eastAsia="zh-CN"/>
        </w:rPr>
        <w:t>植被覆盖度20%</w:t>
      </w:r>
      <w:r>
        <w:rPr>
          <w:color w:val="auto"/>
          <w:highlight w:val="none"/>
        </w:rPr>
        <w:t>左右。</w:t>
      </w:r>
    </w:p>
    <w:p>
      <w:pPr>
        <w:pStyle w:val="72"/>
        <w:rPr>
          <w:color w:val="auto"/>
          <w:highlight w:val="none"/>
        </w:rPr>
      </w:pPr>
      <w:r>
        <w:rPr>
          <w:color w:val="auto"/>
          <w:highlight w:val="none"/>
        </w:rPr>
        <w:t>2.1.2.2 竖向布置</w:t>
      </w:r>
    </w:p>
    <w:p>
      <w:pPr>
        <w:pStyle w:val="56"/>
        <w:ind w:firstLine="480"/>
        <w:rPr>
          <w:color w:val="auto"/>
          <w:highlight w:val="none"/>
        </w:rPr>
      </w:pPr>
      <w:r>
        <w:rPr>
          <w:color w:val="auto"/>
          <w:highlight w:val="none"/>
        </w:rPr>
        <w:t>总图竖向布置的原则：尽量利用自然地形，减少土石方工程，并且在满足设计要求的同时，与后期周边规划场地标高一致。结合工程场地的实际情况和总平面布置，在满足作为生活区后期使用要求的情况下，达到一定的平整要求。</w:t>
      </w:r>
    </w:p>
    <w:p>
      <w:pPr>
        <w:pStyle w:val="56"/>
        <w:ind w:firstLine="480"/>
        <w:rPr>
          <w:color w:val="auto"/>
          <w:highlight w:val="none"/>
        </w:rPr>
      </w:pPr>
      <w:r>
        <w:rPr>
          <w:color w:val="auto"/>
          <w:highlight w:val="none"/>
        </w:rPr>
        <w:t>根据现场勘查，拟建场地位于</w:t>
      </w:r>
      <w:r>
        <w:rPr>
          <w:rFonts w:hint="eastAsia"/>
          <w:color w:val="auto"/>
          <w:highlight w:val="none"/>
          <w:lang w:eastAsia="zh-CN"/>
        </w:rPr>
        <w:t>伊宁</w:t>
      </w:r>
      <w:r>
        <w:rPr>
          <w:color w:val="auto"/>
          <w:highlight w:val="none"/>
        </w:rPr>
        <w:t>县县城</w:t>
      </w:r>
      <w:r>
        <w:rPr>
          <w:rFonts w:hint="eastAsia"/>
          <w:color w:val="auto"/>
          <w:highlight w:val="none"/>
          <w:lang w:eastAsia="zh-CN"/>
        </w:rPr>
        <w:t>西南</w:t>
      </w:r>
      <w:r>
        <w:rPr>
          <w:color w:val="auto"/>
          <w:highlight w:val="none"/>
        </w:rPr>
        <w:t>部，地貌属于冲洪积平原区，整体地势平坦开阔，总体南高北低，东高西低，自然地面高程在7</w:t>
      </w:r>
      <w:r>
        <w:rPr>
          <w:rFonts w:hint="eastAsia"/>
          <w:color w:val="auto"/>
          <w:highlight w:val="none"/>
          <w:lang w:val="en-US" w:eastAsia="zh-CN"/>
        </w:rPr>
        <w:t>65.87</w:t>
      </w:r>
      <w:r>
        <w:rPr>
          <w:color w:val="auto"/>
          <w:highlight w:val="none"/>
        </w:rPr>
        <w:t>m～7</w:t>
      </w:r>
      <w:r>
        <w:rPr>
          <w:rFonts w:hint="eastAsia"/>
          <w:color w:val="auto"/>
          <w:highlight w:val="none"/>
          <w:lang w:val="en-US" w:eastAsia="zh-CN"/>
        </w:rPr>
        <w:t>67.30</w:t>
      </w:r>
      <w:r>
        <w:rPr>
          <w:color w:val="auto"/>
          <w:highlight w:val="none"/>
        </w:rPr>
        <w:t>m之间，</w:t>
      </w:r>
      <w:r>
        <w:rPr>
          <w:rFonts w:hint="eastAsia"/>
          <w:color w:val="auto"/>
          <w:highlight w:val="none"/>
        </w:rPr>
        <w:t>项目区整体采用缓坡设计，主体考虑项目区高差情况，为最大程度减少项目区挖方及弃渣，主体设计提高建构筑物地坪标高，建构筑物基础开挖时减少开挖深度，将基坑开挖土方回填项目区场地，达到设计标高要求。</w:t>
      </w:r>
    </w:p>
    <w:p>
      <w:pPr>
        <w:pStyle w:val="56"/>
        <w:ind w:firstLine="480"/>
        <w:rPr>
          <w:color w:val="auto"/>
          <w:highlight w:val="none"/>
        </w:rPr>
      </w:pPr>
      <w:r>
        <w:rPr>
          <w:color w:val="auto"/>
          <w:highlight w:val="none"/>
        </w:rPr>
        <w:t>本项目主要建筑物设计地面海拔高程为7</w:t>
      </w:r>
      <w:r>
        <w:rPr>
          <w:rFonts w:hint="eastAsia"/>
          <w:color w:val="auto"/>
          <w:highlight w:val="none"/>
          <w:lang w:val="en-US" w:eastAsia="zh-CN"/>
        </w:rPr>
        <w:t>65.87</w:t>
      </w:r>
      <w:r>
        <w:rPr>
          <w:color w:val="auto"/>
          <w:highlight w:val="none"/>
        </w:rPr>
        <w:t>m～7</w:t>
      </w:r>
      <w:r>
        <w:rPr>
          <w:rFonts w:hint="eastAsia"/>
          <w:color w:val="auto"/>
          <w:highlight w:val="none"/>
          <w:lang w:val="en-US" w:eastAsia="zh-CN"/>
        </w:rPr>
        <w:t>67.30</w:t>
      </w:r>
      <w:r>
        <w:rPr>
          <w:color w:val="auto"/>
          <w:highlight w:val="none"/>
        </w:rPr>
        <w:t>m，建筑物基础为条形基础，住宅楼埋深2.50m，同时设置半地下结构地下室，地下室地下部分2.20m；商业楼为条形基础，基础埋深</w:t>
      </w:r>
      <w:r>
        <w:rPr>
          <w:rFonts w:hint="eastAsia"/>
          <w:color w:val="auto"/>
          <w:highlight w:val="none"/>
          <w:lang w:val="en-US" w:eastAsia="zh-CN"/>
        </w:rPr>
        <w:t>1.5</w:t>
      </w:r>
      <w:r>
        <w:rPr>
          <w:color w:val="auto"/>
          <w:highlight w:val="none"/>
        </w:rPr>
        <w:t>m</w:t>
      </w:r>
      <w:r>
        <w:rPr>
          <w:rFonts w:hint="eastAsia"/>
          <w:color w:val="auto"/>
          <w:highlight w:val="none"/>
          <w:lang w:eastAsia="zh-CN"/>
        </w:rPr>
        <w:t>（</w:t>
      </w:r>
      <w:r>
        <w:rPr>
          <w:rFonts w:hint="eastAsia"/>
          <w:color w:val="auto"/>
          <w:highlight w:val="none"/>
          <w:lang w:val="en-US" w:eastAsia="zh-CN"/>
        </w:rPr>
        <w:t>2#商业楼地下部分基础深埋3.00m</w:t>
      </w:r>
      <w:r>
        <w:rPr>
          <w:rFonts w:hint="eastAsia"/>
          <w:color w:val="auto"/>
          <w:highlight w:val="none"/>
          <w:lang w:eastAsia="zh-CN"/>
        </w:rPr>
        <w:t>）</w:t>
      </w:r>
      <w:r>
        <w:rPr>
          <w:color w:val="auto"/>
          <w:highlight w:val="none"/>
        </w:rPr>
        <w:t>；道路及硬化场地依据项目区原地形高差设置为南高北低，东高西低，设计坡降为i=0.2～6.5</w:t>
      </w:r>
      <w:r>
        <w:rPr>
          <w:rFonts w:hint="eastAsia"/>
          <w:color w:val="auto"/>
          <w:highlight w:val="none"/>
          <w:lang w:val="en-US" w:eastAsia="zh-CN"/>
        </w:rPr>
        <w:t>%</w:t>
      </w:r>
      <w:r>
        <w:rPr>
          <w:color w:val="auto"/>
          <w:highlight w:val="none"/>
        </w:rPr>
        <w:t>。</w:t>
      </w:r>
    </w:p>
    <w:p>
      <w:pPr>
        <w:pStyle w:val="56"/>
        <w:ind w:firstLine="480"/>
        <w:rPr>
          <w:color w:val="auto"/>
          <w:highlight w:val="none"/>
        </w:rPr>
      </w:pPr>
      <w:r>
        <w:rPr>
          <w:color w:val="auto"/>
          <w:highlight w:val="none"/>
        </w:rPr>
        <w:t>项目区位于</w:t>
      </w:r>
      <w:r>
        <w:rPr>
          <w:rFonts w:hint="eastAsia"/>
          <w:color w:val="auto"/>
          <w:highlight w:val="none"/>
          <w:lang w:eastAsia="zh-CN"/>
        </w:rPr>
        <w:t>伊犁哈萨克自治州伊宁县</w:t>
      </w:r>
      <w:r>
        <w:rPr>
          <w:color w:val="auto"/>
          <w:highlight w:val="none"/>
        </w:rPr>
        <w:t>内，降雨量约</w:t>
      </w:r>
      <w:r>
        <w:rPr>
          <w:rFonts w:hint="eastAsia"/>
          <w:color w:val="auto"/>
          <w:highlight w:val="none"/>
          <w:lang w:val="en-US" w:eastAsia="zh-CN"/>
        </w:rPr>
        <w:t>309</w:t>
      </w:r>
      <w:r>
        <w:rPr>
          <w:color w:val="auto"/>
          <w:highlight w:val="none"/>
        </w:rPr>
        <w:t>mm，原地貌植被覆盖度为</w:t>
      </w:r>
      <w:r>
        <w:rPr>
          <w:rFonts w:hint="eastAsia"/>
          <w:color w:val="auto"/>
          <w:highlight w:val="none"/>
          <w:lang w:val="en-US" w:eastAsia="zh-CN"/>
        </w:rPr>
        <w:t>2</w:t>
      </w:r>
      <w:r>
        <w:rPr>
          <w:rFonts w:hint="eastAsia"/>
          <w:color w:val="auto"/>
          <w:highlight w:val="none"/>
        </w:rPr>
        <w:t>0</w:t>
      </w:r>
      <w:r>
        <w:rPr>
          <w:color w:val="auto"/>
          <w:highlight w:val="none"/>
        </w:rPr>
        <w:t>%左右。主体工程根据现有高程调整设计成从东向西</w:t>
      </w:r>
      <w:r>
        <w:rPr>
          <w:rFonts w:hint="eastAsia"/>
          <w:color w:val="auto"/>
          <w:highlight w:val="none"/>
          <w:lang w:eastAsia="zh-CN"/>
        </w:rPr>
        <w:t>，从南向北</w:t>
      </w:r>
      <w:r>
        <w:rPr>
          <w:color w:val="auto"/>
          <w:highlight w:val="none"/>
        </w:rPr>
        <w:t>整体找坡，尽量减少土方量。主体考虑项目区降水稀少，仅多为短时强降雨，但蒸发快，因此主体未考虑在项目区内布设雨水排水管网，同时项目区设计较为平整，不受低洼汇水影响。同时主体降雨期间利用道路设计纵坡将出入口周边汇水排至项目区外市政道路或项目区降雨顺地势沿道路排入绿化景观带内，污水排至项目区</w:t>
      </w:r>
      <w:r>
        <w:rPr>
          <w:rFonts w:hint="eastAsia"/>
          <w:color w:val="auto"/>
          <w:szCs w:val="26"/>
          <w:highlight w:val="none"/>
          <w:lang w:eastAsia="zh-CN"/>
        </w:rPr>
        <w:t>西</w:t>
      </w:r>
      <w:r>
        <w:rPr>
          <w:color w:val="auto"/>
          <w:szCs w:val="26"/>
          <w:highlight w:val="none"/>
        </w:rPr>
        <w:t>侧紧邻的</w:t>
      </w:r>
      <w:r>
        <w:rPr>
          <w:rFonts w:hint="eastAsia"/>
          <w:color w:val="auto"/>
          <w:szCs w:val="26"/>
          <w:highlight w:val="none"/>
          <w:lang w:eastAsia="zh-CN"/>
        </w:rPr>
        <w:t>文明</w:t>
      </w:r>
      <w:r>
        <w:rPr>
          <w:color w:val="auto"/>
          <w:szCs w:val="26"/>
          <w:highlight w:val="none"/>
        </w:rPr>
        <w:t>路</w:t>
      </w:r>
      <w:r>
        <w:rPr>
          <w:color w:val="auto"/>
          <w:highlight w:val="none"/>
        </w:rPr>
        <w:t>市政污水管网。</w:t>
      </w:r>
    </w:p>
    <w:p>
      <w:pPr>
        <w:pStyle w:val="69"/>
        <w:rPr>
          <w:color w:val="auto"/>
          <w:highlight w:val="none"/>
        </w:rPr>
      </w:pPr>
      <w:r>
        <w:rPr>
          <w:color w:val="auto"/>
          <w:highlight w:val="none"/>
        </w:rPr>
        <w:t>2.1.3 项目组成</w:t>
      </w:r>
    </w:p>
    <w:p>
      <w:pPr>
        <w:pStyle w:val="56"/>
        <w:ind w:firstLine="480"/>
        <w:rPr>
          <w:color w:val="auto"/>
          <w:highlight w:val="none"/>
        </w:rPr>
      </w:pPr>
      <w:r>
        <w:rPr>
          <w:color w:val="auto"/>
          <w:highlight w:val="none"/>
        </w:rPr>
        <w:t>本项目主要由建构筑物区、绿化区、道路及硬化区、管线工程区以及施工生产区组成。其中主体工程包括建构筑物区、绿化区、道路及硬化区和管线工程区。施工生产区在施工组织一节中详细介绍。</w:t>
      </w:r>
    </w:p>
    <w:p>
      <w:pPr>
        <w:pStyle w:val="75"/>
        <w:rPr>
          <w:color w:val="auto"/>
          <w:highlight w:val="none"/>
        </w:rPr>
      </w:pPr>
      <w:r>
        <w:rPr>
          <w:color w:val="auto"/>
          <w:highlight w:val="none"/>
        </w:rPr>
        <w:t>表2.1-2     主体工程项目组成及主要建设内容</w:t>
      </w:r>
    </w:p>
    <w:tbl>
      <w:tblPr>
        <w:tblStyle w:val="27"/>
        <w:tblW w:w="501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9"/>
        <w:gridCol w:w="7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842" w:type="pct"/>
            <w:vAlign w:val="center"/>
          </w:tcPr>
          <w:p>
            <w:pPr>
              <w:pStyle w:val="84"/>
              <w:rPr>
                <w:color w:val="auto"/>
                <w:highlight w:val="none"/>
              </w:rPr>
            </w:pPr>
            <w:r>
              <w:rPr>
                <w:color w:val="auto"/>
                <w:highlight w:val="none"/>
              </w:rPr>
              <w:t>分区名称</w:t>
            </w:r>
          </w:p>
        </w:tc>
        <w:tc>
          <w:tcPr>
            <w:tcW w:w="4158" w:type="pct"/>
            <w:vAlign w:val="center"/>
          </w:tcPr>
          <w:p>
            <w:pPr>
              <w:pStyle w:val="84"/>
              <w:rPr>
                <w:color w:val="auto"/>
                <w:highlight w:val="none"/>
              </w:rPr>
            </w:pPr>
            <w:r>
              <w:rPr>
                <w:color w:val="auto"/>
                <w:highlight w:val="none"/>
              </w:rPr>
              <w:t>项目组成（为主体工程包括内容）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842" w:type="pct"/>
            <w:vAlign w:val="center"/>
          </w:tcPr>
          <w:p>
            <w:pPr>
              <w:pStyle w:val="84"/>
              <w:rPr>
                <w:color w:val="auto"/>
                <w:highlight w:val="none"/>
              </w:rPr>
            </w:pPr>
            <w:r>
              <w:rPr>
                <w:color w:val="auto"/>
                <w:highlight w:val="none"/>
              </w:rPr>
              <w:t>建构筑物区</w:t>
            </w:r>
          </w:p>
        </w:tc>
        <w:tc>
          <w:tcPr>
            <w:tcW w:w="4158" w:type="pct"/>
            <w:vAlign w:val="center"/>
          </w:tcPr>
          <w:p>
            <w:pPr>
              <w:pStyle w:val="84"/>
              <w:rPr>
                <w:color w:val="auto"/>
                <w:highlight w:val="none"/>
              </w:rPr>
            </w:pPr>
            <w:r>
              <w:rPr>
                <w:rFonts w:hint="default" w:ascii="Times New Roman" w:hAnsi="Times New Roman" w:eastAsia="仿宋_GB2312" w:cs="Times New Roman"/>
                <w:color w:val="auto"/>
                <w:highlight w:val="none"/>
              </w:rPr>
              <w:t>本项目地上建筑面积为</w:t>
            </w:r>
            <w:r>
              <w:rPr>
                <w:rFonts w:hint="default" w:ascii="Times New Roman" w:hAnsi="Times New Roman" w:eastAsia="仿宋_GB2312" w:cs="Times New Roman"/>
                <w:color w:val="auto"/>
                <w:highlight w:val="none"/>
                <w:lang w:eastAsia="zh-CN"/>
              </w:rPr>
              <w:t>33970</w:t>
            </w:r>
            <w:r>
              <w:rPr>
                <w:rFonts w:hint="default" w:ascii="Times New Roman" w:hAnsi="Times New Roman" w:eastAsia="仿宋_GB2312" w:cs="Times New Roman"/>
                <w:color w:val="auto"/>
                <w:highlight w:val="none"/>
              </w:rPr>
              <w:t>m²（主要包括9栋多层住宅楼、</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rPr>
              <w:t>栋商业楼</w:t>
            </w:r>
            <w:r>
              <w:rPr>
                <w:rFonts w:hint="default" w:ascii="Times New Roman" w:hAnsi="Times New Roman" w:eastAsia="仿宋_GB2312" w:cs="Times New Roman"/>
                <w:color w:val="auto"/>
                <w:highlight w:val="none"/>
                <w:lang w:eastAsia="zh-CN"/>
              </w:rPr>
              <w:t>、</w:t>
            </w:r>
            <w:r>
              <w:rPr>
                <w:rFonts w:hint="eastAsia" w:ascii="Times New Roman" w:hAnsi="Times New Roman" w:cs="Times New Roman"/>
                <w:color w:val="auto"/>
                <w:highlight w:val="none"/>
                <w:lang w:val="en-US" w:eastAsia="zh-CN"/>
              </w:rPr>
              <w:t>1栋</w:t>
            </w:r>
            <w:r>
              <w:rPr>
                <w:rFonts w:hint="default" w:ascii="Times New Roman" w:hAnsi="Times New Roman" w:eastAsia="仿宋_GB2312" w:cs="Times New Roman"/>
                <w:color w:val="auto"/>
                <w:highlight w:val="none"/>
                <w:lang w:eastAsia="zh-CN"/>
              </w:rPr>
              <w:t>警卫室、垃圾收集点、天然气调压站</w:t>
            </w:r>
            <w:r>
              <w:rPr>
                <w:rFonts w:hint="default" w:ascii="Times New Roman" w:hAnsi="Times New Roman" w:eastAsia="仿宋_GB2312" w:cs="Times New Roman"/>
                <w:color w:val="auto"/>
                <w:highlight w:val="none"/>
              </w:rPr>
              <w:t>），包括9栋住宅建筑面积</w:t>
            </w:r>
            <w:r>
              <w:rPr>
                <w:rFonts w:hint="default" w:ascii="Times New Roman" w:hAnsi="Times New Roman" w:eastAsia="仿宋_GB2312" w:cs="Times New Roman"/>
                <w:color w:val="auto"/>
                <w:highlight w:val="none"/>
                <w:lang w:val="en-US" w:eastAsia="zh-CN"/>
              </w:rPr>
              <w:t>31371</w:t>
            </w:r>
            <w:r>
              <w:rPr>
                <w:rFonts w:hint="default" w:ascii="Times New Roman" w:hAnsi="Times New Roman" w:eastAsia="仿宋_GB2312" w:cs="Times New Roman"/>
                <w:color w:val="auto"/>
                <w:highlight w:val="none"/>
              </w:rPr>
              <w:t>m²，</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rPr>
              <w:t>栋商业建筑面积</w:t>
            </w:r>
            <w:r>
              <w:rPr>
                <w:rFonts w:hint="default" w:ascii="Times New Roman" w:hAnsi="Times New Roman" w:eastAsia="仿宋_GB2312" w:cs="Times New Roman"/>
                <w:color w:val="auto"/>
                <w:highlight w:val="none"/>
                <w:lang w:val="en-US" w:eastAsia="zh-CN"/>
              </w:rPr>
              <w:t>7505</w:t>
            </w:r>
            <w:r>
              <w:rPr>
                <w:rFonts w:hint="default" w:ascii="Times New Roman" w:hAnsi="Times New Roman" w:eastAsia="仿宋_GB2312" w:cs="Times New Roman"/>
                <w:color w:val="auto"/>
                <w:highlight w:val="none"/>
              </w:rPr>
              <w:t>m²</w:t>
            </w:r>
            <w:r>
              <w:rPr>
                <w:rFonts w:hint="default" w:ascii="Times New Roman" w:hAnsi="Times New Roman" w:eastAsia="仿宋_GB2312" w:cs="Times New Roman"/>
                <w:color w:val="auto"/>
                <w:highlight w:val="none"/>
                <w:lang w:eastAsia="zh-CN"/>
              </w:rPr>
              <w:t>，警卫室面积</w:t>
            </w:r>
            <w:r>
              <w:rPr>
                <w:rFonts w:hint="default" w:ascii="Times New Roman" w:hAnsi="Times New Roman" w:eastAsia="仿宋_GB2312" w:cs="Times New Roman"/>
                <w:color w:val="auto"/>
                <w:highlight w:val="none"/>
                <w:lang w:val="en-US" w:eastAsia="zh-CN"/>
              </w:rPr>
              <w:t>12</w:t>
            </w:r>
            <w:r>
              <w:rPr>
                <w:rFonts w:hint="default" w:ascii="Times New Roman" w:hAnsi="Times New Roman" w:eastAsia="仿宋_GB2312" w:cs="Times New Roman"/>
                <w:color w:val="auto"/>
                <w:highlight w:val="none"/>
              </w:rPr>
              <w:t>m²</w:t>
            </w:r>
            <w:r>
              <w:rPr>
                <w:rFonts w:hint="default" w:ascii="Times New Roman" w:hAnsi="Times New Roman" w:eastAsia="仿宋_GB2312" w:cs="Times New Roman"/>
                <w:color w:val="auto"/>
                <w:highlight w:val="none"/>
                <w:lang w:val="en-US" w:eastAsia="zh-CN"/>
              </w:rPr>
              <w:t>，垃圾收集点20</w:t>
            </w:r>
            <w:r>
              <w:rPr>
                <w:rFonts w:hint="default" w:ascii="Times New Roman" w:hAnsi="Times New Roman" w:eastAsia="仿宋_GB2312" w:cs="Times New Roman"/>
                <w:color w:val="auto"/>
                <w:highlight w:val="none"/>
              </w:rPr>
              <w:t>m²</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eastAsia="zh-CN"/>
              </w:rPr>
              <w:t>天然气调压站</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rPr>
              <w:t>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842" w:type="pct"/>
            <w:vAlign w:val="center"/>
          </w:tcPr>
          <w:p>
            <w:pPr>
              <w:pStyle w:val="84"/>
              <w:rPr>
                <w:color w:val="auto"/>
                <w:highlight w:val="none"/>
              </w:rPr>
            </w:pPr>
            <w:r>
              <w:rPr>
                <w:color w:val="auto"/>
                <w:highlight w:val="none"/>
              </w:rPr>
              <w:t>绿化区</w:t>
            </w:r>
          </w:p>
        </w:tc>
        <w:tc>
          <w:tcPr>
            <w:tcW w:w="4158" w:type="pct"/>
            <w:vAlign w:val="center"/>
          </w:tcPr>
          <w:p>
            <w:pPr>
              <w:pStyle w:val="84"/>
              <w:rPr>
                <w:color w:val="auto"/>
                <w:highlight w:val="none"/>
              </w:rPr>
            </w:pPr>
            <w:r>
              <w:rPr>
                <w:color w:val="auto"/>
                <w:highlight w:val="none"/>
              </w:rPr>
              <w:t>项目区内景观绿化，绿化面积</w:t>
            </w:r>
            <w:r>
              <w:rPr>
                <w:rFonts w:hint="eastAsia"/>
                <w:color w:val="auto"/>
                <w:highlight w:val="none"/>
                <w:lang w:val="en-US" w:eastAsia="zh-CN"/>
              </w:rPr>
              <w:t>1.21</w:t>
            </w:r>
            <w:r>
              <w:rPr>
                <w:color w:val="auto"/>
                <w:highlight w:val="none"/>
              </w:rPr>
              <w:t>hm²，栽植乔灌木、种植草坪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842" w:type="pct"/>
            <w:vAlign w:val="center"/>
          </w:tcPr>
          <w:p>
            <w:pPr>
              <w:pStyle w:val="84"/>
              <w:rPr>
                <w:color w:val="auto"/>
                <w:highlight w:val="none"/>
              </w:rPr>
            </w:pPr>
            <w:r>
              <w:rPr>
                <w:color w:val="auto"/>
                <w:highlight w:val="none"/>
              </w:rPr>
              <w:t>道路及硬化区</w:t>
            </w:r>
          </w:p>
        </w:tc>
        <w:tc>
          <w:tcPr>
            <w:tcW w:w="4158" w:type="pct"/>
            <w:vAlign w:val="center"/>
          </w:tcPr>
          <w:p>
            <w:pPr>
              <w:pStyle w:val="84"/>
              <w:rPr>
                <w:color w:val="auto"/>
                <w:highlight w:val="none"/>
              </w:rPr>
            </w:pPr>
            <w:r>
              <w:rPr>
                <w:color w:val="auto"/>
                <w:highlight w:val="none"/>
              </w:rPr>
              <w:t>建构筑物周边采取硬化，同时对外连接道路设置硬化地面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842" w:type="pct"/>
            <w:vAlign w:val="center"/>
          </w:tcPr>
          <w:p>
            <w:pPr>
              <w:pStyle w:val="84"/>
              <w:rPr>
                <w:color w:val="auto"/>
                <w:highlight w:val="none"/>
              </w:rPr>
            </w:pPr>
            <w:r>
              <w:rPr>
                <w:color w:val="auto"/>
                <w:highlight w:val="none"/>
              </w:rPr>
              <w:t>管线工程区</w:t>
            </w:r>
          </w:p>
        </w:tc>
        <w:tc>
          <w:tcPr>
            <w:tcW w:w="4158" w:type="pct"/>
            <w:vAlign w:val="center"/>
          </w:tcPr>
          <w:p>
            <w:pPr>
              <w:pStyle w:val="84"/>
              <w:rPr>
                <w:color w:val="auto"/>
                <w:highlight w:val="none"/>
              </w:rPr>
            </w:pPr>
            <w:r>
              <w:rPr>
                <w:color w:val="auto"/>
                <w:highlight w:val="none"/>
              </w:rPr>
              <w:t>本项目配套管线主要为给水消防、排水、强电、弱电、供热以及燃气管线</w:t>
            </w:r>
            <w:r>
              <w:rPr>
                <w:color w:val="auto"/>
                <w:szCs w:val="26"/>
                <w:highlight w:val="none"/>
              </w:rPr>
              <w:t>。</w:t>
            </w:r>
          </w:p>
        </w:tc>
      </w:tr>
    </w:tbl>
    <w:p>
      <w:pPr>
        <w:pStyle w:val="72"/>
        <w:rPr>
          <w:color w:val="auto"/>
          <w:highlight w:val="none"/>
        </w:rPr>
      </w:pPr>
      <w:r>
        <w:rPr>
          <w:color w:val="auto"/>
          <w:highlight w:val="none"/>
        </w:rPr>
        <w:t>2.1.3.1 建构筑物区</w:t>
      </w:r>
    </w:p>
    <w:p>
      <w:pPr>
        <w:pStyle w:val="56"/>
        <w:ind w:firstLine="480"/>
        <w:rPr>
          <w:color w:val="auto"/>
          <w:highlight w:val="none"/>
        </w:rPr>
      </w:pPr>
      <w:r>
        <w:rPr>
          <w:color w:val="auto"/>
          <w:highlight w:val="none"/>
        </w:rPr>
        <w:t>本项目建构筑物区占地共计0.</w:t>
      </w:r>
      <w:r>
        <w:rPr>
          <w:rFonts w:hint="eastAsia"/>
          <w:color w:val="auto"/>
          <w:highlight w:val="none"/>
          <w:lang w:val="en-US" w:eastAsia="zh-CN"/>
        </w:rPr>
        <w:t>73</w:t>
      </w:r>
      <w:r>
        <w:rPr>
          <w:color w:val="auto"/>
          <w:highlight w:val="none"/>
        </w:rPr>
        <w:t>hm²，本项目建构筑物区主要建设内容包括9栋住宅楼（包括</w:t>
      </w:r>
      <w:r>
        <w:rPr>
          <w:rFonts w:hint="eastAsia"/>
          <w:color w:val="auto"/>
          <w:highlight w:val="none"/>
          <w:lang w:val="en-US" w:eastAsia="zh-CN"/>
        </w:rPr>
        <w:t>1</w:t>
      </w:r>
      <w:r>
        <w:rPr>
          <w:color w:val="auto"/>
          <w:highlight w:val="none"/>
        </w:rPr>
        <w:t>#、</w:t>
      </w:r>
      <w:r>
        <w:rPr>
          <w:rFonts w:hint="eastAsia"/>
          <w:color w:val="auto"/>
          <w:highlight w:val="none"/>
          <w:lang w:val="en-US" w:eastAsia="zh-CN"/>
        </w:rPr>
        <w:t>2</w:t>
      </w: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5</w:t>
      </w:r>
      <w:r>
        <w:rPr>
          <w:color w:val="auto"/>
          <w:highlight w:val="none"/>
        </w:rPr>
        <w:t>#、</w:t>
      </w:r>
      <w:r>
        <w:rPr>
          <w:rFonts w:hint="eastAsia"/>
          <w:color w:val="auto"/>
          <w:highlight w:val="none"/>
          <w:lang w:val="en-US" w:eastAsia="zh-CN"/>
        </w:rPr>
        <w:t>6</w:t>
      </w:r>
      <w:r>
        <w:rPr>
          <w:color w:val="auto"/>
          <w:highlight w:val="none"/>
        </w:rPr>
        <w:t>#、</w:t>
      </w:r>
      <w:r>
        <w:rPr>
          <w:rFonts w:hint="eastAsia"/>
          <w:color w:val="auto"/>
          <w:highlight w:val="none"/>
          <w:lang w:val="en-US" w:eastAsia="zh-CN"/>
        </w:rPr>
        <w:t>7</w:t>
      </w:r>
      <w:r>
        <w:rPr>
          <w:color w:val="auto"/>
          <w:highlight w:val="none"/>
        </w:rPr>
        <w:t>#、</w:t>
      </w:r>
      <w:r>
        <w:rPr>
          <w:rFonts w:hint="eastAsia"/>
          <w:color w:val="auto"/>
          <w:highlight w:val="none"/>
          <w:lang w:val="en-US" w:eastAsia="zh-CN"/>
        </w:rPr>
        <w:t>8</w:t>
      </w:r>
      <w:r>
        <w:rPr>
          <w:color w:val="auto"/>
          <w:highlight w:val="none"/>
        </w:rPr>
        <w:t>#、9#</w:t>
      </w:r>
      <w:r>
        <w:rPr>
          <w:rFonts w:hint="eastAsia"/>
          <w:color w:val="auto"/>
          <w:highlight w:val="none"/>
          <w:lang w:eastAsia="zh-CN"/>
        </w:rPr>
        <w:t>、</w:t>
      </w:r>
      <w:r>
        <w:rPr>
          <w:rFonts w:hint="eastAsia"/>
          <w:color w:val="auto"/>
          <w:highlight w:val="none"/>
          <w:lang w:val="en-US" w:eastAsia="zh-CN"/>
        </w:rPr>
        <w:t>10#</w:t>
      </w:r>
      <w:r>
        <w:rPr>
          <w:color w:val="auto"/>
          <w:highlight w:val="none"/>
        </w:rPr>
        <w:t>）以及商业楼</w:t>
      </w:r>
      <w:r>
        <w:rPr>
          <w:rFonts w:hint="eastAsia"/>
          <w:color w:val="auto"/>
          <w:highlight w:val="none"/>
          <w:lang w:val="en-US" w:eastAsia="zh-CN"/>
        </w:rPr>
        <w:t>2</w:t>
      </w:r>
      <w:r>
        <w:rPr>
          <w:color w:val="auto"/>
          <w:highlight w:val="none"/>
        </w:rPr>
        <w:t>栋（包括</w:t>
      </w:r>
      <w:r>
        <w:rPr>
          <w:rFonts w:hint="eastAsia"/>
          <w:color w:val="auto"/>
          <w:highlight w:val="none"/>
          <w:lang w:val="en-US" w:eastAsia="zh-CN"/>
        </w:rPr>
        <w:t>1</w:t>
      </w:r>
      <w:r>
        <w:rPr>
          <w:color w:val="auto"/>
          <w:highlight w:val="none"/>
        </w:rPr>
        <w:t>#、</w:t>
      </w:r>
      <w:r>
        <w:rPr>
          <w:rFonts w:hint="eastAsia"/>
          <w:color w:val="auto"/>
          <w:highlight w:val="none"/>
          <w:lang w:val="en-US" w:eastAsia="zh-CN"/>
        </w:rPr>
        <w:t>2</w:t>
      </w:r>
      <w:r>
        <w:rPr>
          <w:color w:val="auto"/>
          <w:highlight w:val="none"/>
        </w:rPr>
        <w:t>#</w:t>
      </w:r>
      <w:r>
        <w:rPr>
          <w:rFonts w:hint="eastAsia"/>
          <w:color w:val="auto"/>
          <w:highlight w:val="none"/>
          <w:lang w:eastAsia="zh-CN"/>
        </w:rPr>
        <w:t>）</w:t>
      </w:r>
      <w:r>
        <w:rPr>
          <w:color w:val="auto"/>
          <w:highlight w:val="none"/>
        </w:rPr>
        <w:t>。本项目地上建筑面积为</w:t>
      </w:r>
      <w:r>
        <w:rPr>
          <w:rFonts w:hint="eastAsia"/>
          <w:color w:val="auto"/>
          <w:highlight w:val="none"/>
          <w:lang w:eastAsia="zh-CN"/>
        </w:rPr>
        <w:t>33970</w:t>
      </w:r>
      <w:r>
        <w:rPr>
          <w:color w:val="auto"/>
          <w:highlight w:val="none"/>
        </w:rPr>
        <w:t>m²（主要包括9栋多层住宅楼、1栋商业楼</w:t>
      </w:r>
      <w:r>
        <w:rPr>
          <w:rFonts w:hint="eastAsia"/>
          <w:color w:val="auto"/>
          <w:highlight w:val="none"/>
          <w:lang w:eastAsia="zh-CN"/>
        </w:rPr>
        <w:t>、</w:t>
      </w:r>
      <w:r>
        <w:rPr>
          <w:rFonts w:hint="eastAsia" w:ascii="Times New Roman" w:hAnsi="Times New Roman" w:cs="Times New Roman"/>
          <w:color w:val="auto"/>
          <w:highlight w:val="none"/>
          <w:lang w:val="en-US" w:eastAsia="zh-CN"/>
        </w:rPr>
        <w:t>1栋</w:t>
      </w:r>
      <w:r>
        <w:rPr>
          <w:rFonts w:hint="default" w:ascii="Times New Roman" w:hAnsi="Times New Roman" w:eastAsia="仿宋_GB2312" w:cs="Times New Roman"/>
          <w:color w:val="auto"/>
          <w:highlight w:val="none"/>
          <w:lang w:eastAsia="zh-CN"/>
        </w:rPr>
        <w:t>警卫室、垃圾收集点、天然气调压站</w:t>
      </w:r>
      <w:r>
        <w:rPr>
          <w:color w:val="auto"/>
          <w:highlight w:val="none"/>
        </w:rPr>
        <w:t>），包括9栋住宅建筑面积</w:t>
      </w:r>
      <w:r>
        <w:rPr>
          <w:rFonts w:hint="eastAsia"/>
          <w:color w:val="auto"/>
          <w:highlight w:val="none"/>
          <w:lang w:val="en-US" w:eastAsia="zh-CN"/>
        </w:rPr>
        <w:t>31371</w:t>
      </w:r>
      <w:r>
        <w:rPr>
          <w:color w:val="auto"/>
          <w:highlight w:val="none"/>
        </w:rPr>
        <w:t>m²，地</w:t>
      </w:r>
      <w:r>
        <w:rPr>
          <w:rFonts w:hint="eastAsia"/>
          <w:color w:val="auto"/>
          <w:highlight w:val="none"/>
          <w:lang w:eastAsia="zh-CN"/>
        </w:rPr>
        <w:t>上</w:t>
      </w:r>
      <w:r>
        <w:rPr>
          <w:color w:val="auto"/>
          <w:highlight w:val="none"/>
        </w:rPr>
        <w:t>建筑面积</w:t>
      </w:r>
      <w:r>
        <w:rPr>
          <w:rFonts w:hint="eastAsia"/>
          <w:color w:val="auto"/>
          <w:highlight w:val="none"/>
          <w:lang w:val="en-US" w:eastAsia="zh-CN"/>
        </w:rPr>
        <w:t>26988</w:t>
      </w:r>
      <w:r>
        <w:rPr>
          <w:color w:val="auto"/>
          <w:highlight w:val="none"/>
        </w:rPr>
        <w:t>m²</w:t>
      </w:r>
      <w:r>
        <w:rPr>
          <w:rFonts w:hint="eastAsia"/>
          <w:color w:val="auto"/>
          <w:highlight w:val="none"/>
          <w:lang w:eastAsia="zh-CN"/>
        </w:rPr>
        <w:t>，</w:t>
      </w:r>
      <w:r>
        <w:rPr>
          <w:color w:val="auto"/>
          <w:highlight w:val="none"/>
        </w:rPr>
        <w:t>地下室建筑面积</w:t>
      </w:r>
      <w:r>
        <w:rPr>
          <w:rFonts w:hint="eastAsia"/>
          <w:color w:val="auto"/>
          <w:highlight w:val="none"/>
          <w:lang w:val="en-US" w:eastAsia="zh-CN"/>
        </w:rPr>
        <w:t>4383</w:t>
      </w:r>
      <w:r>
        <w:rPr>
          <w:color w:val="auto"/>
          <w:highlight w:val="none"/>
        </w:rPr>
        <w:t>m²</w:t>
      </w:r>
      <w:r>
        <w:rPr>
          <w:rFonts w:hint="eastAsia"/>
          <w:color w:val="auto"/>
          <w:highlight w:val="none"/>
          <w:lang w:eastAsia="zh-CN"/>
        </w:rPr>
        <w:t>；</w:t>
      </w:r>
      <w:r>
        <w:rPr>
          <w:rFonts w:hint="eastAsia"/>
          <w:color w:val="auto"/>
          <w:highlight w:val="none"/>
          <w:lang w:val="en-US" w:eastAsia="zh-CN"/>
        </w:rPr>
        <w:t>2</w:t>
      </w:r>
      <w:r>
        <w:rPr>
          <w:color w:val="auto"/>
          <w:highlight w:val="none"/>
        </w:rPr>
        <w:t>栋商业建筑面积</w:t>
      </w:r>
      <w:r>
        <w:rPr>
          <w:rFonts w:hint="eastAsia"/>
          <w:color w:val="auto"/>
          <w:highlight w:val="none"/>
          <w:lang w:val="en-US" w:eastAsia="zh-CN"/>
        </w:rPr>
        <w:t>7505</w:t>
      </w:r>
      <w:r>
        <w:rPr>
          <w:color w:val="auto"/>
          <w:highlight w:val="none"/>
        </w:rPr>
        <w:t>m²；地</w:t>
      </w:r>
      <w:r>
        <w:rPr>
          <w:rFonts w:hint="eastAsia"/>
          <w:color w:val="auto"/>
          <w:highlight w:val="none"/>
          <w:lang w:eastAsia="zh-CN"/>
        </w:rPr>
        <w:t>上</w:t>
      </w:r>
      <w:r>
        <w:rPr>
          <w:color w:val="auto"/>
          <w:highlight w:val="none"/>
        </w:rPr>
        <w:t>建筑面积</w:t>
      </w:r>
      <w:r>
        <w:rPr>
          <w:rFonts w:hint="eastAsia"/>
          <w:color w:val="auto"/>
          <w:highlight w:val="none"/>
          <w:lang w:val="en-US" w:eastAsia="zh-CN"/>
        </w:rPr>
        <w:t>6945</w:t>
      </w:r>
      <w:r>
        <w:rPr>
          <w:color w:val="auto"/>
          <w:highlight w:val="none"/>
        </w:rPr>
        <w:t>m²，</w:t>
      </w:r>
      <w:r>
        <w:rPr>
          <w:rFonts w:hint="eastAsia"/>
          <w:color w:val="auto"/>
          <w:highlight w:val="none"/>
          <w:lang w:val="en-US" w:eastAsia="zh-CN"/>
        </w:rPr>
        <w:t>2#</w:t>
      </w:r>
      <w:r>
        <w:rPr>
          <w:color w:val="auto"/>
          <w:highlight w:val="none"/>
        </w:rPr>
        <w:t>商业</w:t>
      </w:r>
      <w:r>
        <w:rPr>
          <w:rFonts w:hint="eastAsia"/>
          <w:color w:val="auto"/>
          <w:highlight w:val="none"/>
          <w:lang w:eastAsia="zh-CN"/>
        </w:rPr>
        <w:t>商业楼</w:t>
      </w:r>
      <w:r>
        <w:rPr>
          <w:color w:val="auto"/>
          <w:highlight w:val="none"/>
        </w:rPr>
        <w:t>地下室建筑面积</w:t>
      </w:r>
      <w:r>
        <w:rPr>
          <w:rFonts w:hint="eastAsia"/>
          <w:color w:val="auto"/>
          <w:highlight w:val="none"/>
          <w:lang w:val="en-US" w:eastAsia="zh-CN"/>
        </w:rPr>
        <w:t>560</w:t>
      </w:r>
      <w:r>
        <w:rPr>
          <w:color w:val="auto"/>
          <w:highlight w:val="none"/>
        </w:rPr>
        <w:t>m²</w:t>
      </w:r>
      <w:r>
        <w:rPr>
          <w:rFonts w:hint="eastAsia"/>
          <w:color w:val="auto"/>
          <w:highlight w:val="none"/>
          <w:lang w:eastAsia="zh-CN"/>
        </w:rPr>
        <w:t>（其中包括</w:t>
      </w:r>
      <w:r>
        <w:rPr>
          <w:rFonts w:hint="eastAsia" w:cs="Times New Roman"/>
          <w:color w:val="auto"/>
          <w:highlight w:val="none"/>
          <w:lang w:val="en-US" w:eastAsia="zh-CN"/>
        </w:rPr>
        <w:t>消防水池230</w:t>
      </w:r>
      <w:r>
        <w:rPr>
          <w:color w:val="auto"/>
          <w:highlight w:val="none"/>
        </w:rPr>
        <w:t>m²</w:t>
      </w:r>
      <w:r>
        <w:rPr>
          <w:rFonts w:hint="eastAsia" w:cs="Times New Roman"/>
          <w:color w:val="auto"/>
          <w:highlight w:val="none"/>
          <w:lang w:val="en-US" w:eastAsia="zh-CN"/>
        </w:rPr>
        <w:t>、消防泵房180</w:t>
      </w:r>
      <w:r>
        <w:rPr>
          <w:color w:val="auto"/>
          <w:highlight w:val="none"/>
        </w:rPr>
        <w:t>m²</w:t>
      </w:r>
      <w:r>
        <w:rPr>
          <w:rFonts w:hint="eastAsia" w:cs="Times New Roman"/>
          <w:color w:val="auto"/>
          <w:highlight w:val="none"/>
          <w:lang w:val="en-US" w:eastAsia="zh-CN"/>
        </w:rPr>
        <w:t>、配电室150</w:t>
      </w:r>
      <w:r>
        <w:rPr>
          <w:color w:val="auto"/>
          <w:highlight w:val="none"/>
        </w:rPr>
        <w:t>m²</w:t>
      </w:r>
      <w:r>
        <w:rPr>
          <w:rFonts w:hint="eastAsia"/>
          <w:color w:val="auto"/>
          <w:highlight w:val="none"/>
          <w:lang w:eastAsia="zh-CN"/>
        </w:rPr>
        <w:t>）</w:t>
      </w:r>
      <w:r>
        <w:rPr>
          <w:color w:val="auto"/>
          <w:highlight w:val="none"/>
        </w:rPr>
        <w:t>。</w:t>
      </w:r>
    </w:p>
    <w:p>
      <w:pPr>
        <w:pStyle w:val="56"/>
        <w:ind w:firstLine="480"/>
        <w:rPr>
          <w:color w:val="auto"/>
          <w:highlight w:val="none"/>
        </w:rPr>
      </w:pPr>
      <w:r>
        <w:rPr>
          <w:color w:val="auto"/>
          <w:highlight w:val="none"/>
        </w:rPr>
        <w:t>本项目9栋住宅楼以及</w:t>
      </w:r>
      <w:r>
        <w:rPr>
          <w:rFonts w:hint="eastAsia"/>
          <w:color w:val="auto"/>
          <w:highlight w:val="none"/>
          <w:lang w:val="en-US" w:eastAsia="zh-CN"/>
        </w:rPr>
        <w:t>2</w:t>
      </w:r>
      <w:r>
        <w:rPr>
          <w:color w:val="auto"/>
          <w:highlight w:val="none"/>
        </w:rPr>
        <w:t>栋商业楼建构筑物均采用条形基础，其中住宅楼基础埋深为2.</w:t>
      </w:r>
      <w:r>
        <w:rPr>
          <w:rFonts w:hint="eastAsia"/>
          <w:color w:val="auto"/>
          <w:highlight w:val="none"/>
          <w:lang w:val="en-US" w:eastAsia="zh-CN"/>
        </w:rPr>
        <w:t>7</w:t>
      </w:r>
      <w:r>
        <w:rPr>
          <w:color w:val="auto"/>
          <w:highlight w:val="none"/>
        </w:rPr>
        <w:t>0m，商业楼基础埋深</w:t>
      </w:r>
      <w:r>
        <w:rPr>
          <w:rFonts w:hint="eastAsia"/>
          <w:color w:val="auto"/>
          <w:highlight w:val="none"/>
          <w:lang w:val="en-US" w:eastAsia="zh-CN"/>
        </w:rPr>
        <w:t>1.5</w:t>
      </w:r>
      <w:r>
        <w:rPr>
          <w:color w:val="auto"/>
          <w:highlight w:val="none"/>
        </w:rPr>
        <w:t>m</w:t>
      </w:r>
      <w:r>
        <w:rPr>
          <w:rFonts w:hint="eastAsia"/>
          <w:color w:val="auto"/>
          <w:highlight w:val="none"/>
          <w:lang w:eastAsia="zh-CN"/>
        </w:rPr>
        <w:t>（</w:t>
      </w:r>
      <w:r>
        <w:rPr>
          <w:rFonts w:hint="eastAsia"/>
          <w:color w:val="auto"/>
          <w:highlight w:val="none"/>
          <w:lang w:val="en-US" w:eastAsia="zh-CN"/>
        </w:rPr>
        <w:t>2#商业楼地下部分基础深埋3.00m</w:t>
      </w:r>
      <w:r>
        <w:rPr>
          <w:rFonts w:hint="eastAsia"/>
          <w:color w:val="auto"/>
          <w:highlight w:val="none"/>
          <w:lang w:eastAsia="zh-CN"/>
        </w:rPr>
        <w:t>）</w:t>
      </w:r>
      <w:r>
        <w:rPr>
          <w:color w:val="auto"/>
          <w:highlight w:val="none"/>
        </w:rPr>
        <w:t>，地基均采用天然地基，如遇不良土层或土质不均匀时，应清除不良土质或基底超挖，再用级配良好的戈壁土分层回填夯实，夯实系数大于0.97。地基承载力fak=120kPa。本项目9栋住宅楼均设置有地下室，地下室为半地下结构，地下部分2.20m。</w:t>
      </w:r>
    </w:p>
    <w:p>
      <w:pPr>
        <w:pStyle w:val="75"/>
        <w:rPr>
          <w:color w:val="auto"/>
          <w:highlight w:val="none"/>
        </w:rPr>
        <w:sectPr>
          <w:headerReference r:id="rId19"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75"/>
        <w:rPr>
          <w:color w:val="auto"/>
          <w:highlight w:val="none"/>
        </w:rPr>
      </w:pPr>
      <w:r>
        <w:rPr>
          <w:color w:val="auto"/>
          <w:highlight w:val="none"/>
        </w:rPr>
        <w:t>表2.1-3        建构筑物区各建筑物特性一览表</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01"/>
        <w:gridCol w:w="1081"/>
        <w:gridCol w:w="1495"/>
        <w:gridCol w:w="922"/>
        <w:gridCol w:w="1112"/>
        <w:gridCol w:w="1297"/>
        <w:gridCol w:w="1240"/>
        <w:gridCol w:w="1277"/>
        <w:gridCol w:w="1555"/>
        <w:gridCol w:w="1393"/>
        <w:gridCol w:w="1237"/>
        <w:gridCol w:w="10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trPr>
        <w:tc>
          <w:tcPr>
            <w:tcW w:w="177" w:type="pct"/>
            <w:shd w:val="clear" w:color="auto" w:fill="auto"/>
            <w:vAlign w:val="center"/>
          </w:tcPr>
          <w:p>
            <w:pPr>
              <w:pStyle w:val="84"/>
              <w:bidi w:val="0"/>
              <w:rPr>
                <w:color w:val="auto"/>
                <w:highlight w:val="none"/>
              </w:rPr>
            </w:pPr>
            <w:r>
              <w:rPr>
                <w:color w:val="auto"/>
                <w:highlight w:val="none"/>
              </w:rPr>
              <w:t>序号</w:t>
            </w:r>
          </w:p>
        </w:tc>
        <w:tc>
          <w:tcPr>
            <w:tcW w:w="381" w:type="pct"/>
            <w:shd w:val="clear" w:color="auto" w:fill="auto"/>
            <w:vAlign w:val="center"/>
          </w:tcPr>
          <w:p>
            <w:pPr>
              <w:pStyle w:val="84"/>
              <w:bidi w:val="0"/>
              <w:rPr>
                <w:color w:val="auto"/>
                <w:highlight w:val="none"/>
              </w:rPr>
            </w:pPr>
            <w:r>
              <w:rPr>
                <w:color w:val="auto"/>
                <w:highlight w:val="none"/>
              </w:rPr>
              <w:t>建筑名称</w:t>
            </w:r>
          </w:p>
        </w:tc>
        <w:tc>
          <w:tcPr>
            <w:tcW w:w="527" w:type="pct"/>
            <w:shd w:val="clear" w:color="auto" w:fill="auto"/>
            <w:vAlign w:val="center"/>
          </w:tcPr>
          <w:p>
            <w:pPr>
              <w:pStyle w:val="84"/>
              <w:bidi w:val="0"/>
              <w:rPr>
                <w:color w:val="auto"/>
                <w:highlight w:val="none"/>
              </w:rPr>
            </w:pPr>
            <w:r>
              <w:rPr>
                <w:color w:val="auto"/>
                <w:highlight w:val="none"/>
              </w:rPr>
              <w:t>层数</w:t>
            </w:r>
          </w:p>
        </w:tc>
        <w:tc>
          <w:tcPr>
            <w:tcW w:w="324" w:type="pct"/>
            <w:shd w:val="clear" w:color="auto" w:fill="auto"/>
            <w:vAlign w:val="center"/>
          </w:tcPr>
          <w:p>
            <w:pPr>
              <w:pStyle w:val="84"/>
              <w:bidi w:val="0"/>
              <w:rPr>
                <w:color w:val="auto"/>
                <w:highlight w:val="none"/>
              </w:rPr>
            </w:pPr>
            <w:r>
              <w:rPr>
                <w:color w:val="auto"/>
                <w:highlight w:val="none"/>
              </w:rPr>
              <w:t>建筑高度(m)</w:t>
            </w:r>
          </w:p>
        </w:tc>
        <w:tc>
          <w:tcPr>
            <w:tcW w:w="392" w:type="pct"/>
            <w:shd w:val="clear" w:color="auto" w:fill="auto"/>
            <w:vAlign w:val="center"/>
          </w:tcPr>
          <w:p>
            <w:pPr>
              <w:pStyle w:val="84"/>
              <w:bidi w:val="0"/>
              <w:rPr>
                <w:color w:val="auto"/>
                <w:highlight w:val="none"/>
              </w:rPr>
            </w:pPr>
            <w:r>
              <w:rPr>
                <w:color w:val="auto"/>
                <w:highlight w:val="none"/>
              </w:rPr>
              <w:t>基底面积(m²)</w:t>
            </w:r>
          </w:p>
        </w:tc>
        <w:tc>
          <w:tcPr>
            <w:tcW w:w="457" w:type="pct"/>
            <w:shd w:val="clear" w:color="auto" w:fill="auto"/>
            <w:vAlign w:val="center"/>
          </w:tcPr>
          <w:p>
            <w:pPr>
              <w:pStyle w:val="84"/>
              <w:bidi w:val="0"/>
              <w:rPr>
                <w:color w:val="auto"/>
                <w:highlight w:val="none"/>
              </w:rPr>
            </w:pPr>
            <w:r>
              <w:rPr>
                <w:color w:val="auto"/>
                <w:highlight w:val="none"/>
              </w:rPr>
              <w:t>地上建筑面积(m²)</w:t>
            </w:r>
          </w:p>
        </w:tc>
        <w:tc>
          <w:tcPr>
            <w:tcW w:w="437" w:type="pct"/>
            <w:shd w:val="clear" w:color="auto" w:fill="auto"/>
            <w:vAlign w:val="center"/>
          </w:tcPr>
          <w:p>
            <w:pPr>
              <w:pStyle w:val="84"/>
              <w:bidi w:val="0"/>
              <w:rPr>
                <w:color w:val="auto"/>
                <w:highlight w:val="none"/>
              </w:rPr>
            </w:pPr>
            <w:r>
              <w:rPr>
                <w:color w:val="auto"/>
                <w:highlight w:val="none"/>
              </w:rPr>
              <w:t>地下建筑面积(m²)</w:t>
            </w:r>
          </w:p>
        </w:tc>
        <w:tc>
          <w:tcPr>
            <w:tcW w:w="450" w:type="pct"/>
            <w:shd w:val="clear" w:color="auto" w:fill="auto"/>
            <w:vAlign w:val="center"/>
          </w:tcPr>
          <w:p>
            <w:pPr>
              <w:pStyle w:val="84"/>
              <w:bidi w:val="0"/>
              <w:rPr>
                <w:color w:val="auto"/>
                <w:highlight w:val="none"/>
              </w:rPr>
            </w:pPr>
            <w:r>
              <w:rPr>
                <w:color w:val="auto"/>
                <w:highlight w:val="none"/>
              </w:rPr>
              <w:t>基础形式及结构</w:t>
            </w:r>
          </w:p>
        </w:tc>
        <w:tc>
          <w:tcPr>
            <w:tcW w:w="548" w:type="pct"/>
            <w:shd w:val="clear" w:color="auto" w:fill="auto"/>
            <w:vAlign w:val="center"/>
          </w:tcPr>
          <w:p>
            <w:pPr>
              <w:pStyle w:val="84"/>
              <w:bidi w:val="0"/>
              <w:rPr>
                <w:color w:val="auto"/>
                <w:highlight w:val="none"/>
              </w:rPr>
            </w:pPr>
            <w:r>
              <w:rPr>
                <w:color w:val="auto"/>
                <w:highlight w:val="none"/>
              </w:rPr>
              <w:t>设计高程</w:t>
            </w:r>
          </w:p>
        </w:tc>
        <w:tc>
          <w:tcPr>
            <w:tcW w:w="491" w:type="pct"/>
            <w:shd w:val="clear" w:color="auto" w:fill="auto"/>
            <w:vAlign w:val="center"/>
          </w:tcPr>
          <w:p>
            <w:pPr>
              <w:pStyle w:val="84"/>
              <w:bidi w:val="0"/>
              <w:rPr>
                <w:color w:val="auto"/>
                <w:highlight w:val="none"/>
              </w:rPr>
            </w:pPr>
            <w:r>
              <w:rPr>
                <w:color w:val="auto"/>
                <w:highlight w:val="none"/>
              </w:rPr>
              <w:t>基础挖深</w:t>
            </w:r>
          </w:p>
        </w:tc>
        <w:tc>
          <w:tcPr>
            <w:tcW w:w="436" w:type="pct"/>
            <w:shd w:val="clear" w:color="auto" w:fill="auto"/>
            <w:vAlign w:val="center"/>
          </w:tcPr>
          <w:p>
            <w:pPr>
              <w:pStyle w:val="84"/>
              <w:bidi w:val="0"/>
              <w:rPr>
                <w:color w:val="auto"/>
                <w:highlight w:val="none"/>
              </w:rPr>
            </w:pPr>
            <w:r>
              <w:rPr>
                <w:color w:val="auto"/>
                <w:highlight w:val="none"/>
              </w:rPr>
              <w:t>开挖土方（m³）</w:t>
            </w:r>
          </w:p>
        </w:tc>
        <w:tc>
          <w:tcPr>
            <w:tcW w:w="375" w:type="pct"/>
            <w:shd w:val="clear" w:color="auto" w:fill="auto"/>
            <w:vAlign w:val="center"/>
          </w:tcPr>
          <w:p>
            <w:pPr>
              <w:pStyle w:val="84"/>
              <w:bidi w:val="0"/>
              <w:rPr>
                <w:color w:val="auto"/>
                <w:highlight w:val="none"/>
              </w:rPr>
            </w:pPr>
            <w:r>
              <w:rPr>
                <w:color w:val="auto"/>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1</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住宅楼1#</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地上6层，地下一层</w:t>
            </w:r>
          </w:p>
        </w:tc>
        <w:tc>
          <w:tcPr>
            <w:tcW w:w="324" w:type="pct"/>
            <w:shd w:val="clear" w:color="auto" w:fill="auto"/>
            <w:vAlign w:val="center"/>
          </w:tcPr>
          <w:p>
            <w:pPr>
              <w:pStyle w:val="84"/>
              <w:bidi w:val="0"/>
              <w:rPr>
                <w:color w:val="auto"/>
                <w:highlight w:val="none"/>
              </w:rPr>
            </w:pPr>
            <w:r>
              <w:rPr>
                <w:rFonts w:hint="eastAsia"/>
                <w:color w:val="auto"/>
                <w:highlight w:val="none"/>
                <w:lang w:val="en-US" w:eastAsia="zh-CN"/>
              </w:rPr>
              <w:t>17.4</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472.8</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2797.26</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472.8</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条形基础-钢筋混凝土结构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±0.00=767.25</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2.70m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1276.56</w:t>
            </w:r>
          </w:p>
        </w:tc>
        <w:tc>
          <w:tcPr>
            <w:tcW w:w="375" w:type="pct"/>
            <w:shd w:val="clear" w:color="auto" w:fill="auto"/>
            <w:vAlign w:val="center"/>
          </w:tcPr>
          <w:p>
            <w:pPr>
              <w:pStyle w:val="84"/>
              <w:bidi w:val="0"/>
              <w:rPr>
                <w:color w:val="auto"/>
                <w:highlight w:val="none"/>
              </w:rPr>
            </w:pPr>
            <w:r>
              <w:rPr>
                <w:rFonts w:hint="eastAsia"/>
                <w:color w:val="auto"/>
                <w:highlight w:val="none"/>
                <w:lang w:eastAsia="zh-CN"/>
              </w:rPr>
              <w:t>有</w:t>
            </w:r>
            <w:r>
              <w:rPr>
                <w:color w:val="auto"/>
                <w:highlight w:val="none"/>
              </w:rPr>
              <w:t>地下室结构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2</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住宅楼2#</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地上7层，地下一层</w:t>
            </w:r>
          </w:p>
        </w:tc>
        <w:tc>
          <w:tcPr>
            <w:tcW w:w="324" w:type="pct"/>
            <w:shd w:val="clear" w:color="auto" w:fill="auto"/>
            <w:vAlign w:val="center"/>
          </w:tcPr>
          <w:p>
            <w:pPr>
              <w:pStyle w:val="84"/>
              <w:bidi w:val="0"/>
              <w:rPr>
                <w:color w:val="auto"/>
                <w:highlight w:val="none"/>
              </w:rPr>
            </w:pPr>
            <w:r>
              <w:rPr>
                <w:rFonts w:hint="eastAsia"/>
                <w:color w:val="auto"/>
                <w:highlight w:val="none"/>
                <w:lang w:val="en-US" w:eastAsia="zh-CN"/>
              </w:rPr>
              <w:t>23.65</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506.59</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3601.57</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490.14</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条形基础-钢筋混凝土结构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±0.00=767.30</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2.70m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1367.79</w:t>
            </w:r>
          </w:p>
        </w:tc>
        <w:tc>
          <w:tcPr>
            <w:tcW w:w="375" w:type="pct"/>
            <w:shd w:val="clear" w:color="auto" w:fill="auto"/>
            <w:vAlign w:val="center"/>
          </w:tcPr>
          <w:p>
            <w:pPr>
              <w:pStyle w:val="84"/>
              <w:bidi w:val="0"/>
              <w:rPr>
                <w:color w:val="auto"/>
                <w:highlight w:val="none"/>
              </w:rPr>
            </w:pPr>
            <w:r>
              <w:rPr>
                <w:rFonts w:hint="eastAsia"/>
                <w:color w:val="auto"/>
                <w:highlight w:val="none"/>
                <w:lang w:eastAsia="zh-CN"/>
              </w:rPr>
              <w:t>有</w:t>
            </w:r>
            <w:r>
              <w:rPr>
                <w:color w:val="auto"/>
                <w:highlight w:val="none"/>
              </w:rPr>
              <w:t>地下室结构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3</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住宅楼3#</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地上6层，地下一层</w:t>
            </w:r>
          </w:p>
        </w:tc>
        <w:tc>
          <w:tcPr>
            <w:tcW w:w="324" w:type="pct"/>
            <w:shd w:val="clear" w:color="auto" w:fill="auto"/>
            <w:vAlign w:val="center"/>
          </w:tcPr>
          <w:p>
            <w:pPr>
              <w:pStyle w:val="84"/>
              <w:bidi w:val="0"/>
              <w:rPr>
                <w:color w:val="auto"/>
                <w:highlight w:val="none"/>
              </w:rPr>
            </w:pPr>
            <w:r>
              <w:rPr>
                <w:rFonts w:hint="eastAsia"/>
                <w:color w:val="auto"/>
                <w:highlight w:val="none"/>
                <w:lang w:val="en-US" w:eastAsia="zh-CN"/>
              </w:rPr>
              <w:t>21</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525.92</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3180.78</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509.7</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条形基础-钢筋混凝土结构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±0.00=766.75</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2.70m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1419.98</w:t>
            </w:r>
          </w:p>
        </w:tc>
        <w:tc>
          <w:tcPr>
            <w:tcW w:w="375" w:type="pct"/>
            <w:shd w:val="clear" w:color="auto" w:fill="auto"/>
            <w:vAlign w:val="center"/>
          </w:tcPr>
          <w:p>
            <w:pPr>
              <w:pStyle w:val="84"/>
              <w:bidi w:val="0"/>
              <w:rPr>
                <w:color w:val="auto"/>
                <w:highlight w:val="none"/>
              </w:rPr>
            </w:pPr>
            <w:r>
              <w:rPr>
                <w:rFonts w:hint="eastAsia"/>
                <w:color w:val="auto"/>
                <w:highlight w:val="none"/>
                <w:lang w:eastAsia="zh-CN"/>
              </w:rPr>
              <w:t>有</w:t>
            </w:r>
            <w:r>
              <w:rPr>
                <w:color w:val="auto"/>
                <w:highlight w:val="none"/>
              </w:rPr>
              <w:t>地下室结构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4</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住宅楼5#</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地上6层，地下一层</w:t>
            </w:r>
          </w:p>
        </w:tc>
        <w:tc>
          <w:tcPr>
            <w:tcW w:w="324" w:type="pct"/>
            <w:shd w:val="clear" w:color="auto" w:fill="auto"/>
            <w:vAlign w:val="center"/>
          </w:tcPr>
          <w:p>
            <w:pPr>
              <w:pStyle w:val="84"/>
              <w:bidi w:val="0"/>
              <w:rPr>
                <w:color w:val="auto"/>
                <w:highlight w:val="none"/>
              </w:rPr>
            </w:pPr>
            <w:r>
              <w:rPr>
                <w:rFonts w:hint="eastAsia"/>
                <w:color w:val="auto"/>
                <w:highlight w:val="none"/>
                <w:lang w:val="en-US" w:eastAsia="zh-CN"/>
              </w:rPr>
              <w:t>17.4</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472.8</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2942.19</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472.8</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条形基础-钢筋混凝土结构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±0.00=767.05</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2.70m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1276.56</w:t>
            </w:r>
          </w:p>
        </w:tc>
        <w:tc>
          <w:tcPr>
            <w:tcW w:w="375" w:type="pct"/>
            <w:shd w:val="clear" w:color="auto" w:fill="auto"/>
            <w:vAlign w:val="center"/>
          </w:tcPr>
          <w:p>
            <w:pPr>
              <w:pStyle w:val="84"/>
              <w:bidi w:val="0"/>
              <w:rPr>
                <w:color w:val="auto"/>
                <w:highlight w:val="none"/>
              </w:rPr>
            </w:pPr>
            <w:r>
              <w:rPr>
                <w:rFonts w:hint="eastAsia"/>
                <w:color w:val="auto"/>
                <w:highlight w:val="none"/>
                <w:lang w:eastAsia="zh-CN"/>
              </w:rPr>
              <w:t>有</w:t>
            </w:r>
            <w:r>
              <w:rPr>
                <w:color w:val="auto"/>
                <w:highlight w:val="none"/>
              </w:rPr>
              <w:t>地下室结构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5</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住宅楼6#</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地上6层，地下一层</w:t>
            </w:r>
          </w:p>
        </w:tc>
        <w:tc>
          <w:tcPr>
            <w:tcW w:w="324" w:type="pct"/>
            <w:shd w:val="clear" w:color="auto" w:fill="auto"/>
            <w:vAlign w:val="center"/>
          </w:tcPr>
          <w:p>
            <w:pPr>
              <w:pStyle w:val="84"/>
              <w:bidi w:val="0"/>
              <w:rPr>
                <w:color w:val="auto"/>
                <w:highlight w:val="none"/>
              </w:rPr>
            </w:pPr>
            <w:r>
              <w:rPr>
                <w:rFonts w:hint="eastAsia"/>
                <w:color w:val="auto"/>
                <w:highlight w:val="none"/>
                <w:lang w:val="en-US" w:eastAsia="zh-CN"/>
              </w:rPr>
              <w:t>17.4</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472.8</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2942.19</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472.8</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条形基础-钢筋混凝土结构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±0.00=766.75</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2.70m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1276.56</w:t>
            </w:r>
          </w:p>
        </w:tc>
        <w:tc>
          <w:tcPr>
            <w:tcW w:w="375" w:type="pct"/>
            <w:shd w:val="clear" w:color="auto" w:fill="auto"/>
            <w:vAlign w:val="center"/>
          </w:tcPr>
          <w:p>
            <w:pPr>
              <w:pStyle w:val="84"/>
              <w:bidi w:val="0"/>
              <w:rPr>
                <w:color w:val="auto"/>
                <w:highlight w:val="none"/>
              </w:rPr>
            </w:pPr>
            <w:r>
              <w:rPr>
                <w:rFonts w:hint="eastAsia"/>
                <w:color w:val="auto"/>
                <w:highlight w:val="none"/>
                <w:lang w:eastAsia="zh-CN"/>
              </w:rPr>
              <w:t>有</w:t>
            </w:r>
            <w:r>
              <w:rPr>
                <w:color w:val="auto"/>
                <w:highlight w:val="none"/>
              </w:rPr>
              <w:t>地下室结构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6</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住宅楼7#</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地上7层，地下一层</w:t>
            </w:r>
          </w:p>
        </w:tc>
        <w:tc>
          <w:tcPr>
            <w:tcW w:w="324" w:type="pct"/>
            <w:shd w:val="clear" w:color="auto" w:fill="auto"/>
            <w:vAlign w:val="center"/>
          </w:tcPr>
          <w:p>
            <w:pPr>
              <w:pStyle w:val="84"/>
              <w:bidi w:val="0"/>
              <w:rPr>
                <w:color w:val="auto"/>
                <w:highlight w:val="none"/>
              </w:rPr>
            </w:pPr>
            <w:r>
              <w:rPr>
                <w:rFonts w:hint="eastAsia"/>
                <w:color w:val="auto"/>
                <w:highlight w:val="none"/>
                <w:lang w:val="en-US" w:eastAsia="zh-CN"/>
              </w:rPr>
              <w:t>20.3</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506.59</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3447.76</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490.14</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条形基础-钢筋混凝土结构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±0.00=766.10</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2.70m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1367.79</w:t>
            </w:r>
          </w:p>
        </w:tc>
        <w:tc>
          <w:tcPr>
            <w:tcW w:w="375" w:type="pct"/>
            <w:shd w:val="clear" w:color="auto" w:fill="auto"/>
            <w:vAlign w:val="center"/>
          </w:tcPr>
          <w:p>
            <w:pPr>
              <w:pStyle w:val="84"/>
              <w:bidi w:val="0"/>
              <w:rPr>
                <w:color w:val="auto"/>
                <w:highlight w:val="none"/>
              </w:rPr>
            </w:pPr>
            <w:r>
              <w:rPr>
                <w:rFonts w:hint="eastAsia"/>
                <w:color w:val="auto"/>
                <w:highlight w:val="none"/>
                <w:lang w:eastAsia="zh-CN"/>
              </w:rPr>
              <w:t>有</w:t>
            </w:r>
            <w:r>
              <w:rPr>
                <w:color w:val="auto"/>
                <w:highlight w:val="none"/>
              </w:rPr>
              <w:t>地下室结构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7</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住宅楼8#</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地上6层，地下一层</w:t>
            </w:r>
          </w:p>
        </w:tc>
        <w:tc>
          <w:tcPr>
            <w:tcW w:w="324" w:type="pct"/>
            <w:shd w:val="clear" w:color="auto" w:fill="auto"/>
            <w:vAlign w:val="center"/>
          </w:tcPr>
          <w:p>
            <w:pPr>
              <w:pStyle w:val="84"/>
              <w:bidi w:val="0"/>
              <w:rPr>
                <w:color w:val="auto"/>
                <w:highlight w:val="none"/>
              </w:rPr>
            </w:pPr>
            <w:r>
              <w:rPr>
                <w:rFonts w:hint="eastAsia"/>
                <w:color w:val="auto"/>
                <w:highlight w:val="none"/>
                <w:lang w:val="en-US" w:eastAsia="zh-CN"/>
              </w:rPr>
              <w:t>17.4</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511.68</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2942.19</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511.68</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条形基础-钢筋混凝土结构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±0.00=766.40</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2.70m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1381.54</w:t>
            </w:r>
          </w:p>
        </w:tc>
        <w:tc>
          <w:tcPr>
            <w:tcW w:w="375" w:type="pct"/>
            <w:shd w:val="clear" w:color="auto" w:fill="auto"/>
            <w:vAlign w:val="center"/>
          </w:tcPr>
          <w:p>
            <w:pPr>
              <w:pStyle w:val="84"/>
              <w:bidi w:val="0"/>
              <w:rPr>
                <w:color w:val="auto"/>
                <w:highlight w:val="none"/>
              </w:rPr>
            </w:pPr>
            <w:r>
              <w:rPr>
                <w:rFonts w:hint="eastAsia"/>
                <w:color w:val="auto"/>
                <w:highlight w:val="none"/>
                <w:lang w:eastAsia="zh-CN"/>
              </w:rPr>
              <w:t>有</w:t>
            </w:r>
            <w:r>
              <w:rPr>
                <w:color w:val="auto"/>
                <w:highlight w:val="none"/>
              </w:rPr>
              <w:t>地下室结构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8</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住宅楼9#</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地上5层，地下一层</w:t>
            </w:r>
          </w:p>
        </w:tc>
        <w:tc>
          <w:tcPr>
            <w:tcW w:w="324" w:type="pct"/>
            <w:shd w:val="clear" w:color="auto" w:fill="auto"/>
            <w:vAlign w:val="center"/>
          </w:tcPr>
          <w:p>
            <w:pPr>
              <w:pStyle w:val="84"/>
              <w:bidi w:val="0"/>
              <w:rPr>
                <w:color w:val="auto"/>
                <w:highlight w:val="none"/>
              </w:rPr>
            </w:pPr>
            <w:r>
              <w:rPr>
                <w:rFonts w:hint="eastAsia"/>
                <w:color w:val="auto"/>
                <w:highlight w:val="none"/>
                <w:lang w:val="en-US" w:eastAsia="zh-CN"/>
              </w:rPr>
              <w:t>14.5</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506.59</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2464.5</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490.14</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条形基础-钢筋混凝土结构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±0.00=766.12</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2.70m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1367.79</w:t>
            </w:r>
          </w:p>
        </w:tc>
        <w:tc>
          <w:tcPr>
            <w:tcW w:w="375" w:type="pct"/>
            <w:shd w:val="clear" w:color="auto" w:fill="auto"/>
            <w:vAlign w:val="center"/>
          </w:tcPr>
          <w:p>
            <w:pPr>
              <w:pStyle w:val="84"/>
              <w:bidi w:val="0"/>
              <w:rPr>
                <w:color w:val="auto"/>
                <w:highlight w:val="none"/>
              </w:rPr>
            </w:pPr>
            <w:r>
              <w:rPr>
                <w:rFonts w:hint="eastAsia"/>
                <w:color w:val="auto"/>
                <w:highlight w:val="none"/>
                <w:lang w:eastAsia="zh-CN"/>
              </w:rPr>
              <w:t>有</w:t>
            </w:r>
            <w:r>
              <w:rPr>
                <w:color w:val="auto"/>
                <w:highlight w:val="none"/>
              </w:rPr>
              <w:t>地下室结构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9</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住宅楼10#</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地上6层，地下一层</w:t>
            </w:r>
          </w:p>
        </w:tc>
        <w:tc>
          <w:tcPr>
            <w:tcW w:w="324" w:type="pct"/>
            <w:shd w:val="clear" w:color="auto" w:fill="auto"/>
            <w:vAlign w:val="center"/>
          </w:tcPr>
          <w:p>
            <w:pPr>
              <w:pStyle w:val="84"/>
              <w:bidi w:val="0"/>
              <w:rPr>
                <w:color w:val="auto"/>
                <w:highlight w:val="none"/>
              </w:rPr>
            </w:pPr>
            <w:r>
              <w:rPr>
                <w:rFonts w:hint="eastAsia"/>
                <w:color w:val="auto"/>
                <w:highlight w:val="none"/>
                <w:lang w:val="en-US" w:eastAsia="zh-CN"/>
              </w:rPr>
              <w:t>17.4</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472.8</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2669.56</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472.8</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条形基础-钢筋混凝土结构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±0.00=765.87</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2.70m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1276.56</w:t>
            </w:r>
          </w:p>
        </w:tc>
        <w:tc>
          <w:tcPr>
            <w:tcW w:w="375" w:type="pct"/>
            <w:shd w:val="clear" w:color="auto" w:fill="auto"/>
            <w:vAlign w:val="center"/>
          </w:tcPr>
          <w:p>
            <w:pPr>
              <w:pStyle w:val="84"/>
              <w:bidi w:val="0"/>
              <w:rPr>
                <w:color w:val="auto"/>
                <w:highlight w:val="none"/>
              </w:rPr>
            </w:pPr>
            <w:r>
              <w:rPr>
                <w:rFonts w:hint="eastAsia"/>
                <w:color w:val="auto"/>
                <w:highlight w:val="none"/>
                <w:lang w:eastAsia="zh-CN"/>
              </w:rPr>
              <w:t>有</w:t>
            </w:r>
            <w:r>
              <w:rPr>
                <w:color w:val="auto"/>
                <w:highlight w:val="none"/>
              </w:rPr>
              <w:t>地下室结构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10</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商业楼1#</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地上2层/地上3层</w:t>
            </w:r>
          </w:p>
        </w:tc>
        <w:tc>
          <w:tcPr>
            <w:tcW w:w="324" w:type="pct"/>
            <w:shd w:val="clear" w:color="auto" w:fill="auto"/>
            <w:vAlign w:val="center"/>
          </w:tcPr>
          <w:p>
            <w:pPr>
              <w:pStyle w:val="84"/>
              <w:bidi w:val="0"/>
              <w:rPr>
                <w:rFonts w:hint="eastAsia"/>
                <w:color w:val="auto"/>
                <w:highlight w:val="none"/>
                <w:lang w:val="en-US" w:eastAsia="zh-CN"/>
              </w:rPr>
            </w:pPr>
            <w:r>
              <w:rPr>
                <w:rFonts w:hint="eastAsia"/>
                <w:color w:val="auto"/>
                <w:highlight w:val="none"/>
                <w:lang w:val="en-US" w:eastAsia="zh-CN"/>
              </w:rPr>
              <w:t>6.19</w:t>
            </w:r>
          </w:p>
          <w:p>
            <w:pPr>
              <w:pStyle w:val="84"/>
              <w:bidi w:val="0"/>
              <w:rPr>
                <w:color w:val="auto"/>
                <w:highlight w:val="none"/>
              </w:rPr>
            </w:pPr>
            <w:r>
              <w:rPr>
                <w:rFonts w:hint="eastAsia"/>
                <w:color w:val="auto"/>
                <w:highlight w:val="none"/>
                <w:lang w:val="en-US" w:eastAsia="zh-CN"/>
              </w:rPr>
              <w:t>/9.28</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1572</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4085</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0</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条形基础-钢筋混凝土结构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±0.00=766.45</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1.50m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2358.00</w:t>
            </w:r>
          </w:p>
        </w:tc>
        <w:tc>
          <w:tcPr>
            <w:tcW w:w="375" w:type="pct"/>
            <w:shd w:val="clear" w:color="auto" w:fill="auto"/>
            <w:vAlign w:val="center"/>
          </w:tcPr>
          <w:p>
            <w:pPr>
              <w:pStyle w:val="84"/>
              <w:bidi w:val="0"/>
              <w:rPr>
                <w:color w:val="auto"/>
                <w:highlight w:val="none"/>
              </w:rPr>
            </w:pPr>
            <w:r>
              <w:rPr>
                <w:color w:val="auto"/>
                <w:highlight w:val="none"/>
              </w:rPr>
              <w:t>无地下</w:t>
            </w:r>
          </w:p>
          <w:p>
            <w:pPr>
              <w:pStyle w:val="84"/>
              <w:bidi w:val="0"/>
              <w:rPr>
                <w:color w:val="auto"/>
                <w:highlight w:val="none"/>
              </w:rPr>
            </w:pPr>
            <w:r>
              <w:rPr>
                <w:color w:val="auto"/>
                <w:highlight w:val="none"/>
              </w:rPr>
              <w:t>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11</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商业楼2#</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地上2层，地下一层/地上3层</w:t>
            </w:r>
          </w:p>
        </w:tc>
        <w:tc>
          <w:tcPr>
            <w:tcW w:w="324" w:type="pct"/>
            <w:shd w:val="clear" w:color="auto" w:fill="auto"/>
            <w:vAlign w:val="center"/>
          </w:tcPr>
          <w:p>
            <w:pPr>
              <w:pStyle w:val="84"/>
              <w:bidi w:val="0"/>
              <w:rPr>
                <w:color w:val="auto"/>
                <w:highlight w:val="none"/>
              </w:rPr>
            </w:pPr>
            <w:r>
              <w:rPr>
                <w:rFonts w:hint="eastAsia"/>
                <w:color w:val="auto"/>
                <w:highlight w:val="none"/>
                <w:lang w:val="en-US" w:eastAsia="zh-CN"/>
              </w:rPr>
              <w:t>9.28</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1213</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2860</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560</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条形基础-钢筋混凝土结构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±0.00=767.2</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整体1.50m/部分3.00m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2939.50</w:t>
            </w:r>
          </w:p>
        </w:tc>
        <w:tc>
          <w:tcPr>
            <w:tcW w:w="375" w:type="pct"/>
            <w:shd w:val="clear" w:color="auto" w:fill="auto"/>
            <w:vAlign w:val="center"/>
          </w:tcPr>
          <w:p>
            <w:pPr>
              <w:pStyle w:val="84"/>
              <w:bidi w:val="0"/>
              <w:rPr>
                <w:color w:val="auto"/>
                <w:highlight w:val="none"/>
              </w:rPr>
            </w:pPr>
            <w:r>
              <w:rPr>
                <w:rFonts w:hint="eastAsia"/>
                <w:color w:val="auto"/>
                <w:highlight w:val="none"/>
                <w:lang w:eastAsia="zh-CN"/>
              </w:rPr>
              <w:t>有</w:t>
            </w:r>
            <w:r>
              <w:rPr>
                <w:color w:val="auto"/>
                <w:highlight w:val="none"/>
              </w:rPr>
              <w:t>地下室结构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12</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警卫室</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地上1层</w:t>
            </w:r>
          </w:p>
        </w:tc>
        <w:tc>
          <w:tcPr>
            <w:tcW w:w="324" w:type="pct"/>
            <w:shd w:val="clear" w:color="auto" w:fill="auto"/>
            <w:vAlign w:val="center"/>
          </w:tcPr>
          <w:p>
            <w:pPr>
              <w:pStyle w:val="84"/>
              <w:bidi w:val="0"/>
              <w:rPr>
                <w:color w:val="auto"/>
                <w:highlight w:val="none"/>
              </w:rPr>
            </w:pPr>
            <w:r>
              <w:rPr>
                <w:rFonts w:hint="eastAsia"/>
                <w:color w:val="auto"/>
                <w:highlight w:val="none"/>
                <w:lang w:val="en-US" w:eastAsia="zh-CN"/>
              </w:rPr>
              <w:t>2.5</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12</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12</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0</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条形基础-砖混结构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±0.00=766.15</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1.50m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18.00</w:t>
            </w:r>
          </w:p>
        </w:tc>
        <w:tc>
          <w:tcPr>
            <w:tcW w:w="375" w:type="pct"/>
            <w:shd w:val="clear" w:color="auto" w:fill="auto"/>
            <w:vAlign w:val="center"/>
          </w:tcPr>
          <w:p>
            <w:pPr>
              <w:pStyle w:val="84"/>
              <w:bidi w:val="0"/>
              <w:rPr>
                <w:color w:val="auto"/>
                <w:highlight w:val="none"/>
              </w:rPr>
            </w:pPr>
            <w:r>
              <w:rPr>
                <w:color w:val="auto"/>
                <w:highlight w:val="none"/>
              </w:rPr>
              <w:t>无地下</w:t>
            </w:r>
          </w:p>
          <w:p>
            <w:pPr>
              <w:pStyle w:val="84"/>
              <w:bidi w:val="0"/>
              <w:rPr>
                <w:color w:val="auto"/>
                <w:highlight w:val="none"/>
              </w:rPr>
            </w:pPr>
            <w:r>
              <w:rPr>
                <w:color w:val="auto"/>
                <w:highlight w:val="none"/>
              </w:rPr>
              <w:t>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13</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垃圾收集点</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地上1层</w:t>
            </w:r>
          </w:p>
        </w:tc>
        <w:tc>
          <w:tcPr>
            <w:tcW w:w="324" w:type="pct"/>
            <w:shd w:val="clear" w:color="auto" w:fill="auto"/>
            <w:vAlign w:val="center"/>
          </w:tcPr>
          <w:p>
            <w:pPr>
              <w:pStyle w:val="84"/>
              <w:bidi w:val="0"/>
              <w:rPr>
                <w:color w:val="auto"/>
                <w:highlight w:val="none"/>
              </w:rPr>
            </w:pPr>
            <w:r>
              <w:rPr>
                <w:rFonts w:hint="eastAsia"/>
                <w:color w:val="auto"/>
                <w:highlight w:val="none"/>
                <w:lang w:val="en-US" w:eastAsia="zh-CN"/>
              </w:rPr>
              <w:t>2</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20</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20</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0</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条形基础-砖混结构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±0.00=767.30</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1.50m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30.00</w:t>
            </w:r>
          </w:p>
        </w:tc>
        <w:tc>
          <w:tcPr>
            <w:tcW w:w="375" w:type="pct"/>
            <w:shd w:val="clear" w:color="auto" w:fill="auto"/>
            <w:vAlign w:val="center"/>
          </w:tcPr>
          <w:p>
            <w:pPr>
              <w:pStyle w:val="84"/>
              <w:bidi w:val="0"/>
              <w:rPr>
                <w:color w:val="auto"/>
                <w:highlight w:val="none"/>
              </w:rPr>
            </w:pPr>
            <w:r>
              <w:rPr>
                <w:color w:val="auto"/>
                <w:highlight w:val="none"/>
              </w:rPr>
              <w:t>无地下</w:t>
            </w:r>
          </w:p>
          <w:p>
            <w:pPr>
              <w:pStyle w:val="84"/>
              <w:bidi w:val="0"/>
              <w:rPr>
                <w:color w:val="auto"/>
                <w:highlight w:val="none"/>
              </w:rPr>
            </w:pPr>
            <w:r>
              <w:rPr>
                <w:color w:val="auto"/>
                <w:highlight w:val="none"/>
              </w:rPr>
              <w:t>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77" w:type="pct"/>
            <w:shd w:val="clear" w:color="auto" w:fill="auto"/>
            <w:vAlign w:val="center"/>
          </w:tcPr>
          <w:p>
            <w:pPr>
              <w:pStyle w:val="84"/>
              <w:bidi w:val="0"/>
              <w:rPr>
                <w:color w:val="auto"/>
                <w:highlight w:val="none"/>
              </w:rPr>
            </w:pPr>
            <w:r>
              <w:rPr>
                <w:rFonts w:hint="eastAsia"/>
                <w:color w:val="auto"/>
                <w:highlight w:val="none"/>
                <w:lang w:val="en-US" w:eastAsia="zh-CN"/>
              </w:rPr>
              <w:t>14</w:t>
            </w:r>
          </w:p>
        </w:tc>
        <w:tc>
          <w:tcPr>
            <w:tcW w:w="381" w:type="pct"/>
            <w:shd w:val="clear" w:color="auto" w:fill="auto"/>
            <w:vAlign w:val="center"/>
          </w:tcPr>
          <w:p>
            <w:pPr>
              <w:pStyle w:val="84"/>
              <w:bidi w:val="0"/>
              <w:rPr>
                <w:color w:val="auto"/>
                <w:highlight w:val="none"/>
              </w:rPr>
            </w:pPr>
            <w:r>
              <w:rPr>
                <w:rFonts w:hint="eastAsia"/>
                <w:color w:val="auto"/>
                <w:highlight w:val="none"/>
                <w:lang w:val="en-US" w:eastAsia="zh-CN"/>
              </w:rPr>
              <w:t>天然气调压站</w:t>
            </w:r>
          </w:p>
        </w:tc>
        <w:tc>
          <w:tcPr>
            <w:tcW w:w="527" w:type="pct"/>
            <w:shd w:val="clear" w:color="auto" w:fill="auto"/>
            <w:vAlign w:val="center"/>
          </w:tcPr>
          <w:p>
            <w:pPr>
              <w:pStyle w:val="84"/>
              <w:bidi w:val="0"/>
              <w:rPr>
                <w:color w:val="auto"/>
                <w:highlight w:val="none"/>
              </w:rPr>
            </w:pPr>
            <w:r>
              <w:rPr>
                <w:rFonts w:hint="eastAsia"/>
                <w:color w:val="auto"/>
                <w:highlight w:val="none"/>
                <w:lang w:val="en-US" w:eastAsia="zh-CN"/>
              </w:rPr>
              <w:t>地上1层</w:t>
            </w:r>
          </w:p>
        </w:tc>
        <w:tc>
          <w:tcPr>
            <w:tcW w:w="324" w:type="pct"/>
            <w:shd w:val="clear" w:color="auto" w:fill="auto"/>
            <w:vAlign w:val="center"/>
          </w:tcPr>
          <w:p>
            <w:pPr>
              <w:pStyle w:val="84"/>
              <w:bidi w:val="0"/>
              <w:rPr>
                <w:color w:val="auto"/>
                <w:highlight w:val="none"/>
              </w:rPr>
            </w:pPr>
            <w:r>
              <w:rPr>
                <w:rFonts w:hint="eastAsia"/>
                <w:color w:val="auto"/>
                <w:highlight w:val="none"/>
                <w:lang w:val="en-US" w:eastAsia="zh-CN"/>
              </w:rPr>
              <w:t>2.5</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5</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5</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0</w:t>
            </w:r>
          </w:p>
        </w:tc>
        <w:tc>
          <w:tcPr>
            <w:tcW w:w="450" w:type="pct"/>
            <w:shd w:val="clear" w:color="auto" w:fill="auto"/>
            <w:vAlign w:val="center"/>
          </w:tcPr>
          <w:p>
            <w:pPr>
              <w:pStyle w:val="84"/>
              <w:bidi w:val="0"/>
              <w:rPr>
                <w:color w:val="auto"/>
                <w:highlight w:val="none"/>
              </w:rPr>
            </w:pPr>
            <w:r>
              <w:rPr>
                <w:rFonts w:hint="eastAsia"/>
                <w:color w:val="auto"/>
                <w:highlight w:val="none"/>
                <w:lang w:val="en-US" w:eastAsia="zh-CN"/>
              </w:rPr>
              <w:t>条形基础-砖混结构</w:t>
            </w:r>
          </w:p>
        </w:tc>
        <w:tc>
          <w:tcPr>
            <w:tcW w:w="548" w:type="pct"/>
            <w:shd w:val="clear" w:color="auto" w:fill="auto"/>
            <w:vAlign w:val="center"/>
          </w:tcPr>
          <w:p>
            <w:pPr>
              <w:pStyle w:val="84"/>
              <w:bidi w:val="0"/>
              <w:rPr>
                <w:color w:val="auto"/>
                <w:highlight w:val="none"/>
              </w:rPr>
            </w:pPr>
            <w:r>
              <w:rPr>
                <w:rFonts w:hint="eastAsia"/>
                <w:color w:val="auto"/>
                <w:highlight w:val="none"/>
                <w:lang w:val="en-US" w:eastAsia="zh-CN"/>
              </w:rPr>
              <w:t>±0.00=767.25</w:t>
            </w:r>
          </w:p>
        </w:tc>
        <w:tc>
          <w:tcPr>
            <w:tcW w:w="491" w:type="pct"/>
            <w:shd w:val="clear" w:color="auto" w:fill="auto"/>
            <w:vAlign w:val="center"/>
          </w:tcPr>
          <w:p>
            <w:pPr>
              <w:pStyle w:val="84"/>
              <w:bidi w:val="0"/>
              <w:rPr>
                <w:color w:val="auto"/>
                <w:highlight w:val="none"/>
              </w:rPr>
            </w:pPr>
            <w:r>
              <w:rPr>
                <w:rFonts w:hint="eastAsia"/>
                <w:color w:val="auto"/>
                <w:highlight w:val="none"/>
                <w:lang w:val="en-US" w:eastAsia="zh-CN"/>
              </w:rPr>
              <w:t>1.50m</w:t>
            </w:r>
          </w:p>
        </w:tc>
        <w:tc>
          <w:tcPr>
            <w:tcW w:w="436" w:type="pct"/>
            <w:shd w:val="clear" w:color="auto" w:fill="auto"/>
            <w:vAlign w:val="center"/>
          </w:tcPr>
          <w:p>
            <w:pPr>
              <w:pStyle w:val="84"/>
              <w:bidi w:val="0"/>
              <w:rPr>
                <w:color w:val="auto"/>
                <w:highlight w:val="none"/>
              </w:rPr>
            </w:pPr>
            <w:r>
              <w:rPr>
                <w:rFonts w:hint="eastAsia"/>
                <w:color w:val="auto"/>
                <w:highlight w:val="none"/>
                <w:lang w:val="en-US" w:eastAsia="zh-CN"/>
              </w:rPr>
              <w:t>7.50</w:t>
            </w:r>
          </w:p>
        </w:tc>
        <w:tc>
          <w:tcPr>
            <w:tcW w:w="375" w:type="pct"/>
            <w:shd w:val="clear" w:color="auto" w:fill="auto"/>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1410" w:type="pct"/>
            <w:gridSpan w:val="4"/>
            <w:shd w:val="clear" w:color="auto" w:fill="auto"/>
            <w:vAlign w:val="center"/>
          </w:tcPr>
          <w:p>
            <w:pPr>
              <w:pStyle w:val="84"/>
              <w:bidi w:val="0"/>
              <w:rPr>
                <w:color w:val="auto"/>
                <w:highlight w:val="none"/>
              </w:rPr>
            </w:pPr>
            <w:r>
              <w:rPr>
                <w:color w:val="auto"/>
                <w:highlight w:val="none"/>
              </w:rPr>
              <w:t>小计</w:t>
            </w:r>
          </w:p>
        </w:tc>
        <w:tc>
          <w:tcPr>
            <w:tcW w:w="392" w:type="pct"/>
            <w:shd w:val="clear" w:color="auto" w:fill="auto"/>
            <w:vAlign w:val="center"/>
          </w:tcPr>
          <w:p>
            <w:pPr>
              <w:pStyle w:val="84"/>
              <w:bidi w:val="0"/>
              <w:rPr>
                <w:color w:val="auto"/>
                <w:highlight w:val="none"/>
              </w:rPr>
            </w:pPr>
            <w:r>
              <w:rPr>
                <w:rFonts w:hint="eastAsia"/>
                <w:color w:val="auto"/>
                <w:highlight w:val="none"/>
                <w:lang w:val="en-US" w:eastAsia="zh-CN"/>
              </w:rPr>
              <w:t>7270.57</w:t>
            </w:r>
          </w:p>
        </w:tc>
        <w:tc>
          <w:tcPr>
            <w:tcW w:w="457" w:type="pct"/>
            <w:shd w:val="clear" w:color="auto" w:fill="auto"/>
            <w:vAlign w:val="center"/>
          </w:tcPr>
          <w:p>
            <w:pPr>
              <w:pStyle w:val="84"/>
              <w:bidi w:val="0"/>
              <w:rPr>
                <w:color w:val="auto"/>
                <w:highlight w:val="none"/>
              </w:rPr>
            </w:pPr>
            <w:r>
              <w:rPr>
                <w:rFonts w:hint="eastAsia"/>
                <w:color w:val="auto"/>
                <w:highlight w:val="none"/>
                <w:lang w:val="en-US" w:eastAsia="zh-CN"/>
              </w:rPr>
              <w:t xml:space="preserve">33970 </w:t>
            </w:r>
          </w:p>
        </w:tc>
        <w:tc>
          <w:tcPr>
            <w:tcW w:w="437" w:type="pct"/>
            <w:shd w:val="clear" w:color="auto" w:fill="auto"/>
            <w:vAlign w:val="center"/>
          </w:tcPr>
          <w:p>
            <w:pPr>
              <w:pStyle w:val="84"/>
              <w:bidi w:val="0"/>
              <w:rPr>
                <w:color w:val="auto"/>
                <w:highlight w:val="none"/>
              </w:rPr>
            </w:pPr>
            <w:r>
              <w:rPr>
                <w:rFonts w:hint="eastAsia"/>
                <w:color w:val="auto"/>
                <w:highlight w:val="none"/>
                <w:lang w:val="en-US" w:eastAsia="zh-CN"/>
              </w:rPr>
              <w:t>4943</w:t>
            </w:r>
          </w:p>
        </w:tc>
        <w:tc>
          <w:tcPr>
            <w:tcW w:w="450" w:type="pct"/>
            <w:shd w:val="clear" w:color="auto" w:fill="auto"/>
            <w:vAlign w:val="center"/>
          </w:tcPr>
          <w:p>
            <w:pPr>
              <w:pStyle w:val="84"/>
              <w:bidi w:val="0"/>
              <w:rPr>
                <w:color w:val="auto"/>
                <w:highlight w:val="none"/>
              </w:rPr>
            </w:pPr>
            <w:r>
              <w:rPr>
                <w:color w:val="auto"/>
                <w:highlight w:val="none"/>
              </w:rPr>
              <w:t>　</w:t>
            </w:r>
          </w:p>
        </w:tc>
        <w:tc>
          <w:tcPr>
            <w:tcW w:w="548" w:type="pct"/>
            <w:shd w:val="clear" w:color="auto" w:fill="auto"/>
            <w:vAlign w:val="center"/>
          </w:tcPr>
          <w:p>
            <w:pPr>
              <w:pStyle w:val="84"/>
              <w:bidi w:val="0"/>
              <w:rPr>
                <w:color w:val="auto"/>
                <w:highlight w:val="none"/>
              </w:rPr>
            </w:pPr>
            <w:r>
              <w:rPr>
                <w:color w:val="auto"/>
                <w:highlight w:val="none"/>
              </w:rPr>
              <w:t>　</w:t>
            </w:r>
          </w:p>
        </w:tc>
        <w:tc>
          <w:tcPr>
            <w:tcW w:w="491" w:type="pct"/>
            <w:shd w:val="clear" w:color="auto" w:fill="auto"/>
            <w:vAlign w:val="center"/>
          </w:tcPr>
          <w:p>
            <w:pPr>
              <w:pStyle w:val="84"/>
              <w:bidi w:val="0"/>
              <w:rPr>
                <w:color w:val="auto"/>
                <w:highlight w:val="none"/>
              </w:rPr>
            </w:pPr>
            <w:r>
              <w:rPr>
                <w:color w:val="auto"/>
                <w:highlight w:val="none"/>
              </w:rPr>
              <w:t>　</w:t>
            </w:r>
          </w:p>
        </w:tc>
        <w:tc>
          <w:tcPr>
            <w:tcW w:w="436" w:type="pct"/>
            <w:shd w:val="clear" w:color="auto" w:fill="auto"/>
            <w:vAlign w:val="center"/>
          </w:tcPr>
          <w:p>
            <w:pPr>
              <w:pStyle w:val="84"/>
              <w:bidi w:val="0"/>
              <w:rPr>
                <w:rFonts w:hint="eastAsia"/>
                <w:color w:val="auto"/>
                <w:highlight w:val="none"/>
                <w:lang w:val="en-US" w:eastAsia="zh-CN"/>
              </w:rPr>
            </w:pPr>
            <w:r>
              <w:rPr>
                <w:rFonts w:hint="eastAsia"/>
                <w:color w:val="auto"/>
                <w:highlight w:val="none"/>
                <w:lang w:val="en-US" w:eastAsia="zh-CN"/>
              </w:rPr>
              <w:t>17364</w:t>
            </w:r>
          </w:p>
        </w:tc>
        <w:tc>
          <w:tcPr>
            <w:tcW w:w="375" w:type="pct"/>
            <w:shd w:val="clear" w:color="auto" w:fill="auto"/>
            <w:vAlign w:val="center"/>
          </w:tcPr>
          <w:p>
            <w:pPr>
              <w:pStyle w:val="84"/>
              <w:bidi w:val="0"/>
              <w:rPr>
                <w:color w:val="auto"/>
                <w:highlight w:val="none"/>
              </w:rPr>
            </w:pPr>
            <w:r>
              <w:rPr>
                <w:color w:val="auto"/>
                <w:highlight w:val="none"/>
              </w:rPr>
              <w:t>　</w:t>
            </w:r>
          </w:p>
        </w:tc>
      </w:tr>
    </w:tbl>
    <w:p>
      <w:pPr>
        <w:pStyle w:val="75"/>
        <w:rPr>
          <w:color w:val="auto"/>
          <w:highlight w:val="none"/>
        </w:rPr>
      </w:pPr>
    </w:p>
    <w:p>
      <w:pPr>
        <w:pStyle w:val="75"/>
        <w:rPr>
          <w:color w:val="auto"/>
          <w:highlight w:val="none"/>
        </w:rPr>
      </w:pPr>
    </w:p>
    <w:p>
      <w:pPr>
        <w:pStyle w:val="75"/>
        <w:rPr>
          <w:color w:val="auto"/>
          <w:highlight w:val="none"/>
        </w:rPr>
        <w:sectPr>
          <w:pgSz w:w="16838" w:h="11906" w:orient="landscape"/>
          <w:pgMar w:top="1531" w:right="1440" w:bottom="1531" w:left="1440"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72"/>
        <w:rPr>
          <w:color w:val="auto"/>
          <w:highlight w:val="none"/>
        </w:rPr>
      </w:pPr>
      <w:r>
        <w:rPr>
          <w:color w:val="auto"/>
          <w:highlight w:val="none"/>
        </w:rPr>
        <w:t>2.1.3.2 绿化区</w:t>
      </w:r>
    </w:p>
    <w:p>
      <w:pPr>
        <w:pStyle w:val="56"/>
        <w:ind w:firstLine="480"/>
        <w:rPr>
          <w:rFonts w:eastAsia="宋体"/>
          <w:color w:val="auto"/>
          <w:highlight w:val="none"/>
        </w:rPr>
      </w:pPr>
      <w:r>
        <w:rPr>
          <w:color w:val="auto"/>
          <w:highlight w:val="none"/>
        </w:rPr>
        <w:t>本项目建构筑物周边以及道路沿线均采取景观绿化，改善小区人居环境，达到开窗见绿、出门见景效果。主体计划采取栽植乔灌木、种植草坪的方式绿化，同时根据距离建构筑物和道路的远近，分层次布设乔灌木等，达到一个错落有致的景观效果。主体设计绿化率为</w:t>
      </w:r>
      <w:r>
        <w:rPr>
          <w:rFonts w:hint="eastAsia"/>
          <w:color w:val="auto"/>
          <w:highlight w:val="none"/>
          <w:lang w:val="en-US" w:eastAsia="zh-CN"/>
        </w:rPr>
        <w:t>40</w:t>
      </w:r>
      <w:r>
        <w:rPr>
          <w:color w:val="auto"/>
          <w:highlight w:val="none"/>
        </w:rPr>
        <w:t>%，项目区绿化面积共计</w:t>
      </w:r>
      <w:r>
        <w:rPr>
          <w:rFonts w:hint="eastAsia"/>
          <w:color w:val="auto"/>
          <w:highlight w:val="none"/>
          <w:lang w:val="en-US" w:eastAsia="zh-CN"/>
        </w:rPr>
        <w:t>1.21</w:t>
      </w:r>
      <w:r>
        <w:rPr>
          <w:color w:val="auto"/>
          <w:highlight w:val="none"/>
        </w:rPr>
        <w:t>hm</w:t>
      </w:r>
      <w:r>
        <w:rPr>
          <w:rFonts w:eastAsia="宋体"/>
          <w:color w:val="auto"/>
          <w:highlight w:val="none"/>
        </w:rPr>
        <w:t>²。</w:t>
      </w:r>
    </w:p>
    <w:p>
      <w:pPr>
        <w:pStyle w:val="56"/>
        <w:ind w:firstLine="480"/>
        <w:rPr>
          <w:color w:val="auto"/>
          <w:highlight w:val="none"/>
        </w:rPr>
      </w:pPr>
      <w:r>
        <w:rPr>
          <w:color w:val="auto"/>
          <w:highlight w:val="none"/>
        </w:rPr>
        <w:t>主体工程设计项目区除了建筑物、道路、硬化场地以外的其他空地上实施植被绿化，项目绿化工程由建设单位委托专门的景观设计单位进行设计。绿化方式为草坪、灌木、乔木相结合的城市园林式绿化，并配置微喷灌设施，树种采用乔木与灌木、长绿与落叶搭配，各种四季花草点缀的原则，选择树形优美，耐风沙枝繁叶茂、适宜本地生长的园林绿化树种。项目绿化区域灌溉选用微喷灌方式进行灌溉，水源市政绿化用水。</w:t>
      </w:r>
      <w:r>
        <w:rPr>
          <w:rFonts w:hint="eastAsia"/>
          <w:color w:val="auto"/>
          <w:highlight w:val="none"/>
          <w:lang w:eastAsia="zh-CN"/>
        </w:rPr>
        <w:t>（</w:t>
      </w:r>
      <w:r>
        <w:rPr>
          <w:rFonts w:hint="eastAsia"/>
          <w:color w:val="auto"/>
          <w:sz w:val="24"/>
          <w:szCs w:val="24"/>
          <w:highlight w:val="none"/>
          <w:lang w:eastAsia="zh-CN"/>
        </w:rPr>
        <w:t>注：</w:t>
      </w:r>
      <w:r>
        <w:rPr>
          <w:rFonts w:hint="eastAsia"/>
          <w:b w:val="0"/>
          <w:bCs w:val="0"/>
          <w:color w:val="auto"/>
          <w:sz w:val="24"/>
          <w:szCs w:val="24"/>
          <w:highlight w:val="none"/>
          <w:lang w:val="en-US" w:eastAsia="zh-CN"/>
        </w:rPr>
        <w:t>红蓝线与市政道路之间绿化防治责任归属于市政管理</w:t>
      </w:r>
      <w:r>
        <w:rPr>
          <w:rFonts w:hint="eastAsia"/>
          <w:color w:val="auto"/>
          <w:highlight w:val="none"/>
          <w:lang w:eastAsia="zh-CN"/>
        </w:rPr>
        <w:t>）</w:t>
      </w:r>
    </w:p>
    <w:p>
      <w:pPr>
        <w:pStyle w:val="72"/>
        <w:rPr>
          <w:color w:val="auto"/>
          <w:highlight w:val="none"/>
        </w:rPr>
      </w:pPr>
      <w:r>
        <w:rPr>
          <w:color w:val="auto"/>
          <w:highlight w:val="none"/>
        </w:rPr>
        <w:t>2.1.3.3 道路及硬化区</w:t>
      </w:r>
    </w:p>
    <w:p>
      <w:pPr>
        <w:pStyle w:val="56"/>
        <w:ind w:firstLine="480"/>
        <w:rPr>
          <w:color w:val="auto"/>
          <w:highlight w:val="none"/>
        </w:rPr>
      </w:pPr>
      <w:r>
        <w:rPr>
          <w:color w:val="auto"/>
          <w:highlight w:val="none"/>
        </w:rPr>
        <w:t>根据主体资料，本项目道路及硬化区占地共计</w:t>
      </w:r>
      <w:r>
        <w:rPr>
          <w:rFonts w:hint="eastAsia"/>
          <w:color w:val="auto"/>
          <w:highlight w:val="none"/>
        </w:rPr>
        <w:t>1.</w:t>
      </w:r>
      <w:r>
        <w:rPr>
          <w:rFonts w:hint="eastAsia"/>
          <w:color w:val="auto"/>
          <w:highlight w:val="none"/>
          <w:lang w:val="en-US" w:eastAsia="zh-CN"/>
        </w:rPr>
        <w:t>02</w:t>
      </w:r>
      <w:r>
        <w:rPr>
          <w:color w:val="auto"/>
          <w:highlight w:val="none"/>
        </w:rPr>
        <w:t>hm²，均为永久占地</w:t>
      </w:r>
      <w:r>
        <w:rPr>
          <w:rFonts w:hint="eastAsia"/>
          <w:color w:val="auto"/>
          <w:highlight w:val="none"/>
        </w:rPr>
        <w:t>。</w:t>
      </w:r>
      <w:r>
        <w:rPr>
          <w:color w:val="auto"/>
          <w:highlight w:val="none"/>
        </w:rPr>
        <w:t>项目区</w:t>
      </w:r>
      <w:r>
        <w:rPr>
          <w:rFonts w:hint="eastAsia"/>
          <w:color w:val="auto"/>
          <w:highlight w:val="none"/>
        </w:rPr>
        <w:t>在</w:t>
      </w:r>
      <w:r>
        <w:rPr>
          <w:color w:val="auto"/>
          <w:highlight w:val="none"/>
        </w:rPr>
        <w:t>景观绿化</w:t>
      </w:r>
      <w:r>
        <w:rPr>
          <w:rFonts w:hint="eastAsia"/>
          <w:color w:val="auto"/>
          <w:highlight w:val="none"/>
        </w:rPr>
        <w:t>区域</w:t>
      </w:r>
      <w:r>
        <w:rPr>
          <w:color w:val="auto"/>
          <w:highlight w:val="none"/>
        </w:rPr>
        <w:t>布置人行景观路</w:t>
      </w:r>
      <w:r>
        <w:rPr>
          <w:rFonts w:hint="eastAsia"/>
          <w:color w:val="auto"/>
          <w:highlight w:val="none"/>
        </w:rPr>
        <w:t>及庭阁</w:t>
      </w:r>
      <w:r>
        <w:rPr>
          <w:color w:val="auto"/>
          <w:highlight w:val="none"/>
        </w:rPr>
        <w:t>，</w:t>
      </w:r>
      <w:r>
        <w:rPr>
          <w:rFonts w:hint="eastAsia"/>
          <w:color w:val="auto"/>
          <w:highlight w:val="none"/>
        </w:rPr>
        <w:t>便于小区居民步行穿梭于小区内，同时欣赏景观</w:t>
      </w:r>
      <w:r>
        <w:rPr>
          <w:color w:val="auto"/>
          <w:highlight w:val="none"/>
        </w:rPr>
        <w:t>。同时主体设计在项目区</w:t>
      </w:r>
      <w:r>
        <w:rPr>
          <w:rFonts w:hint="eastAsia"/>
          <w:color w:val="auto"/>
          <w:highlight w:val="none"/>
          <w:lang w:eastAsia="zh-CN"/>
        </w:rPr>
        <w:t>西</w:t>
      </w:r>
      <w:r>
        <w:rPr>
          <w:rFonts w:hint="eastAsia"/>
          <w:color w:val="auto"/>
          <w:highlight w:val="none"/>
        </w:rPr>
        <w:t>侧布置出入口</w:t>
      </w:r>
      <w:r>
        <w:rPr>
          <w:color w:val="auto"/>
          <w:highlight w:val="none"/>
        </w:rPr>
        <w:t>，建筑四周布设完整的内环形道路</w:t>
      </w:r>
      <w:r>
        <w:rPr>
          <w:rFonts w:hint="eastAsia"/>
          <w:color w:val="auto"/>
          <w:highlight w:val="none"/>
        </w:rPr>
        <w:t>，环形道路长584m，</w:t>
      </w:r>
      <w:r>
        <w:rPr>
          <w:color w:val="auto"/>
          <w:highlight w:val="none"/>
        </w:rPr>
        <w:t>道路宽度为6m，最小转弯半径</w:t>
      </w:r>
      <w:r>
        <w:rPr>
          <w:rFonts w:hint="eastAsia"/>
          <w:color w:val="auto"/>
          <w:highlight w:val="none"/>
          <w:lang w:val="en-US" w:eastAsia="zh-CN"/>
        </w:rPr>
        <w:t>8</w:t>
      </w:r>
      <w:r>
        <w:rPr>
          <w:color w:val="auto"/>
          <w:highlight w:val="none"/>
        </w:rPr>
        <w:t>m，</w:t>
      </w:r>
      <w:r>
        <w:rPr>
          <w:rFonts w:hint="eastAsia"/>
          <w:color w:val="auto"/>
          <w:highlight w:val="none"/>
        </w:rPr>
        <w:t>同时不再单独布设消防通道</w:t>
      </w:r>
      <w:r>
        <w:rPr>
          <w:color w:val="auto"/>
          <w:highlight w:val="none"/>
        </w:rPr>
        <w:t>。同时主体设计在建构筑物及道路沿线空地设置地面停车位，共设置</w:t>
      </w:r>
      <w:r>
        <w:rPr>
          <w:rFonts w:hint="eastAsia"/>
          <w:color w:val="auto"/>
          <w:highlight w:val="none"/>
        </w:rPr>
        <w:t>居民</w:t>
      </w:r>
      <w:r>
        <w:rPr>
          <w:color w:val="auto"/>
          <w:highlight w:val="none"/>
        </w:rPr>
        <w:t>地面停车位</w:t>
      </w:r>
      <w:r>
        <w:rPr>
          <w:rFonts w:hint="eastAsia"/>
          <w:color w:val="auto"/>
          <w:highlight w:val="none"/>
        </w:rPr>
        <w:t>2</w:t>
      </w:r>
      <w:r>
        <w:rPr>
          <w:rFonts w:hint="eastAsia"/>
          <w:color w:val="auto"/>
          <w:highlight w:val="none"/>
          <w:lang w:val="en-US" w:eastAsia="zh-CN"/>
        </w:rPr>
        <w:t>78</w:t>
      </w:r>
      <w:r>
        <w:rPr>
          <w:rFonts w:hint="eastAsia"/>
          <w:color w:val="auto"/>
          <w:highlight w:val="none"/>
          <w:lang w:eastAsia="zh-CN"/>
        </w:rPr>
        <w:t>辆</w:t>
      </w:r>
      <w:r>
        <w:rPr>
          <w:color w:val="auto"/>
          <w:highlight w:val="none"/>
        </w:rPr>
        <w:t>，基本能满足来访停车和住户停车的需求。</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eastAsia="zh-CN"/>
        </w:rPr>
        <w:t>道路路面结构为</w:t>
      </w:r>
      <w:r>
        <w:rPr>
          <w:rFonts w:hint="default" w:ascii="Times New Roman" w:hAnsi="Times New Roman" w:eastAsia="仿宋_GB2312" w:cs="Times New Roman"/>
          <w:color w:val="auto"/>
          <w:highlight w:val="none"/>
          <w:lang w:val="en-US" w:eastAsia="zh-CN"/>
        </w:rPr>
        <w:t>10cm厚砂砾石垫层</w:t>
      </w:r>
      <w:r>
        <w:rPr>
          <w:rFonts w:hint="eastAsia"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20cm厚C30混凝土，垫层由周边料场商购。</w:t>
      </w:r>
      <w:r>
        <w:rPr>
          <w:rFonts w:hint="default" w:ascii="Times New Roman" w:hAnsi="Times New Roman" w:eastAsia="仿宋_GB2312" w:cs="Times New Roman"/>
          <w:color w:val="auto"/>
          <w:highlight w:val="none"/>
        </w:rPr>
        <w:t>地块场地平整，道路竖向坡度均满足消防车通行要求。项目区内部连通性道路满足消防功能的前提下，大都采用硬地铺装方式。</w:t>
      </w:r>
    </w:p>
    <w:p>
      <w:pPr>
        <w:pStyle w:val="56"/>
        <w:pBdr>
          <w:top w:val="none" w:color="auto" w:sz="0" w:space="0"/>
          <w:left w:val="none" w:color="auto" w:sz="0" w:space="0"/>
          <w:bottom w:val="none" w:color="auto" w:sz="0" w:space="0"/>
          <w:right w:val="none" w:color="auto" w:sz="0" w:space="0"/>
          <w:between w:val="none" w:color="auto" w:sz="0" w:space="0"/>
        </w:pBdr>
        <w:ind w:firstLine="480"/>
        <w:rPr>
          <w:color w:val="auto"/>
          <w:highlight w:val="none"/>
        </w:rPr>
      </w:pPr>
      <w:r>
        <w:rPr>
          <w:color w:val="auto"/>
          <w:highlight w:val="none"/>
        </w:rPr>
        <w:t>本项目位于</w:t>
      </w:r>
      <w:r>
        <w:rPr>
          <w:rFonts w:hint="eastAsia"/>
          <w:color w:val="auto"/>
          <w:highlight w:val="none"/>
          <w:lang w:eastAsia="zh-CN"/>
        </w:rPr>
        <w:t>伊宁县公安局以南，新城路以北，文明路以东，703乡道以西</w:t>
      </w:r>
      <w:r>
        <w:rPr>
          <w:color w:val="auto"/>
          <w:szCs w:val="26"/>
          <w:highlight w:val="none"/>
        </w:rPr>
        <w:t>，紧邻道路布设</w:t>
      </w:r>
      <w:r>
        <w:rPr>
          <w:color w:val="auto"/>
          <w:highlight w:val="none"/>
        </w:rPr>
        <w:t>，在建成后，西侧布设一处出入口，连接</w:t>
      </w:r>
      <w:r>
        <w:rPr>
          <w:rFonts w:hint="eastAsia"/>
          <w:color w:val="auto"/>
          <w:highlight w:val="none"/>
          <w:lang w:eastAsia="zh-CN"/>
        </w:rPr>
        <w:t>文明路</w:t>
      </w:r>
      <w:r>
        <w:rPr>
          <w:rFonts w:eastAsia="仿宋_GB2312"/>
          <w:color w:val="auto"/>
          <w:highlight w:val="none"/>
        </w:rPr>
        <w:t>，进场道路可直接利用现有道路，满足要求，施工车辆可从</w:t>
      </w:r>
      <w:r>
        <w:rPr>
          <w:color w:val="auto"/>
          <w:szCs w:val="26"/>
          <w:highlight w:val="none"/>
        </w:rPr>
        <w:t>紧邻的</w:t>
      </w:r>
      <w:r>
        <w:rPr>
          <w:rFonts w:hint="eastAsia"/>
          <w:color w:val="auto"/>
          <w:szCs w:val="26"/>
          <w:highlight w:val="none"/>
          <w:lang w:eastAsia="zh-CN"/>
        </w:rPr>
        <w:t>文明</w:t>
      </w:r>
      <w:r>
        <w:rPr>
          <w:color w:val="auto"/>
          <w:szCs w:val="26"/>
          <w:highlight w:val="none"/>
        </w:rPr>
        <w:t>路</w:t>
      </w:r>
      <w:r>
        <w:rPr>
          <w:rFonts w:eastAsia="仿宋_GB2312"/>
          <w:color w:val="auto"/>
          <w:highlight w:val="none"/>
        </w:rPr>
        <w:t>直接入场，无需新建</w:t>
      </w:r>
      <w:r>
        <w:rPr>
          <w:rFonts w:hint="default" w:ascii="Times New Roman" w:hAnsi="Times New Roman" w:eastAsia="仿宋_GB2312" w:cs="Times New Roman"/>
          <w:color w:val="auto"/>
          <w:highlight w:val="none"/>
        </w:rPr>
        <w:t>。</w:t>
      </w:r>
    </w:p>
    <w:p>
      <w:pPr>
        <w:pStyle w:val="72"/>
        <w:pBdr>
          <w:top w:val="none" w:color="auto" w:sz="0" w:space="0"/>
          <w:left w:val="none" w:color="auto" w:sz="0" w:space="0"/>
          <w:bottom w:val="none" w:color="auto" w:sz="0" w:space="0"/>
          <w:right w:val="none" w:color="auto" w:sz="0" w:space="0"/>
          <w:between w:val="none" w:color="auto" w:sz="0" w:space="0"/>
        </w:pBdr>
        <w:rPr>
          <w:color w:val="auto"/>
          <w:highlight w:val="none"/>
        </w:rPr>
      </w:pPr>
      <w:r>
        <w:rPr>
          <w:color w:val="auto"/>
          <w:highlight w:val="none"/>
        </w:rPr>
        <w:t>2.1.3.4 管线工程区</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项目管线工程主要包括给水消防、排水、强电、弱电、供暖</w:t>
      </w:r>
      <w:r>
        <w:rPr>
          <w:rFonts w:hint="eastAsia" w:cs="Times New Roman"/>
          <w:color w:val="auto"/>
          <w:highlight w:val="none"/>
          <w:lang w:eastAsia="zh-CN"/>
        </w:rPr>
        <w:t>、燃气</w:t>
      </w:r>
      <w:r>
        <w:rPr>
          <w:rFonts w:hint="default" w:ascii="Times New Roman" w:hAnsi="Times New Roman" w:eastAsia="仿宋_GB2312" w:cs="Times New Roman"/>
          <w:color w:val="auto"/>
          <w:highlight w:val="none"/>
        </w:rPr>
        <w:t>组成。项目管线采用地埋敷设，工程结束后地面建设按主体设计进行硬化或绿化处理。管线工程建设过程中，管线开挖土方临时堆放于管沟一侧，管线工程另外一侧为管线施工作业带。各类管线布设在建构筑之间的道路及硬化区和绿化区范围内，属于重复占地，同时各类管线中部分管线采取同沟布设，并且管沟开挖施工开挖期间，施工作业带部分有重叠，经估计，管线工程区施工期间扰动地表面积为0.</w:t>
      </w:r>
      <w:r>
        <w:rPr>
          <w:rFonts w:hint="eastAsia" w:ascii="Times New Roman" w:hAnsi="Times New Roman" w:cs="Times New Roman"/>
          <w:color w:val="auto"/>
          <w:highlight w:val="none"/>
          <w:lang w:val="en-US" w:eastAsia="zh-CN"/>
        </w:rPr>
        <w:t>5</w:t>
      </w:r>
      <w:r>
        <w:rPr>
          <w:rFonts w:hint="default" w:ascii="Times New Roman" w:hAnsi="Times New Roman" w:eastAsia="仿宋_GB2312" w:cs="Times New Roman"/>
          <w:color w:val="auto"/>
          <w:highlight w:val="none"/>
          <w:lang w:val="en-US" w:eastAsia="zh-CN"/>
        </w:rPr>
        <w:t>0</w:t>
      </w:r>
      <w:r>
        <w:rPr>
          <w:rFonts w:hint="default" w:ascii="Times New Roman" w:hAnsi="Times New Roman" w:eastAsia="仿宋_GB2312" w:cs="Times New Roman"/>
          <w:color w:val="auto"/>
          <w:highlight w:val="none"/>
        </w:rPr>
        <w:t>hm²，为重复占地。</w:t>
      </w:r>
    </w:p>
    <w:p>
      <w:pPr>
        <w:pStyle w:val="56"/>
        <w:numPr>
          <w:ilvl w:val="0"/>
          <w:numId w:val="6"/>
        </w:numPr>
        <w:ind w:firstLine="480"/>
        <w:rPr>
          <w:rFonts w:hint="eastAsia" w:ascii="Times New Roman" w:hAnsi="Times New Roman" w:cs="Times New Roman"/>
          <w:color w:val="auto"/>
          <w:szCs w:val="26"/>
          <w:highlight w:val="none"/>
          <w:lang w:eastAsia="zh-CN"/>
        </w:rPr>
      </w:pPr>
      <w:r>
        <w:rPr>
          <w:color w:val="auto"/>
          <w:highlight w:val="none"/>
        </w:rPr>
        <w:t>给水消防：本项目位于</w:t>
      </w:r>
      <w:r>
        <w:rPr>
          <w:rFonts w:hint="eastAsia"/>
          <w:color w:val="auto"/>
          <w:highlight w:val="none"/>
          <w:lang w:eastAsia="zh-CN"/>
        </w:rPr>
        <w:t>伊宁县公安局以南，新城路以北，文明路以东，703乡道以西，</w:t>
      </w:r>
      <w:r>
        <w:rPr>
          <w:color w:val="auto"/>
          <w:szCs w:val="26"/>
          <w:highlight w:val="none"/>
        </w:rPr>
        <w:t>项目区</w:t>
      </w:r>
      <w:r>
        <w:rPr>
          <w:rFonts w:hint="eastAsia"/>
          <w:color w:val="auto"/>
          <w:szCs w:val="26"/>
          <w:highlight w:val="none"/>
          <w:lang w:eastAsia="zh-CN"/>
        </w:rPr>
        <w:t>北</w:t>
      </w:r>
      <w:r>
        <w:rPr>
          <w:color w:val="auto"/>
          <w:szCs w:val="26"/>
          <w:highlight w:val="none"/>
        </w:rPr>
        <w:t>侧紧邻布设有市政供水给水，本项目供水给水可直接接入至周边市政管网，并在接入口布设DN</w:t>
      </w:r>
      <w:r>
        <w:rPr>
          <w:rFonts w:hint="eastAsia"/>
          <w:color w:val="auto"/>
          <w:szCs w:val="26"/>
          <w:highlight w:val="none"/>
          <w:lang w:val="en-US" w:eastAsia="zh-CN"/>
        </w:rPr>
        <w:t>15</w:t>
      </w:r>
      <w:r>
        <w:rPr>
          <w:color w:val="auto"/>
          <w:szCs w:val="26"/>
          <w:highlight w:val="none"/>
        </w:rPr>
        <w:t>0的干管，再分别接至各用水单元楼，同时本项目未单独布设消防管道，直接利用已布设的给水管道，延伸至各建筑物作为消防使用。</w:t>
      </w:r>
      <w:r>
        <w:rPr>
          <w:rFonts w:hint="default" w:ascii="Times New Roman" w:hAnsi="Times New Roman" w:eastAsia="仿宋_GB2312" w:cs="Times New Roman"/>
          <w:color w:val="auto"/>
          <w:szCs w:val="26"/>
          <w:highlight w:val="none"/>
        </w:rPr>
        <w:t>经统计，本项目共布设给水管均为DN150，共计</w:t>
      </w:r>
      <w:r>
        <w:rPr>
          <w:rFonts w:hint="eastAsia" w:ascii="Times New Roman" w:hAnsi="Times New Roman" w:cs="Times New Roman"/>
          <w:color w:val="auto"/>
          <w:szCs w:val="26"/>
          <w:highlight w:val="none"/>
          <w:lang w:val="en-US" w:eastAsia="zh-CN"/>
        </w:rPr>
        <w:t>664</w:t>
      </w:r>
      <w:r>
        <w:rPr>
          <w:rFonts w:hint="default" w:ascii="Times New Roman" w:hAnsi="Times New Roman" w:eastAsia="仿宋_GB2312" w:cs="Times New Roman"/>
          <w:color w:val="auto"/>
          <w:szCs w:val="26"/>
          <w:highlight w:val="none"/>
        </w:rPr>
        <w:t>m，采取梯形断面，下口宽0.5m，上口宽1.</w:t>
      </w:r>
      <w:r>
        <w:rPr>
          <w:rFonts w:hint="eastAsia" w:ascii="Times New Roman" w:hAnsi="Times New Roman" w:cs="Times New Roman"/>
          <w:color w:val="auto"/>
          <w:szCs w:val="26"/>
          <w:highlight w:val="none"/>
          <w:lang w:val="en-US" w:eastAsia="zh-CN"/>
        </w:rPr>
        <w:t>5</w:t>
      </w:r>
      <w:r>
        <w:rPr>
          <w:rFonts w:hint="default" w:ascii="Times New Roman" w:hAnsi="Times New Roman" w:eastAsia="仿宋_GB2312" w:cs="Times New Roman"/>
          <w:color w:val="auto"/>
          <w:szCs w:val="26"/>
          <w:highlight w:val="none"/>
        </w:rPr>
        <w:t>m，管线埋深为1.</w:t>
      </w:r>
      <w:r>
        <w:rPr>
          <w:rFonts w:hint="eastAsia" w:ascii="Times New Roman" w:hAnsi="Times New Roman" w:cs="Times New Roman"/>
          <w:color w:val="auto"/>
          <w:szCs w:val="26"/>
          <w:highlight w:val="none"/>
          <w:lang w:val="en-US" w:eastAsia="zh-CN"/>
        </w:rPr>
        <w:t>7</w:t>
      </w:r>
      <w:r>
        <w:rPr>
          <w:rFonts w:hint="default" w:ascii="Times New Roman" w:hAnsi="Times New Roman" w:eastAsia="仿宋_GB2312" w:cs="Times New Roman"/>
          <w:color w:val="auto"/>
          <w:szCs w:val="26"/>
          <w:highlight w:val="none"/>
        </w:rPr>
        <w:t>m</w:t>
      </w:r>
      <w:r>
        <w:rPr>
          <w:rFonts w:hint="eastAsia" w:ascii="Times New Roman" w:hAnsi="Times New Roman" w:cs="Times New Roman"/>
          <w:color w:val="auto"/>
          <w:szCs w:val="26"/>
          <w:highlight w:val="none"/>
          <w:lang w:eastAsia="zh-CN"/>
        </w:rPr>
        <w:t>。</w:t>
      </w:r>
    </w:p>
    <w:p>
      <w:pPr>
        <w:pStyle w:val="56"/>
        <w:numPr>
          <w:ilvl w:val="0"/>
          <w:numId w:val="6"/>
        </w:numPr>
        <w:ind w:firstLine="480"/>
        <w:rPr>
          <w:color w:val="auto"/>
          <w:szCs w:val="26"/>
          <w:highlight w:val="none"/>
        </w:rPr>
      </w:pPr>
      <w:r>
        <w:rPr>
          <w:color w:val="auto"/>
          <w:szCs w:val="26"/>
          <w:highlight w:val="none"/>
        </w:rPr>
        <w:t>排水：</w:t>
      </w:r>
      <w:r>
        <w:rPr>
          <w:color w:val="auto"/>
          <w:highlight w:val="none"/>
        </w:rPr>
        <w:t>本项目位于</w:t>
      </w:r>
      <w:r>
        <w:rPr>
          <w:rFonts w:hint="eastAsia"/>
          <w:color w:val="auto"/>
          <w:highlight w:val="none"/>
          <w:lang w:eastAsia="zh-CN"/>
        </w:rPr>
        <w:t>伊宁县公安局以南，新城路以北，文明路以东，703乡道以西，</w:t>
      </w:r>
      <w:r>
        <w:rPr>
          <w:color w:val="auto"/>
          <w:szCs w:val="26"/>
          <w:highlight w:val="none"/>
        </w:rPr>
        <w:t>项目区</w:t>
      </w:r>
      <w:r>
        <w:rPr>
          <w:rFonts w:hint="eastAsia"/>
          <w:color w:val="auto"/>
          <w:szCs w:val="26"/>
          <w:highlight w:val="none"/>
          <w:lang w:eastAsia="zh-CN"/>
        </w:rPr>
        <w:t>西</w:t>
      </w:r>
      <w:r>
        <w:rPr>
          <w:color w:val="auto"/>
          <w:szCs w:val="26"/>
          <w:highlight w:val="none"/>
        </w:rPr>
        <w:t>侧紧邻的</w:t>
      </w:r>
      <w:r>
        <w:rPr>
          <w:rFonts w:hint="eastAsia"/>
          <w:color w:val="auto"/>
          <w:szCs w:val="26"/>
          <w:highlight w:val="none"/>
          <w:lang w:eastAsia="zh-CN"/>
        </w:rPr>
        <w:t>文明</w:t>
      </w:r>
      <w:r>
        <w:rPr>
          <w:color w:val="auto"/>
          <w:szCs w:val="26"/>
          <w:highlight w:val="none"/>
        </w:rPr>
        <w:t>路布设有市政排水管网，本项目排水可直接接入至周边市政管网。</w:t>
      </w:r>
      <w:r>
        <w:rPr>
          <w:rFonts w:hint="default" w:ascii="Times New Roman" w:hAnsi="Times New Roman" w:eastAsia="仿宋_GB2312" w:cs="Times New Roman"/>
          <w:color w:val="auto"/>
          <w:szCs w:val="26"/>
          <w:highlight w:val="none"/>
        </w:rPr>
        <w:t>经统计，本项目共布设</w:t>
      </w:r>
      <w:r>
        <w:rPr>
          <w:rFonts w:hint="eastAsia" w:ascii="Times New Roman" w:hAnsi="Times New Roman" w:cs="Times New Roman"/>
          <w:color w:val="auto"/>
          <w:szCs w:val="26"/>
          <w:highlight w:val="none"/>
          <w:lang w:eastAsia="zh-CN"/>
        </w:rPr>
        <w:t>排</w:t>
      </w:r>
      <w:r>
        <w:rPr>
          <w:rFonts w:hint="default" w:ascii="Times New Roman" w:hAnsi="Times New Roman" w:eastAsia="仿宋_GB2312" w:cs="Times New Roman"/>
          <w:color w:val="auto"/>
          <w:szCs w:val="26"/>
          <w:highlight w:val="none"/>
        </w:rPr>
        <w:t>水管均为D</w:t>
      </w:r>
      <w:r>
        <w:rPr>
          <w:rFonts w:hint="eastAsia" w:ascii="Times New Roman" w:hAnsi="Times New Roman" w:cs="Times New Roman"/>
          <w:color w:val="auto"/>
          <w:szCs w:val="26"/>
          <w:highlight w:val="none"/>
          <w:lang w:val="en-US" w:eastAsia="zh-CN"/>
        </w:rPr>
        <w:t>e315</w:t>
      </w:r>
      <w:r>
        <w:rPr>
          <w:rFonts w:hint="default" w:ascii="Times New Roman" w:hAnsi="Times New Roman" w:eastAsia="仿宋_GB2312" w:cs="Times New Roman"/>
          <w:color w:val="auto"/>
          <w:szCs w:val="26"/>
          <w:highlight w:val="none"/>
        </w:rPr>
        <w:t>，共计</w:t>
      </w:r>
      <w:r>
        <w:rPr>
          <w:rFonts w:hint="eastAsia" w:ascii="Times New Roman" w:hAnsi="Times New Roman" w:cs="Times New Roman"/>
          <w:color w:val="auto"/>
          <w:szCs w:val="26"/>
          <w:highlight w:val="none"/>
          <w:lang w:val="en-US" w:eastAsia="zh-CN"/>
        </w:rPr>
        <w:t>1065</w:t>
      </w:r>
      <w:r>
        <w:rPr>
          <w:rFonts w:hint="default" w:ascii="Times New Roman" w:hAnsi="Times New Roman" w:eastAsia="仿宋_GB2312" w:cs="Times New Roman"/>
          <w:color w:val="auto"/>
          <w:szCs w:val="26"/>
          <w:highlight w:val="none"/>
        </w:rPr>
        <w:t>m，采取梯形断面，下口宽0.</w:t>
      </w:r>
      <w:r>
        <w:rPr>
          <w:rFonts w:hint="eastAsia" w:ascii="Times New Roman" w:hAnsi="Times New Roman" w:cs="Times New Roman"/>
          <w:color w:val="auto"/>
          <w:szCs w:val="26"/>
          <w:highlight w:val="none"/>
          <w:lang w:val="en-US" w:eastAsia="zh-CN"/>
        </w:rPr>
        <w:t>6</w:t>
      </w:r>
      <w:r>
        <w:rPr>
          <w:rFonts w:hint="default" w:ascii="Times New Roman" w:hAnsi="Times New Roman" w:eastAsia="仿宋_GB2312" w:cs="Times New Roman"/>
          <w:color w:val="auto"/>
          <w:szCs w:val="26"/>
          <w:highlight w:val="none"/>
        </w:rPr>
        <w:t>m，上口宽1.</w:t>
      </w:r>
      <w:r>
        <w:rPr>
          <w:rFonts w:hint="eastAsia" w:ascii="Times New Roman" w:hAnsi="Times New Roman" w:cs="Times New Roman"/>
          <w:color w:val="auto"/>
          <w:szCs w:val="26"/>
          <w:highlight w:val="none"/>
          <w:lang w:val="en-US" w:eastAsia="zh-CN"/>
        </w:rPr>
        <w:t>8</w:t>
      </w:r>
      <w:r>
        <w:rPr>
          <w:rFonts w:hint="default" w:ascii="Times New Roman" w:hAnsi="Times New Roman" w:eastAsia="仿宋_GB2312" w:cs="Times New Roman"/>
          <w:color w:val="auto"/>
          <w:szCs w:val="26"/>
          <w:highlight w:val="none"/>
        </w:rPr>
        <w:t>m，管线埋深为</w:t>
      </w:r>
      <w:r>
        <w:rPr>
          <w:rFonts w:hint="eastAsia" w:ascii="Times New Roman" w:hAnsi="Times New Roman" w:cs="Times New Roman"/>
          <w:color w:val="auto"/>
          <w:szCs w:val="26"/>
          <w:highlight w:val="none"/>
          <w:lang w:val="en-US" w:eastAsia="zh-CN"/>
        </w:rPr>
        <w:t>2.0</w:t>
      </w:r>
      <w:r>
        <w:rPr>
          <w:rFonts w:hint="default" w:ascii="Times New Roman" w:hAnsi="Times New Roman" w:eastAsia="仿宋_GB2312" w:cs="Times New Roman"/>
          <w:color w:val="auto"/>
          <w:szCs w:val="26"/>
          <w:highlight w:val="none"/>
        </w:rPr>
        <w:t>m</w:t>
      </w:r>
      <w:r>
        <w:rPr>
          <w:rFonts w:hint="eastAsia" w:ascii="Times New Roman" w:hAnsi="Times New Roman" w:cs="Times New Roman"/>
          <w:color w:val="auto"/>
          <w:szCs w:val="26"/>
          <w:highlight w:val="none"/>
          <w:lang w:eastAsia="zh-CN"/>
        </w:rPr>
        <w:t>。</w:t>
      </w:r>
    </w:p>
    <w:p>
      <w:pPr>
        <w:pStyle w:val="56"/>
        <w:numPr>
          <w:ilvl w:val="0"/>
          <w:numId w:val="6"/>
        </w:numPr>
        <w:ind w:firstLine="480"/>
        <w:rPr>
          <w:color w:val="auto"/>
          <w:szCs w:val="26"/>
          <w:highlight w:val="none"/>
        </w:rPr>
      </w:pPr>
      <w:r>
        <w:rPr>
          <w:color w:val="auto"/>
          <w:szCs w:val="26"/>
          <w:highlight w:val="none"/>
        </w:rPr>
        <w:t>强电：</w:t>
      </w:r>
      <w:r>
        <w:rPr>
          <w:color w:val="auto"/>
          <w:highlight w:val="none"/>
        </w:rPr>
        <w:t>本项目位于</w:t>
      </w:r>
      <w:r>
        <w:rPr>
          <w:rFonts w:hint="eastAsia"/>
          <w:color w:val="auto"/>
          <w:highlight w:val="none"/>
          <w:lang w:eastAsia="zh-CN"/>
        </w:rPr>
        <w:t>伊宁县公安局以南，新城路以北，文明路以东，703乡道以西，</w:t>
      </w:r>
      <w:r>
        <w:rPr>
          <w:color w:val="auto"/>
          <w:szCs w:val="26"/>
          <w:highlight w:val="none"/>
        </w:rPr>
        <w:t>项目区</w:t>
      </w:r>
      <w:r>
        <w:rPr>
          <w:rFonts w:hint="eastAsia"/>
          <w:color w:val="auto"/>
          <w:szCs w:val="26"/>
          <w:highlight w:val="none"/>
          <w:lang w:eastAsia="zh-CN"/>
        </w:rPr>
        <w:t>的北</w:t>
      </w:r>
      <w:r>
        <w:rPr>
          <w:color w:val="auto"/>
          <w:szCs w:val="26"/>
          <w:highlight w:val="none"/>
        </w:rPr>
        <w:t>侧紧邻布设有10KV输电电缆，本项目用电直接由其接入至项目区</w:t>
      </w:r>
      <w:r>
        <w:rPr>
          <w:rFonts w:hint="eastAsia"/>
          <w:color w:val="auto"/>
          <w:szCs w:val="26"/>
          <w:highlight w:val="none"/>
          <w:lang w:val="en-US" w:eastAsia="zh-CN"/>
        </w:rPr>
        <w:t>2#商业楼负一层配电室</w:t>
      </w:r>
      <w:r>
        <w:rPr>
          <w:color w:val="auto"/>
          <w:szCs w:val="26"/>
          <w:highlight w:val="none"/>
        </w:rPr>
        <w:t>，并设置分支箱，分别接至小区各区域。经统计，本项目共布设强电管线</w:t>
      </w:r>
      <w:r>
        <w:rPr>
          <w:rFonts w:hint="eastAsia"/>
          <w:color w:val="auto"/>
          <w:szCs w:val="26"/>
          <w:highlight w:val="none"/>
          <w:lang w:val="en-US" w:eastAsia="zh-CN"/>
        </w:rPr>
        <w:t>240</w:t>
      </w:r>
      <w:r>
        <w:rPr>
          <w:color w:val="auto"/>
          <w:szCs w:val="26"/>
          <w:highlight w:val="none"/>
        </w:rPr>
        <w:t>m，</w:t>
      </w:r>
      <w:r>
        <w:rPr>
          <w:rFonts w:hint="default" w:ascii="Times New Roman" w:hAnsi="Times New Roman" w:eastAsia="仿宋_GB2312" w:cs="Times New Roman"/>
          <w:color w:val="auto"/>
          <w:szCs w:val="26"/>
          <w:highlight w:val="none"/>
        </w:rPr>
        <w:t>采取矩形断面，下口宽1m，上口宽1m，埋深1m。</w:t>
      </w:r>
    </w:p>
    <w:p>
      <w:pPr>
        <w:pStyle w:val="56"/>
        <w:numPr>
          <w:ilvl w:val="0"/>
          <w:numId w:val="6"/>
        </w:numPr>
        <w:ind w:firstLine="480"/>
        <w:rPr>
          <w:rFonts w:hint="eastAsia" w:ascii="Times New Roman" w:hAnsi="Times New Roman" w:cs="Times New Roman"/>
          <w:color w:val="auto"/>
          <w:szCs w:val="26"/>
          <w:highlight w:val="none"/>
          <w:lang w:eastAsia="zh-CN"/>
        </w:rPr>
      </w:pPr>
      <w:r>
        <w:rPr>
          <w:color w:val="auto"/>
          <w:szCs w:val="26"/>
          <w:highlight w:val="none"/>
        </w:rPr>
        <w:t>弱电：</w:t>
      </w:r>
      <w:r>
        <w:rPr>
          <w:color w:val="auto"/>
          <w:highlight w:val="none"/>
        </w:rPr>
        <w:t>本项目位于</w:t>
      </w:r>
      <w:r>
        <w:rPr>
          <w:rFonts w:hint="eastAsia"/>
          <w:color w:val="auto"/>
          <w:highlight w:val="none"/>
          <w:lang w:eastAsia="zh-CN"/>
        </w:rPr>
        <w:t>伊宁县公安局以南，新城路以北，文明路以东，703乡道以西，</w:t>
      </w:r>
      <w:r>
        <w:rPr>
          <w:color w:val="auto"/>
          <w:szCs w:val="26"/>
          <w:highlight w:val="none"/>
        </w:rPr>
        <w:t>本项目弱电系统由</w:t>
      </w:r>
      <w:r>
        <w:rPr>
          <w:rFonts w:hint="eastAsia"/>
          <w:color w:val="auto"/>
          <w:szCs w:val="26"/>
          <w:highlight w:val="none"/>
          <w:lang w:eastAsia="zh-CN"/>
        </w:rPr>
        <w:t>北</w:t>
      </w:r>
      <w:r>
        <w:rPr>
          <w:color w:val="auto"/>
          <w:szCs w:val="26"/>
          <w:highlight w:val="none"/>
        </w:rPr>
        <w:t>侧紧邻的市政弱电电缆</w:t>
      </w:r>
      <w:r>
        <w:rPr>
          <w:rFonts w:hint="eastAsia"/>
          <w:color w:val="auto"/>
          <w:szCs w:val="26"/>
          <w:highlight w:val="none"/>
          <w:lang w:eastAsia="zh-CN"/>
        </w:rPr>
        <w:t>，</w:t>
      </w:r>
      <w:r>
        <w:rPr>
          <w:color w:val="auto"/>
          <w:szCs w:val="26"/>
          <w:highlight w:val="none"/>
        </w:rPr>
        <w:t>引入至项目区接至各区域。经统计，本项目共布设</w:t>
      </w:r>
      <w:r>
        <w:rPr>
          <w:rFonts w:hint="eastAsia"/>
          <w:color w:val="auto"/>
          <w:szCs w:val="26"/>
          <w:highlight w:val="none"/>
          <w:lang w:eastAsia="zh-CN"/>
        </w:rPr>
        <w:t>弱</w:t>
      </w:r>
      <w:r>
        <w:rPr>
          <w:color w:val="auto"/>
          <w:szCs w:val="26"/>
          <w:highlight w:val="none"/>
        </w:rPr>
        <w:t>电管线</w:t>
      </w:r>
      <w:r>
        <w:rPr>
          <w:rFonts w:hint="eastAsia"/>
          <w:color w:val="auto"/>
          <w:szCs w:val="26"/>
          <w:highlight w:val="none"/>
          <w:lang w:val="en-US" w:eastAsia="zh-CN"/>
        </w:rPr>
        <w:t>205</w:t>
      </w:r>
      <w:r>
        <w:rPr>
          <w:color w:val="auto"/>
          <w:szCs w:val="26"/>
          <w:highlight w:val="none"/>
        </w:rPr>
        <w:t>m</w:t>
      </w:r>
      <w:r>
        <w:rPr>
          <w:rFonts w:hint="eastAsia"/>
          <w:color w:val="auto"/>
          <w:szCs w:val="26"/>
          <w:highlight w:val="none"/>
          <w:lang w:eastAsia="zh-CN"/>
        </w:rPr>
        <w:t>（其中</w:t>
      </w:r>
      <w:r>
        <w:rPr>
          <w:rFonts w:hint="eastAsia"/>
          <w:color w:val="auto"/>
          <w:szCs w:val="26"/>
          <w:highlight w:val="none"/>
          <w:lang w:val="en-US" w:eastAsia="zh-CN"/>
        </w:rPr>
        <w:t>160m与强电同沟布设</w:t>
      </w:r>
      <w:r>
        <w:rPr>
          <w:rFonts w:hint="eastAsia"/>
          <w:color w:val="auto"/>
          <w:szCs w:val="26"/>
          <w:highlight w:val="none"/>
          <w:lang w:eastAsia="zh-CN"/>
        </w:rPr>
        <w:t>）</w:t>
      </w:r>
      <w:r>
        <w:rPr>
          <w:color w:val="auto"/>
          <w:szCs w:val="26"/>
          <w:highlight w:val="none"/>
        </w:rPr>
        <w:t>，</w:t>
      </w:r>
      <w:r>
        <w:rPr>
          <w:rFonts w:hint="default" w:ascii="Times New Roman" w:hAnsi="Times New Roman" w:eastAsia="仿宋_GB2312" w:cs="Times New Roman"/>
          <w:color w:val="auto"/>
          <w:szCs w:val="26"/>
          <w:highlight w:val="none"/>
        </w:rPr>
        <w:t>采取矩形断面，下口宽1m，上口宽1m，埋深1m。</w:t>
      </w:r>
    </w:p>
    <w:p>
      <w:pPr>
        <w:pStyle w:val="56"/>
        <w:numPr>
          <w:ilvl w:val="0"/>
          <w:numId w:val="6"/>
        </w:numPr>
        <w:ind w:firstLine="480"/>
        <w:rPr>
          <w:color w:val="auto"/>
          <w:szCs w:val="26"/>
          <w:highlight w:val="none"/>
        </w:rPr>
      </w:pPr>
      <w:r>
        <w:rPr>
          <w:color w:val="auto"/>
          <w:szCs w:val="26"/>
          <w:highlight w:val="none"/>
        </w:rPr>
        <w:t>供暖：</w:t>
      </w:r>
      <w:r>
        <w:rPr>
          <w:color w:val="auto"/>
          <w:highlight w:val="none"/>
        </w:rPr>
        <w:t>本项目位于</w:t>
      </w:r>
      <w:r>
        <w:rPr>
          <w:rFonts w:hint="eastAsia"/>
          <w:color w:val="auto"/>
          <w:highlight w:val="none"/>
          <w:lang w:eastAsia="zh-CN"/>
        </w:rPr>
        <w:t>伊宁县公安局以南，新城路以北，文明路以东，703乡道以西，</w:t>
      </w:r>
      <w:r>
        <w:rPr>
          <w:color w:val="auto"/>
          <w:szCs w:val="26"/>
          <w:highlight w:val="none"/>
        </w:rPr>
        <w:t>项目区供暖由</w:t>
      </w:r>
      <w:r>
        <w:rPr>
          <w:rFonts w:hint="eastAsia"/>
          <w:color w:val="auto"/>
          <w:szCs w:val="26"/>
          <w:highlight w:val="none"/>
          <w:lang w:eastAsia="zh-CN"/>
        </w:rPr>
        <w:t>北</w:t>
      </w:r>
      <w:r>
        <w:rPr>
          <w:color w:val="auto"/>
          <w:szCs w:val="26"/>
          <w:highlight w:val="none"/>
        </w:rPr>
        <w:t>侧紧邻的市政热力管网</w:t>
      </w:r>
      <w:r>
        <w:rPr>
          <w:rFonts w:hint="eastAsia"/>
          <w:color w:val="auto"/>
          <w:szCs w:val="26"/>
          <w:highlight w:val="none"/>
          <w:lang w:eastAsia="zh-CN"/>
        </w:rPr>
        <w:t>接入</w:t>
      </w:r>
      <w:r>
        <w:rPr>
          <w:color w:val="auto"/>
          <w:szCs w:val="26"/>
          <w:highlight w:val="none"/>
        </w:rPr>
        <w:t>换热站，再分别接至项目区各区域。经统计，本项目共布设供暖管线</w:t>
      </w:r>
      <w:r>
        <w:rPr>
          <w:rFonts w:hint="eastAsia"/>
          <w:color w:val="auto"/>
          <w:szCs w:val="26"/>
          <w:highlight w:val="none"/>
          <w:lang w:val="en-US" w:eastAsia="zh-CN"/>
        </w:rPr>
        <w:t>664</w:t>
      </w:r>
      <w:r>
        <w:rPr>
          <w:color w:val="auto"/>
          <w:szCs w:val="26"/>
          <w:highlight w:val="none"/>
        </w:rPr>
        <w:t>m（仅包含</w:t>
      </w:r>
      <w:r>
        <w:rPr>
          <w:rFonts w:hint="eastAsia"/>
          <w:color w:val="auto"/>
          <w:szCs w:val="26"/>
          <w:highlight w:val="none"/>
          <w:lang w:eastAsia="zh-CN"/>
        </w:rPr>
        <w:t>给</w:t>
      </w:r>
      <w:r>
        <w:rPr>
          <w:color w:val="auto"/>
          <w:szCs w:val="26"/>
          <w:highlight w:val="none"/>
        </w:rPr>
        <w:t>水</w:t>
      </w:r>
      <w:r>
        <w:rPr>
          <w:rFonts w:hint="eastAsia"/>
          <w:color w:val="auto"/>
          <w:szCs w:val="26"/>
          <w:highlight w:val="none"/>
          <w:lang w:eastAsia="zh-CN"/>
        </w:rPr>
        <w:t>消防</w:t>
      </w:r>
      <w:r>
        <w:rPr>
          <w:color w:val="auto"/>
          <w:szCs w:val="26"/>
          <w:highlight w:val="none"/>
        </w:rPr>
        <w:t>，回水管线与供水管线并列同管径布设），均为DN</w:t>
      </w:r>
      <w:r>
        <w:rPr>
          <w:rFonts w:hint="eastAsia"/>
          <w:color w:val="auto"/>
          <w:szCs w:val="26"/>
          <w:highlight w:val="none"/>
          <w:lang w:val="en-US" w:eastAsia="zh-CN"/>
        </w:rPr>
        <w:t>15</w:t>
      </w:r>
      <w:r>
        <w:rPr>
          <w:color w:val="auto"/>
          <w:szCs w:val="26"/>
          <w:highlight w:val="none"/>
        </w:rPr>
        <w:t>0，</w:t>
      </w:r>
      <w:r>
        <w:rPr>
          <w:rFonts w:hint="default" w:ascii="Times New Roman" w:hAnsi="Times New Roman" w:eastAsia="仿宋_GB2312" w:cs="Times New Roman"/>
          <w:color w:val="auto"/>
          <w:szCs w:val="26"/>
          <w:highlight w:val="none"/>
        </w:rPr>
        <w:t>采取梯形断面，下口宽0.5m，上口宽1.</w:t>
      </w:r>
      <w:r>
        <w:rPr>
          <w:rFonts w:hint="eastAsia" w:ascii="Times New Roman" w:hAnsi="Times New Roman" w:cs="Times New Roman"/>
          <w:color w:val="auto"/>
          <w:szCs w:val="26"/>
          <w:highlight w:val="none"/>
          <w:lang w:val="en-US" w:eastAsia="zh-CN"/>
        </w:rPr>
        <w:t>5</w:t>
      </w:r>
      <w:r>
        <w:rPr>
          <w:rFonts w:hint="default" w:ascii="Times New Roman" w:hAnsi="Times New Roman" w:eastAsia="仿宋_GB2312" w:cs="Times New Roman"/>
          <w:color w:val="auto"/>
          <w:szCs w:val="26"/>
          <w:highlight w:val="none"/>
        </w:rPr>
        <w:t>m，管线埋深为1.</w:t>
      </w:r>
      <w:r>
        <w:rPr>
          <w:rFonts w:hint="eastAsia" w:ascii="Times New Roman" w:hAnsi="Times New Roman" w:cs="Times New Roman"/>
          <w:color w:val="auto"/>
          <w:szCs w:val="26"/>
          <w:highlight w:val="none"/>
          <w:lang w:val="en-US" w:eastAsia="zh-CN"/>
        </w:rPr>
        <w:t>7</w:t>
      </w:r>
      <w:r>
        <w:rPr>
          <w:rFonts w:hint="default" w:ascii="Times New Roman" w:hAnsi="Times New Roman" w:eastAsia="仿宋_GB2312" w:cs="Times New Roman"/>
          <w:color w:val="auto"/>
          <w:szCs w:val="26"/>
          <w:highlight w:val="none"/>
        </w:rPr>
        <w:t>m</w:t>
      </w:r>
      <w:r>
        <w:rPr>
          <w:rFonts w:hint="eastAsia" w:ascii="Times New Roman" w:hAnsi="Times New Roman" w:cs="Times New Roman"/>
          <w:color w:val="auto"/>
          <w:szCs w:val="26"/>
          <w:highlight w:val="none"/>
          <w:lang w:eastAsia="zh-CN"/>
        </w:rPr>
        <w:t>。</w:t>
      </w:r>
    </w:p>
    <w:p>
      <w:pPr>
        <w:pStyle w:val="56"/>
        <w:numPr>
          <w:ilvl w:val="0"/>
          <w:numId w:val="6"/>
        </w:numPr>
        <w:ind w:firstLine="480"/>
        <w:rPr>
          <w:color w:val="auto"/>
          <w:szCs w:val="26"/>
          <w:highlight w:val="none"/>
        </w:rPr>
      </w:pPr>
      <w:r>
        <w:rPr>
          <w:color w:val="auto"/>
          <w:szCs w:val="26"/>
          <w:highlight w:val="none"/>
        </w:rPr>
        <w:t>燃气：</w:t>
      </w:r>
      <w:r>
        <w:rPr>
          <w:color w:val="auto"/>
          <w:highlight w:val="none"/>
        </w:rPr>
        <w:t>本项目位于</w:t>
      </w:r>
      <w:r>
        <w:rPr>
          <w:rFonts w:hint="eastAsia"/>
          <w:color w:val="auto"/>
          <w:highlight w:val="none"/>
          <w:lang w:eastAsia="zh-CN"/>
        </w:rPr>
        <w:t>伊宁县公安局以南，新城路以北，文明路以东，703乡道以西，</w:t>
      </w:r>
      <w:r>
        <w:rPr>
          <w:color w:val="auto"/>
          <w:szCs w:val="26"/>
          <w:highlight w:val="none"/>
        </w:rPr>
        <w:t>项目区燃气由</w:t>
      </w:r>
      <w:r>
        <w:rPr>
          <w:rFonts w:hint="eastAsia"/>
          <w:color w:val="auto"/>
          <w:szCs w:val="26"/>
          <w:highlight w:val="none"/>
          <w:lang w:eastAsia="zh-CN"/>
        </w:rPr>
        <w:t>北</w:t>
      </w:r>
      <w:r>
        <w:rPr>
          <w:color w:val="auto"/>
          <w:szCs w:val="26"/>
          <w:highlight w:val="none"/>
        </w:rPr>
        <w:t>侧紧邻的市政燃气管网</w:t>
      </w:r>
      <w:r>
        <w:rPr>
          <w:rFonts w:hint="eastAsia"/>
          <w:color w:val="auto"/>
          <w:szCs w:val="26"/>
          <w:highlight w:val="none"/>
          <w:lang w:eastAsia="zh-CN"/>
        </w:rPr>
        <w:t>接入，</w:t>
      </w:r>
      <w:r>
        <w:rPr>
          <w:color w:val="auto"/>
          <w:szCs w:val="26"/>
          <w:highlight w:val="none"/>
        </w:rPr>
        <w:t>再分别接至项目区各区域。经统计，本项目共布设燃气管线</w:t>
      </w:r>
      <w:r>
        <w:rPr>
          <w:rFonts w:hint="eastAsia"/>
          <w:color w:val="auto"/>
          <w:szCs w:val="26"/>
          <w:highlight w:val="none"/>
          <w:lang w:val="en-US" w:eastAsia="zh-CN"/>
        </w:rPr>
        <w:t>520</w:t>
      </w:r>
      <w:r>
        <w:rPr>
          <w:color w:val="auto"/>
          <w:szCs w:val="26"/>
          <w:highlight w:val="none"/>
        </w:rPr>
        <w:t>m，均为DN80，</w:t>
      </w:r>
      <w:r>
        <w:rPr>
          <w:rFonts w:hint="default" w:ascii="Times New Roman" w:hAnsi="Times New Roman" w:eastAsia="仿宋_GB2312" w:cs="Times New Roman"/>
          <w:color w:val="auto"/>
          <w:szCs w:val="26"/>
          <w:highlight w:val="none"/>
        </w:rPr>
        <w:t>采取梯形断面，下口宽0.</w:t>
      </w:r>
      <w:r>
        <w:rPr>
          <w:rFonts w:hint="eastAsia" w:ascii="Times New Roman" w:hAnsi="Times New Roman" w:cs="Times New Roman"/>
          <w:color w:val="auto"/>
          <w:szCs w:val="26"/>
          <w:highlight w:val="none"/>
          <w:lang w:val="en-US" w:eastAsia="zh-CN"/>
        </w:rPr>
        <w:t>3</w:t>
      </w:r>
      <w:r>
        <w:rPr>
          <w:rFonts w:hint="default" w:ascii="Times New Roman" w:hAnsi="Times New Roman" w:eastAsia="仿宋_GB2312" w:cs="Times New Roman"/>
          <w:color w:val="auto"/>
          <w:szCs w:val="26"/>
          <w:highlight w:val="none"/>
        </w:rPr>
        <w:t>m，上口宽1m，管线埋深为1.</w:t>
      </w:r>
      <w:r>
        <w:rPr>
          <w:rFonts w:hint="eastAsia" w:ascii="Times New Roman" w:hAnsi="Times New Roman" w:cs="Times New Roman"/>
          <w:color w:val="auto"/>
          <w:szCs w:val="26"/>
          <w:highlight w:val="none"/>
          <w:lang w:val="en-US" w:eastAsia="zh-CN"/>
        </w:rPr>
        <w:t>5</w:t>
      </w:r>
      <w:r>
        <w:rPr>
          <w:rFonts w:hint="default" w:ascii="Times New Roman" w:hAnsi="Times New Roman" w:eastAsia="仿宋_GB2312" w:cs="Times New Roman"/>
          <w:color w:val="auto"/>
          <w:szCs w:val="26"/>
          <w:highlight w:val="none"/>
        </w:rPr>
        <w:t>m</w:t>
      </w:r>
      <w:r>
        <w:rPr>
          <w:color w:val="auto"/>
          <w:szCs w:val="26"/>
          <w:highlight w:val="none"/>
        </w:rPr>
        <w:t>。</w:t>
      </w:r>
    </w:p>
    <w:p>
      <w:pPr>
        <w:pStyle w:val="56"/>
        <w:ind w:firstLine="480"/>
        <w:rPr>
          <w:color w:val="auto"/>
          <w:szCs w:val="26"/>
          <w:highlight w:val="none"/>
        </w:rPr>
      </w:pPr>
      <w:r>
        <w:rPr>
          <w:rFonts w:hint="eastAsia"/>
          <w:color w:val="auto"/>
          <w:szCs w:val="26"/>
          <w:highlight w:val="none"/>
          <w:lang w:eastAsia="zh-CN"/>
        </w:rPr>
        <w:t>本</w:t>
      </w:r>
      <w:r>
        <w:rPr>
          <w:color w:val="auto"/>
          <w:szCs w:val="26"/>
          <w:highlight w:val="none"/>
        </w:rPr>
        <w:t>项目给水</w:t>
      </w:r>
      <w:r>
        <w:rPr>
          <w:rFonts w:hint="eastAsia"/>
          <w:color w:val="auto"/>
          <w:szCs w:val="26"/>
          <w:highlight w:val="none"/>
          <w:lang w:eastAsia="zh-CN"/>
        </w:rPr>
        <w:t>消防</w:t>
      </w:r>
      <w:r>
        <w:rPr>
          <w:color w:val="auto"/>
          <w:szCs w:val="26"/>
          <w:highlight w:val="none"/>
        </w:rPr>
        <w:t>、排水、供电、暖通、燃气等管线均布置在项目红线用地范围内，管网建设过程中，不会对项目防治责任范围以外的区域造成新的扰动及破坏。</w:t>
      </w:r>
    </w:p>
    <w:p>
      <w:pPr>
        <w:pStyle w:val="75"/>
        <w:rPr>
          <w:color w:val="auto"/>
          <w:highlight w:val="none"/>
        </w:rPr>
      </w:pPr>
      <w:r>
        <w:rPr>
          <w:color w:val="auto"/>
          <w:highlight w:val="none"/>
        </w:rPr>
        <w:t>表2.1-4      项目区各类管线布设一览表</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77"/>
        <w:gridCol w:w="1294"/>
        <w:gridCol w:w="1294"/>
        <w:gridCol w:w="1077"/>
        <w:gridCol w:w="919"/>
        <w:gridCol w:w="968"/>
        <w:gridCol w:w="912"/>
        <w:gridCol w:w="14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49" w:type="pct"/>
            <w:vMerge w:val="restart"/>
            <w:shd w:val="clear" w:color="auto" w:fill="auto"/>
            <w:vAlign w:val="center"/>
          </w:tcPr>
          <w:p>
            <w:pPr>
              <w:pStyle w:val="84"/>
              <w:bidi w:val="0"/>
              <w:rPr>
                <w:color w:val="auto"/>
                <w:highlight w:val="none"/>
              </w:rPr>
            </w:pPr>
            <w:r>
              <w:rPr>
                <w:color w:val="auto"/>
                <w:highlight w:val="none"/>
              </w:rPr>
              <w:t>管线类型</w:t>
            </w:r>
          </w:p>
        </w:tc>
        <w:tc>
          <w:tcPr>
            <w:tcW w:w="714" w:type="pct"/>
            <w:vMerge w:val="restart"/>
            <w:shd w:val="clear" w:color="auto" w:fill="auto"/>
            <w:vAlign w:val="center"/>
          </w:tcPr>
          <w:p>
            <w:pPr>
              <w:pStyle w:val="84"/>
              <w:bidi w:val="0"/>
              <w:rPr>
                <w:color w:val="auto"/>
                <w:highlight w:val="none"/>
              </w:rPr>
            </w:pPr>
            <w:r>
              <w:rPr>
                <w:color w:val="auto"/>
                <w:highlight w:val="none"/>
              </w:rPr>
              <w:t>管径</w:t>
            </w:r>
          </w:p>
        </w:tc>
        <w:tc>
          <w:tcPr>
            <w:tcW w:w="714" w:type="pct"/>
            <w:vMerge w:val="restart"/>
            <w:shd w:val="clear" w:color="auto" w:fill="auto"/>
            <w:vAlign w:val="center"/>
          </w:tcPr>
          <w:p>
            <w:pPr>
              <w:pStyle w:val="84"/>
              <w:bidi w:val="0"/>
              <w:rPr>
                <w:color w:val="auto"/>
                <w:highlight w:val="none"/>
              </w:rPr>
            </w:pPr>
            <w:r>
              <w:rPr>
                <w:color w:val="auto"/>
                <w:highlight w:val="none"/>
              </w:rPr>
              <w:t>长度（m）</w:t>
            </w:r>
          </w:p>
        </w:tc>
        <w:tc>
          <w:tcPr>
            <w:tcW w:w="1635" w:type="pct"/>
            <w:gridSpan w:val="3"/>
            <w:shd w:val="clear" w:color="auto" w:fill="auto"/>
            <w:vAlign w:val="center"/>
          </w:tcPr>
          <w:p>
            <w:pPr>
              <w:pStyle w:val="84"/>
              <w:bidi w:val="0"/>
              <w:rPr>
                <w:color w:val="auto"/>
                <w:highlight w:val="none"/>
              </w:rPr>
            </w:pPr>
            <w:r>
              <w:rPr>
                <w:color w:val="auto"/>
                <w:highlight w:val="none"/>
              </w:rPr>
              <w:t>开挖断面（m）</w:t>
            </w:r>
          </w:p>
        </w:tc>
        <w:tc>
          <w:tcPr>
            <w:tcW w:w="503" w:type="pct"/>
            <w:vMerge w:val="restart"/>
            <w:shd w:val="clear" w:color="auto" w:fill="auto"/>
            <w:vAlign w:val="center"/>
          </w:tcPr>
          <w:p>
            <w:pPr>
              <w:pStyle w:val="84"/>
              <w:bidi w:val="0"/>
              <w:rPr>
                <w:color w:val="auto"/>
                <w:highlight w:val="none"/>
              </w:rPr>
            </w:pPr>
            <w:r>
              <w:rPr>
                <w:color w:val="auto"/>
                <w:highlight w:val="none"/>
              </w:rPr>
              <w:t>开挖土方（m³）</w:t>
            </w:r>
          </w:p>
        </w:tc>
        <w:tc>
          <w:tcPr>
            <w:tcW w:w="783" w:type="pct"/>
            <w:vMerge w:val="restart"/>
            <w:shd w:val="clear" w:color="auto" w:fill="auto"/>
            <w:vAlign w:val="center"/>
          </w:tcPr>
          <w:p>
            <w:pPr>
              <w:pStyle w:val="84"/>
              <w:bidi w:val="0"/>
              <w:rPr>
                <w:color w:val="auto"/>
                <w:highlight w:val="none"/>
              </w:rPr>
            </w:pPr>
            <w:r>
              <w:rPr>
                <w:color w:val="auto"/>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49" w:type="pct"/>
            <w:vMerge w:val="continue"/>
            <w:vAlign w:val="center"/>
          </w:tcPr>
          <w:p>
            <w:pPr>
              <w:pStyle w:val="84"/>
              <w:bidi w:val="0"/>
              <w:rPr>
                <w:color w:val="auto"/>
                <w:highlight w:val="none"/>
              </w:rPr>
            </w:pPr>
          </w:p>
        </w:tc>
        <w:tc>
          <w:tcPr>
            <w:tcW w:w="714" w:type="pct"/>
            <w:vMerge w:val="continue"/>
            <w:vAlign w:val="center"/>
          </w:tcPr>
          <w:p>
            <w:pPr>
              <w:pStyle w:val="84"/>
              <w:bidi w:val="0"/>
              <w:rPr>
                <w:color w:val="auto"/>
                <w:highlight w:val="none"/>
              </w:rPr>
            </w:pPr>
          </w:p>
        </w:tc>
        <w:tc>
          <w:tcPr>
            <w:tcW w:w="714" w:type="pct"/>
            <w:vMerge w:val="continue"/>
            <w:vAlign w:val="center"/>
          </w:tcPr>
          <w:p>
            <w:pPr>
              <w:pStyle w:val="84"/>
              <w:bidi w:val="0"/>
              <w:rPr>
                <w:color w:val="auto"/>
                <w:highlight w:val="none"/>
              </w:rPr>
            </w:pPr>
          </w:p>
        </w:tc>
        <w:tc>
          <w:tcPr>
            <w:tcW w:w="594" w:type="pct"/>
            <w:shd w:val="clear" w:color="auto" w:fill="auto"/>
            <w:vAlign w:val="center"/>
          </w:tcPr>
          <w:p>
            <w:pPr>
              <w:pStyle w:val="84"/>
              <w:bidi w:val="0"/>
              <w:rPr>
                <w:color w:val="auto"/>
                <w:highlight w:val="none"/>
              </w:rPr>
            </w:pPr>
            <w:r>
              <w:rPr>
                <w:color w:val="auto"/>
                <w:highlight w:val="none"/>
              </w:rPr>
              <w:t>底宽</w:t>
            </w:r>
          </w:p>
        </w:tc>
        <w:tc>
          <w:tcPr>
            <w:tcW w:w="507" w:type="pct"/>
            <w:shd w:val="clear" w:color="auto" w:fill="auto"/>
            <w:vAlign w:val="center"/>
          </w:tcPr>
          <w:p>
            <w:pPr>
              <w:pStyle w:val="84"/>
              <w:bidi w:val="0"/>
              <w:rPr>
                <w:color w:val="auto"/>
                <w:highlight w:val="none"/>
              </w:rPr>
            </w:pPr>
            <w:r>
              <w:rPr>
                <w:color w:val="auto"/>
                <w:highlight w:val="none"/>
              </w:rPr>
              <w:t>顶宽</w:t>
            </w:r>
          </w:p>
        </w:tc>
        <w:tc>
          <w:tcPr>
            <w:tcW w:w="534" w:type="pct"/>
            <w:shd w:val="clear" w:color="auto" w:fill="auto"/>
            <w:vAlign w:val="center"/>
          </w:tcPr>
          <w:p>
            <w:pPr>
              <w:pStyle w:val="84"/>
              <w:bidi w:val="0"/>
              <w:rPr>
                <w:color w:val="auto"/>
                <w:highlight w:val="none"/>
              </w:rPr>
            </w:pPr>
            <w:r>
              <w:rPr>
                <w:color w:val="auto"/>
                <w:highlight w:val="none"/>
              </w:rPr>
              <w:t>埋深</w:t>
            </w:r>
          </w:p>
        </w:tc>
        <w:tc>
          <w:tcPr>
            <w:tcW w:w="503" w:type="pct"/>
            <w:vMerge w:val="continue"/>
            <w:vAlign w:val="center"/>
          </w:tcPr>
          <w:p>
            <w:pPr>
              <w:pStyle w:val="84"/>
              <w:bidi w:val="0"/>
              <w:rPr>
                <w:color w:val="auto"/>
                <w:highlight w:val="none"/>
              </w:rPr>
            </w:pPr>
          </w:p>
        </w:tc>
        <w:tc>
          <w:tcPr>
            <w:tcW w:w="783" w:type="pct"/>
            <w:vMerge w:val="continue"/>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49" w:type="pct"/>
            <w:shd w:val="clear" w:color="auto" w:fill="auto"/>
            <w:vAlign w:val="center"/>
          </w:tcPr>
          <w:p>
            <w:pPr>
              <w:pStyle w:val="84"/>
              <w:bidi w:val="0"/>
              <w:rPr>
                <w:color w:val="auto"/>
                <w:highlight w:val="none"/>
              </w:rPr>
            </w:pPr>
            <w:r>
              <w:rPr>
                <w:rFonts w:hint="eastAsia"/>
                <w:color w:val="auto"/>
                <w:highlight w:val="none"/>
                <w:lang w:val="en-US" w:eastAsia="zh-CN"/>
              </w:rPr>
              <w:t>给水消防</w:t>
            </w:r>
          </w:p>
        </w:tc>
        <w:tc>
          <w:tcPr>
            <w:tcW w:w="714" w:type="pct"/>
            <w:shd w:val="clear" w:color="auto" w:fill="auto"/>
            <w:vAlign w:val="center"/>
          </w:tcPr>
          <w:p>
            <w:pPr>
              <w:pStyle w:val="84"/>
              <w:bidi w:val="0"/>
              <w:rPr>
                <w:color w:val="auto"/>
                <w:highlight w:val="none"/>
              </w:rPr>
            </w:pPr>
            <w:r>
              <w:rPr>
                <w:rFonts w:hint="eastAsia"/>
                <w:color w:val="auto"/>
                <w:highlight w:val="none"/>
                <w:lang w:val="en-US" w:eastAsia="zh-CN"/>
              </w:rPr>
              <w:t>DN150</w:t>
            </w:r>
          </w:p>
        </w:tc>
        <w:tc>
          <w:tcPr>
            <w:tcW w:w="714"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664</w:t>
            </w:r>
          </w:p>
        </w:tc>
        <w:tc>
          <w:tcPr>
            <w:tcW w:w="594" w:type="pct"/>
            <w:shd w:val="clear" w:color="auto" w:fill="auto"/>
            <w:vAlign w:val="center"/>
          </w:tcPr>
          <w:p>
            <w:pPr>
              <w:pStyle w:val="84"/>
              <w:bidi w:val="0"/>
              <w:rPr>
                <w:color w:val="auto"/>
                <w:highlight w:val="none"/>
              </w:rPr>
            </w:pPr>
            <w:r>
              <w:rPr>
                <w:color w:val="auto"/>
                <w:highlight w:val="none"/>
              </w:rPr>
              <w:t>0.50</w:t>
            </w:r>
          </w:p>
        </w:tc>
        <w:tc>
          <w:tcPr>
            <w:tcW w:w="507" w:type="pct"/>
            <w:shd w:val="clear" w:color="auto" w:fill="auto"/>
            <w:vAlign w:val="center"/>
          </w:tcPr>
          <w:p>
            <w:pPr>
              <w:pStyle w:val="84"/>
              <w:bidi w:val="0"/>
              <w:rPr>
                <w:color w:val="auto"/>
                <w:highlight w:val="none"/>
              </w:rPr>
            </w:pPr>
            <w:r>
              <w:rPr>
                <w:color w:val="auto"/>
                <w:highlight w:val="none"/>
              </w:rPr>
              <w:t>1.</w:t>
            </w:r>
            <w:r>
              <w:rPr>
                <w:rFonts w:hint="eastAsia"/>
                <w:color w:val="auto"/>
                <w:highlight w:val="none"/>
                <w:lang w:val="en-US" w:eastAsia="zh-CN"/>
              </w:rPr>
              <w:t>5</w:t>
            </w:r>
            <w:r>
              <w:rPr>
                <w:color w:val="auto"/>
                <w:highlight w:val="none"/>
              </w:rPr>
              <w:t>0</w:t>
            </w:r>
          </w:p>
        </w:tc>
        <w:tc>
          <w:tcPr>
            <w:tcW w:w="534" w:type="pct"/>
            <w:shd w:val="clear" w:color="auto" w:fill="auto"/>
            <w:vAlign w:val="center"/>
          </w:tcPr>
          <w:p>
            <w:pPr>
              <w:pStyle w:val="84"/>
              <w:bidi w:val="0"/>
              <w:rPr>
                <w:color w:val="auto"/>
                <w:highlight w:val="none"/>
              </w:rPr>
            </w:pPr>
            <w:r>
              <w:rPr>
                <w:color w:val="auto"/>
                <w:highlight w:val="none"/>
              </w:rPr>
              <w:t>1.</w:t>
            </w:r>
            <w:r>
              <w:rPr>
                <w:rFonts w:hint="eastAsia"/>
                <w:color w:val="auto"/>
                <w:highlight w:val="none"/>
                <w:lang w:val="en-US" w:eastAsia="zh-CN"/>
              </w:rPr>
              <w:t>7</w:t>
            </w:r>
            <w:r>
              <w:rPr>
                <w:color w:val="auto"/>
                <w:highlight w:val="none"/>
              </w:rPr>
              <w:t>0</w:t>
            </w:r>
          </w:p>
        </w:tc>
        <w:tc>
          <w:tcPr>
            <w:tcW w:w="503" w:type="pct"/>
            <w:shd w:val="clear" w:color="auto" w:fill="auto"/>
            <w:vAlign w:val="center"/>
          </w:tcPr>
          <w:p>
            <w:pPr>
              <w:pStyle w:val="84"/>
              <w:bidi w:val="0"/>
              <w:rPr>
                <w:color w:val="auto"/>
                <w:highlight w:val="none"/>
              </w:rPr>
            </w:pPr>
            <w:r>
              <w:rPr>
                <w:color w:val="auto"/>
                <w:highlight w:val="none"/>
              </w:rPr>
              <w:t>/</w:t>
            </w:r>
          </w:p>
        </w:tc>
        <w:tc>
          <w:tcPr>
            <w:tcW w:w="783" w:type="pct"/>
            <w:vMerge w:val="restart"/>
            <w:shd w:val="clear" w:color="auto" w:fill="auto"/>
            <w:vAlign w:val="center"/>
          </w:tcPr>
          <w:p>
            <w:pPr>
              <w:pStyle w:val="84"/>
              <w:bidi w:val="0"/>
              <w:rPr>
                <w:color w:val="auto"/>
                <w:highlight w:val="none"/>
              </w:rPr>
            </w:pPr>
            <w:r>
              <w:rPr>
                <w:color w:val="auto"/>
                <w:highlight w:val="none"/>
              </w:rPr>
              <w:t>给水消防与</w:t>
            </w:r>
            <w:r>
              <w:rPr>
                <w:rFonts w:hint="eastAsia"/>
                <w:color w:val="auto"/>
                <w:highlight w:val="none"/>
                <w:lang w:eastAsia="zh-CN"/>
              </w:rPr>
              <w:t>供暖</w:t>
            </w:r>
            <w:r>
              <w:rPr>
                <w:color w:val="auto"/>
                <w:highlight w:val="none"/>
              </w:rPr>
              <w:t>管线同沟布设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49" w:type="pct"/>
            <w:vAlign w:val="center"/>
          </w:tcPr>
          <w:p>
            <w:pPr>
              <w:pStyle w:val="84"/>
              <w:bidi w:val="0"/>
              <w:rPr>
                <w:color w:val="auto"/>
                <w:highlight w:val="none"/>
              </w:rPr>
            </w:pPr>
            <w:r>
              <w:rPr>
                <w:rFonts w:hint="eastAsia"/>
                <w:color w:val="auto"/>
                <w:highlight w:val="none"/>
                <w:lang w:val="en-US" w:eastAsia="zh-CN"/>
              </w:rPr>
              <w:t>供暖</w:t>
            </w:r>
          </w:p>
        </w:tc>
        <w:tc>
          <w:tcPr>
            <w:tcW w:w="714" w:type="pct"/>
            <w:shd w:val="clear" w:color="auto" w:fill="auto"/>
            <w:vAlign w:val="center"/>
          </w:tcPr>
          <w:p>
            <w:pPr>
              <w:pStyle w:val="84"/>
              <w:bidi w:val="0"/>
              <w:rPr>
                <w:color w:val="auto"/>
                <w:highlight w:val="none"/>
              </w:rPr>
            </w:pPr>
            <w:r>
              <w:rPr>
                <w:rFonts w:hint="eastAsia"/>
                <w:color w:val="auto"/>
                <w:highlight w:val="none"/>
                <w:lang w:val="en-US" w:eastAsia="zh-CN"/>
              </w:rPr>
              <w:t>DN150</w:t>
            </w:r>
          </w:p>
        </w:tc>
        <w:tc>
          <w:tcPr>
            <w:tcW w:w="714" w:type="pct"/>
            <w:shd w:val="clear" w:color="auto" w:fill="auto"/>
            <w:vAlign w:val="center"/>
          </w:tcPr>
          <w:p>
            <w:pPr>
              <w:pStyle w:val="84"/>
              <w:bidi w:val="0"/>
              <w:rPr>
                <w:color w:val="auto"/>
                <w:highlight w:val="none"/>
              </w:rPr>
            </w:pPr>
            <w:r>
              <w:rPr>
                <w:rFonts w:hint="eastAsia"/>
                <w:color w:val="auto"/>
                <w:highlight w:val="none"/>
                <w:lang w:val="en-US" w:eastAsia="zh-CN"/>
              </w:rPr>
              <w:t>664</w:t>
            </w:r>
          </w:p>
        </w:tc>
        <w:tc>
          <w:tcPr>
            <w:tcW w:w="594" w:type="pct"/>
            <w:shd w:val="clear" w:color="auto" w:fill="auto"/>
            <w:vAlign w:val="center"/>
          </w:tcPr>
          <w:p>
            <w:pPr>
              <w:pStyle w:val="84"/>
              <w:bidi w:val="0"/>
              <w:rPr>
                <w:color w:val="auto"/>
                <w:highlight w:val="none"/>
              </w:rPr>
            </w:pPr>
            <w:r>
              <w:rPr>
                <w:color w:val="auto"/>
                <w:highlight w:val="none"/>
              </w:rPr>
              <w:t>0.50</w:t>
            </w:r>
          </w:p>
        </w:tc>
        <w:tc>
          <w:tcPr>
            <w:tcW w:w="507" w:type="pct"/>
            <w:shd w:val="clear" w:color="auto" w:fill="auto"/>
            <w:vAlign w:val="center"/>
          </w:tcPr>
          <w:p>
            <w:pPr>
              <w:pStyle w:val="84"/>
              <w:bidi w:val="0"/>
              <w:rPr>
                <w:color w:val="auto"/>
                <w:highlight w:val="none"/>
              </w:rPr>
            </w:pPr>
            <w:r>
              <w:rPr>
                <w:color w:val="auto"/>
                <w:highlight w:val="none"/>
              </w:rPr>
              <w:t>1.</w:t>
            </w:r>
            <w:r>
              <w:rPr>
                <w:rFonts w:hint="eastAsia"/>
                <w:color w:val="auto"/>
                <w:highlight w:val="none"/>
                <w:lang w:val="en-US" w:eastAsia="zh-CN"/>
              </w:rPr>
              <w:t>5</w:t>
            </w:r>
            <w:r>
              <w:rPr>
                <w:color w:val="auto"/>
                <w:highlight w:val="none"/>
              </w:rPr>
              <w:t>0</w:t>
            </w:r>
          </w:p>
        </w:tc>
        <w:tc>
          <w:tcPr>
            <w:tcW w:w="534" w:type="pct"/>
            <w:shd w:val="clear" w:color="auto" w:fill="auto"/>
            <w:vAlign w:val="center"/>
          </w:tcPr>
          <w:p>
            <w:pPr>
              <w:pStyle w:val="84"/>
              <w:bidi w:val="0"/>
              <w:rPr>
                <w:color w:val="auto"/>
                <w:highlight w:val="none"/>
              </w:rPr>
            </w:pPr>
            <w:r>
              <w:rPr>
                <w:color w:val="auto"/>
                <w:highlight w:val="none"/>
              </w:rPr>
              <w:t>1.</w:t>
            </w:r>
            <w:r>
              <w:rPr>
                <w:rFonts w:hint="eastAsia"/>
                <w:color w:val="auto"/>
                <w:highlight w:val="none"/>
                <w:lang w:val="en-US" w:eastAsia="zh-CN"/>
              </w:rPr>
              <w:t>7</w:t>
            </w:r>
            <w:r>
              <w:rPr>
                <w:color w:val="auto"/>
                <w:highlight w:val="none"/>
              </w:rPr>
              <w:t>0</w:t>
            </w:r>
          </w:p>
        </w:tc>
        <w:tc>
          <w:tcPr>
            <w:tcW w:w="503" w:type="pct"/>
            <w:vAlign w:val="center"/>
          </w:tcPr>
          <w:p>
            <w:pPr>
              <w:pStyle w:val="84"/>
              <w:bidi w:val="0"/>
              <w:rPr>
                <w:rFonts w:hint="default" w:eastAsia="仿宋_GB2312"/>
                <w:color w:val="auto"/>
                <w:highlight w:val="none"/>
                <w:lang w:val="en-US" w:eastAsia="zh-CN"/>
              </w:rPr>
            </w:pPr>
            <w:r>
              <w:rPr>
                <w:rFonts w:hint="eastAsia"/>
                <w:color w:val="auto"/>
                <w:highlight w:val="none"/>
                <w:lang w:val="en-US" w:eastAsia="zh-CN"/>
              </w:rPr>
              <w:t>1129</w:t>
            </w:r>
          </w:p>
        </w:tc>
        <w:tc>
          <w:tcPr>
            <w:tcW w:w="783" w:type="pct"/>
            <w:vMerge w:val="continue"/>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49" w:type="pct"/>
            <w:vAlign w:val="center"/>
          </w:tcPr>
          <w:p>
            <w:pPr>
              <w:pStyle w:val="84"/>
              <w:bidi w:val="0"/>
              <w:rPr>
                <w:color w:val="auto"/>
                <w:highlight w:val="none"/>
              </w:rPr>
            </w:pPr>
            <w:r>
              <w:rPr>
                <w:rFonts w:hint="eastAsia"/>
                <w:color w:val="auto"/>
                <w:highlight w:val="none"/>
                <w:lang w:val="en-US" w:eastAsia="zh-CN"/>
              </w:rPr>
              <w:t>排水</w:t>
            </w:r>
          </w:p>
        </w:tc>
        <w:tc>
          <w:tcPr>
            <w:tcW w:w="714" w:type="pct"/>
            <w:shd w:val="clear" w:color="auto" w:fill="auto"/>
            <w:vAlign w:val="center"/>
          </w:tcPr>
          <w:p>
            <w:pPr>
              <w:pStyle w:val="84"/>
              <w:bidi w:val="0"/>
              <w:rPr>
                <w:color w:val="auto"/>
                <w:highlight w:val="none"/>
              </w:rPr>
            </w:pPr>
            <w:r>
              <w:rPr>
                <w:rFonts w:hint="eastAsia"/>
                <w:color w:val="auto"/>
                <w:highlight w:val="none"/>
                <w:lang w:val="en-US" w:eastAsia="zh-CN"/>
              </w:rPr>
              <w:t>De315</w:t>
            </w:r>
          </w:p>
        </w:tc>
        <w:tc>
          <w:tcPr>
            <w:tcW w:w="714" w:type="pct"/>
            <w:shd w:val="clear" w:color="auto" w:fill="auto"/>
            <w:vAlign w:val="center"/>
          </w:tcPr>
          <w:p>
            <w:pPr>
              <w:pStyle w:val="84"/>
              <w:bidi w:val="0"/>
              <w:rPr>
                <w:color w:val="auto"/>
                <w:highlight w:val="none"/>
              </w:rPr>
            </w:pPr>
            <w:r>
              <w:rPr>
                <w:rFonts w:hint="eastAsia"/>
                <w:color w:val="auto"/>
                <w:highlight w:val="none"/>
                <w:lang w:val="en-US" w:eastAsia="zh-CN"/>
              </w:rPr>
              <w:t>1065</w:t>
            </w:r>
          </w:p>
        </w:tc>
        <w:tc>
          <w:tcPr>
            <w:tcW w:w="594" w:type="pct"/>
            <w:shd w:val="clear" w:color="auto" w:fill="auto"/>
            <w:vAlign w:val="center"/>
          </w:tcPr>
          <w:p>
            <w:pPr>
              <w:pStyle w:val="84"/>
              <w:bidi w:val="0"/>
              <w:rPr>
                <w:color w:val="auto"/>
                <w:highlight w:val="none"/>
              </w:rPr>
            </w:pPr>
            <w:r>
              <w:rPr>
                <w:rFonts w:hint="eastAsia"/>
                <w:color w:val="auto"/>
                <w:highlight w:val="none"/>
                <w:lang w:val="en-US" w:eastAsia="zh-CN"/>
              </w:rPr>
              <w:t>0.60</w:t>
            </w:r>
          </w:p>
        </w:tc>
        <w:tc>
          <w:tcPr>
            <w:tcW w:w="507" w:type="pct"/>
            <w:shd w:val="clear" w:color="auto" w:fill="auto"/>
            <w:vAlign w:val="center"/>
          </w:tcPr>
          <w:p>
            <w:pPr>
              <w:pStyle w:val="84"/>
              <w:bidi w:val="0"/>
              <w:rPr>
                <w:color w:val="auto"/>
                <w:highlight w:val="none"/>
              </w:rPr>
            </w:pPr>
            <w:r>
              <w:rPr>
                <w:rFonts w:hint="eastAsia"/>
                <w:color w:val="auto"/>
                <w:highlight w:val="none"/>
                <w:lang w:val="en-US" w:eastAsia="zh-CN"/>
              </w:rPr>
              <w:t>1.80</w:t>
            </w:r>
          </w:p>
        </w:tc>
        <w:tc>
          <w:tcPr>
            <w:tcW w:w="534" w:type="pct"/>
            <w:shd w:val="clear" w:color="auto" w:fill="auto"/>
            <w:vAlign w:val="center"/>
          </w:tcPr>
          <w:p>
            <w:pPr>
              <w:pStyle w:val="84"/>
              <w:bidi w:val="0"/>
              <w:rPr>
                <w:color w:val="auto"/>
                <w:highlight w:val="none"/>
              </w:rPr>
            </w:pPr>
            <w:r>
              <w:rPr>
                <w:rFonts w:hint="eastAsia"/>
                <w:color w:val="auto"/>
                <w:highlight w:val="none"/>
                <w:lang w:val="en-US" w:eastAsia="zh-CN"/>
              </w:rPr>
              <w:t>2.00</w:t>
            </w:r>
          </w:p>
        </w:tc>
        <w:tc>
          <w:tcPr>
            <w:tcW w:w="503" w:type="pct"/>
            <w:vAlign w:val="center"/>
          </w:tcPr>
          <w:p>
            <w:pPr>
              <w:pStyle w:val="84"/>
              <w:bidi w:val="0"/>
              <w:rPr>
                <w:color w:val="auto"/>
                <w:highlight w:val="none"/>
              </w:rPr>
            </w:pPr>
            <w:r>
              <w:rPr>
                <w:rFonts w:hint="eastAsia"/>
                <w:color w:val="auto"/>
                <w:highlight w:val="none"/>
                <w:lang w:val="en-US" w:eastAsia="zh-CN"/>
              </w:rPr>
              <w:t>2556</w:t>
            </w:r>
          </w:p>
        </w:tc>
        <w:tc>
          <w:tcPr>
            <w:tcW w:w="783" w:type="pct"/>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49" w:type="pct"/>
            <w:shd w:val="clear" w:color="auto" w:fill="auto"/>
            <w:vAlign w:val="center"/>
          </w:tcPr>
          <w:p>
            <w:pPr>
              <w:pStyle w:val="84"/>
              <w:bidi w:val="0"/>
              <w:rPr>
                <w:color w:val="auto"/>
                <w:highlight w:val="none"/>
              </w:rPr>
            </w:pPr>
            <w:r>
              <w:rPr>
                <w:color w:val="auto"/>
                <w:highlight w:val="none"/>
              </w:rPr>
              <w:t>强电</w:t>
            </w:r>
          </w:p>
        </w:tc>
        <w:tc>
          <w:tcPr>
            <w:tcW w:w="714" w:type="pct"/>
            <w:shd w:val="clear" w:color="auto" w:fill="auto"/>
            <w:vAlign w:val="center"/>
          </w:tcPr>
          <w:p>
            <w:pPr>
              <w:pStyle w:val="84"/>
              <w:bidi w:val="0"/>
              <w:rPr>
                <w:color w:val="auto"/>
                <w:highlight w:val="none"/>
              </w:rPr>
            </w:pPr>
            <w:r>
              <w:rPr>
                <w:color w:val="auto"/>
                <w:highlight w:val="none"/>
              </w:rPr>
              <w:t>　</w:t>
            </w:r>
          </w:p>
        </w:tc>
        <w:tc>
          <w:tcPr>
            <w:tcW w:w="714" w:type="pct"/>
            <w:shd w:val="clear" w:color="auto" w:fill="auto"/>
            <w:vAlign w:val="center"/>
          </w:tcPr>
          <w:p>
            <w:pPr>
              <w:pStyle w:val="84"/>
              <w:bidi w:val="0"/>
              <w:rPr>
                <w:rFonts w:hint="default" w:eastAsia="仿宋_GB2312"/>
                <w:color w:val="auto"/>
                <w:highlight w:val="none"/>
                <w:lang w:val="en-US" w:eastAsia="zh-CN"/>
              </w:rPr>
            </w:pPr>
            <w:r>
              <w:rPr>
                <w:rFonts w:hint="eastAsia"/>
                <w:color w:val="auto"/>
                <w:highlight w:val="none"/>
                <w:lang w:val="en-US" w:eastAsia="zh-CN"/>
              </w:rPr>
              <w:t>240</w:t>
            </w:r>
          </w:p>
        </w:tc>
        <w:tc>
          <w:tcPr>
            <w:tcW w:w="594" w:type="pct"/>
            <w:shd w:val="clear" w:color="auto" w:fill="auto"/>
            <w:vAlign w:val="center"/>
          </w:tcPr>
          <w:p>
            <w:pPr>
              <w:pStyle w:val="84"/>
              <w:bidi w:val="0"/>
              <w:rPr>
                <w:color w:val="auto"/>
                <w:highlight w:val="none"/>
              </w:rPr>
            </w:pPr>
            <w:r>
              <w:rPr>
                <w:color w:val="auto"/>
                <w:highlight w:val="none"/>
              </w:rPr>
              <w:t>1.00</w:t>
            </w:r>
          </w:p>
        </w:tc>
        <w:tc>
          <w:tcPr>
            <w:tcW w:w="507" w:type="pct"/>
            <w:shd w:val="clear" w:color="auto" w:fill="auto"/>
            <w:vAlign w:val="center"/>
          </w:tcPr>
          <w:p>
            <w:pPr>
              <w:pStyle w:val="84"/>
              <w:bidi w:val="0"/>
              <w:rPr>
                <w:color w:val="auto"/>
                <w:highlight w:val="none"/>
              </w:rPr>
            </w:pPr>
            <w:r>
              <w:rPr>
                <w:color w:val="auto"/>
                <w:highlight w:val="none"/>
              </w:rPr>
              <w:t>1.00</w:t>
            </w:r>
          </w:p>
        </w:tc>
        <w:tc>
          <w:tcPr>
            <w:tcW w:w="534" w:type="pct"/>
            <w:shd w:val="clear" w:color="auto" w:fill="auto"/>
            <w:vAlign w:val="center"/>
          </w:tcPr>
          <w:p>
            <w:pPr>
              <w:pStyle w:val="84"/>
              <w:bidi w:val="0"/>
              <w:rPr>
                <w:color w:val="auto"/>
                <w:highlight w:val="none"/>
              </w:rPr>
            </w:pPr>
            <w:r>
              <w:rPr>
                <w:color w:val="auto"/>
                <w:highlight w:val="none"/>
              </w:rPr>
              <w:t>1.00</w:t>
            </w:r>
          </w:p>
        </w:tc>
        <w:tc>
          <w:tcPr>
            <w:tcW w:w="503" w:type="pct"/>
            <w:shd w:val="clear" w:color="auto" w:fill="auto"/>
            <w:vAlign w:val="center"/>
          </w:tcPr>
          <w:p>
            <w:pPr>
              <w:pStyle w:val="84"/>
              <w:bidi w:val="0"/>
              <w:rPr>
                <w:rFonts w:hint="default" w:eastAsia="仿宋_GB2312"/>
                <w:color w:val="auto"/>
                <w:highlight w:val="none"/>
                <w:lang w:val="en-US" w:eastAsia="zh-CN"/>
              </w:rPr>
            </w:pPr>
            <w:r>
              <w:rPr>
                <w:rFonts w:hint="eastAsia"/>
                <w:color w:val="auto"/>
                <w:highlight w:val="none"/>
                <w:lang w:val="en-US" w:eastAsia="zh-CN"/>
              </w:rPr>
              <w:t>240</w:t>
            </w:r>
          </w:p>
        </w:tc>
        <w:tc>
          <w:tcPr>
            <w:tcW w:w="783" w:type="pct"/>
            <w:vMerge w:val="restart"/>
            <w:shd w:val="clear" w:color="auto" w:fill="auto"/>
            <w:vAlign w:val="center"/>
          </w:tcPr>
          <w:p>
            <w:pPr>
              <w:pStyle w:val="84"/>
              <w:bidi w:val="0"/>
              <w:rPr>
                <w:color w:val="auto"/>
                <w:highlight w:val="none"/>
              </w:rPr>
            </w:pPr>
            <w:r>
              <w:rPr>
                <w:color w:val="auto"/>
                <w:highlight w:val="none"/>
              </w:rPr>
              <w:t>强电弱电同沟布设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49" w:type="pct"/>
            <w:shd w:val="clear" w:color="auto" w:fill="auto"/>
            <w:vAlign w:val="center"/>
          </w:tcPr>
          <w:p>
            <w:pPr>
              <w:pStyle w:val="84"/>
              <w:bidi w:val="0"/>
              <w:rPr>
                <w:color w:val="auto"/>
                <w:highlight w:val="none"/>
              </w:rPr>
            </w:pPr>
            <w:r>
              <w:rPr>
                <w:color w:val="auto"/>
                <w:highlight w:val="none"/>
              </w:rPr>
              <w:t>弱电</w:t>
            </w:r>
          </w:p>
        </w:tc>
        <w:tc>
          <w:tcPr>
            <w:tcW w:w="714" w:type="pct"/>
            <w:shd w:val="clear" w:color="auto" w:fill="auto"/>
            <w:vAlign w:val="center"/>
          </w:tcPr>
          <w:p>
            <w:pPr>
              <w:pStyle w:val="84"/>
              <w:bidi w:val="0"/>
              <w:rPr>
                <w:color w:val="auto"/>
                <w:highlight w:val="none"/>
              </w:rPr>
            </w:pPr>
            <w:r>
              <w:rPr>
                <w:color w:val="auto"/>
                <w:highlight w:val="none"/>
              </w:rPr>
              <w:t>　</w:t>
            </w:r>
          </w:p>
        </w:tc>
        <w:tc>
          <w:tcPr>
            <w:tcW w:w="714" w:type="pct"/>
            <w:shd w:val="clear" w:color="auto" w:fill="auto"/>
            <w:vAlign w:val="center"/>
          </w:tcPr>
          <w:p>
            <w:pPr>
              <w:pStyle w:val="84"/>
              <w:bidi w:val="0"/>
              <w:rPr>
                <w:rFonts w:hint="default" w:eastAsia="仿宋_GB2312"/>
                <w:color w:val="auto"/>
                <w:highlight w:val="none"/>
                <w:lang w:val="en-US" w:eastAsia="zh-CN"/>
              </w:rPr>
            </w:pPr>
            <w:r>
              <w:rPr>
                <w:rFonts w:hint="eastAsia"/>
                <w:color w:val="auto"/>
                <w:highlight w:val="none"/>
                <w:lang w:val="en-US" w:eastAsia="zh-CN"/>
              </w:rPr>
              <w:t>205</w:t>
            </w:r>
          </w:p>
        </w:tc>
        <w:tc>
          <w:tcPr>
            <w:tcW w:w="1635" w:type="pct"/>
            <w:gridSpan w:val="3"/>
            <w:shd w:val="clear" w:color="auto" w:fill="auto"/>
            <w:vAlign w:val="center"/>
          </w:tcPr>
          <w:p>
            <w:pPr>
              <w:pStyle w:val="84"/>
              <w:bidi w:val="0"/>
              <w:rPr>
                <w:color w:val="auto"/>
                <w:highlight w:val="none"/>
              </w:rPr>
            </w:pPr>
            <w:r>
              <w:rPr>
                <w:rFonts w:hint="eastAsia"/>
                <w:color w:val="auto"/>
                <w:highlight w:val="none"/>
                <w:lang w:eastAsia="zh-CN"/>
              </w:rPr>
              <w:t>其中弱电</w:t>
            </w:r>
            <w:r>
              <w:rPr>
                <w:rFonts w:hint="eastAsia"/>
                <w:color w:val="auto"/>
                <w:highlight w:val="none"/>
                <w:lang w:val="en-US" w:eastAsia="zh-CN"/>
              </w:rPr>
              <w:t>160m</w:t>
            </w:r>
            <w:r>
              <w:rPr>
                <w:color w:val="auto"/>
                <w:highlight w:val="none"/>
              </w:rPr>
              <w:t>与强电同沟布设</w:t>
            </w:r>
          </w:p>
        </w:tc>
        <w:tc>
          <w:tcPr>
            <w:tcW w:w="503" w:type="pct"/>
            <w:vAlign w:val="center"/>
          </w:tcPr>
          <w:p>
            <w:pPr>
              <w:pStyle w:val="84"/>
              <w:bidi w:val="0"/>
              <w:rPr>
                <w:rFonts w:hint="default" w:eastAsia="仿宋_GB2312"/>
                <w:color w:val="auto"/>
                <w:highlight w:val="none"/>
                <w:lang w:val="en-US" w:eastAsia="zh-CN"/>
              </w:rPr>
            </w:pPr>
            <w:r>
              <w:rPr>
                <w:rFonts w:hint="eastAsia"/>
                <w:color w:val="auto"/>
                <w:highlight w:val="none"/>
                <w:lang w:val="en-US" w:eastAsia="zh-CN"/>
              </w:rPr>
              <w:t>45</w:t>
            </w:r>
          </w:p>
        </w:tc>
        <w:tc>
          <w:tcPr>
            <w:tcW w:w="783" w:type="pct"/>
            <w:vMerge w:val="continue"/>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49" w:type="pct"/>
            <w:shd w:val="clear" w:color="auto" w:fill="auto"/>
            <w:vAlign w:val="center"/>
          </w:tcPr>
          <w:p>
            <w:pPr>
              <w:pStyle w:val="84"/>
              <w:bidi w:val="0"/>
              <w:ind w:firstLine="0" w:firstLineChars="0"/>
              <w:rPr>
                <w:rFonts w:ascii="Times New Roman" w:hAnsi="Times New Roman" w:eastAsia="仿宋_GB2312" w:cs="Times New Roman"/>
                <w:color w:val="auto"/>
                <w:spacing w:val="-2"/>
                <w:kern w:val="0"/>
                <w:sz w:val="21"/>
                <w:szCs w:val="21"/>
                <w:highlight w:val="none"/>
                <w:lang w:val="en-US" w:eastAsia="zh-CN" w:bidi="ar-SA"/>
              </w:rPr>
            </w:pPr>
            <w:r>
              <w:rPr>
                <w:color w:val="auto"/>
                <w:highlight w:val="none"/>
              </w:rPr>
              <w:t>燃气</w:t>
            </w:r>
          </w:p>
        </w:tc>
        <w:tc>
          <w:tcPr>
            <w:tcW w:w="714" w:type="pct"/>
            <w:shd w:val="clear" w:color="auto" w:fill="auto"/>
            <w:vAlign w:val="center"/>
          </w:tcPr>
          <w:p>
            <w:pPr>
              <w:pStyle w:val="84"/>
              <w:bidi w:val="0"/>
              <w:ind w:firstLine="0" w:firstLineChars="0"/>
              <w:rPr>
                <w:rFonts w:ascii="Times New Roman" w:hAnsi="Times New Roman" w:eastAsia="仿宋_GB2312" w:cs="Times New Roman"/>
                <w:color w:val="auto"/>
                <w:spacing w:val="-2"/>
                <w:kern w:val="0"/>
                <w:sz w:val="21"/>
                <w:szCs w:val="21"/>
                <w:highlight w:val="none"/>
                <w:lang w:val="en-US" w:eastAsia="zh-CN" w:bidi="ar-SA"/>
              </w:rPr>
            </w:pPr>
            <w:r>
              <w:rPr>
                <w:color w:val="auto"/>
                <w:highlight w:val="none"/>
              </w:rPr>
              <w:t>DN80</w:t>
            </w:r>
          </w:p>
        </w:tc>
        <w:tc>
          <w:tcPr>
            <w:tcW w:w="714"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520</w:t>
            </w:r>
          </w:p>
        </w:tc>
        <w:tc>
          <w:tcPr>
            <w:tcW w:w="594"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0.30</w:t>
            </w:r>
          </w:p>
        </w:tc>
        <w:tc>
          <w:tcPr>
            <w:tcW w:w="507"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1.0</w:t>
            </w:r>
          </w:p>
        </w:tc>
        <w:tc>
          <w:tcPr>
            <w:tcW w:w="534"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1.5</w:t>
            </w:r>
          </w:p>
        </w:tc>
        <w:tc>
          <w:tcPr>
            <w:tcW w:w="503" w:type="pct"/>
            <w:vAlign w:val="center"/>
          </w:tcPr>
          <w:p>
            <w:pPr>
              <w:pStyle w:val="84"/>
              <w:bidi w:val="0"/>
              <w:rPr>
                <w:rFonts w:hint="default"/>
                <w:color w:val="auto"/>
                <w:highlight w:val="none"/>
                <w:lang w:val="en-US" w:eastAsia="zh-CN"/>
              </w:rPr>
            </w:pPr>
            <w:r>
              <w:rPr>
                <w:rFonts w:hint="eastAsia"/>
                <w:color w:val="auto"/>
                <w:highlight w:val="none"/>
                <w:lang w:val="en-US" w:eastAsia="zh-CN"/>
              </w:rPr>
              <w:t>507</w:t>
            </w:r>
          </w:p>
        </w:tc>
        <w:tc>
          <w:tcPr>
            <w:tcW w:w="783" w:type="pct"/>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49" w:type="pct"/>
            <w:shd w:val="clear" w:color="auto" w:fill="auto"/>
            <w:vAlign w:val="center"/>
          </w:tcPr>
          <w:p>
            <w:pPr>
              <w:pStyle w:val="84"/>
              <w:bidi w:val="0"/>
              <w:rPr>
                <w:color w:val="auto"/>
                <w:highlight w:val="none"/>
              </w:rPr>
            </w:pPr>
            <w:r>
              <w:rPr>
                <w:color w:val="auto"/>
                <w:highlight w:val="none"/>
              </w:rPr>
              <w:t>合计</w:t>
            </w:r>
          </w:p>
        </w:tc>
        <w:tc>
          <w:tcPr>
            <w:tcW w:w="714" w:type="pct"/>
            <w:shd w:val="clear" w:color="auto" w:fill="auto"/>
            <w:vAlign w:val="center"/>
          </w:tcPr>
          <w:p>
            <w:pPr>
              <w:pStyle w:val="84"/>
              <w:bidi w:val="0"/>
              <w:rPr>
                <w:color w:val="auto"/>
                <w:highlight w:val="none"/>
              </w:rPr>
            </w:pPr>
            <w:r>
              <w:rPr>
                <w:color w:val="auto"/>
                <w:highlight w:val="none"/>
              </w:rPr>
              <w:t>　</w:t>
            </w:r>
          </w:p>
        </w:tc>
        <w:tc>
          <w:tcPr>
            <w:tcW w:w="714" w:type="pct"/>
            <w:shd w:val="clear" w:color="auto" w:fill="auto"/>
            <w:vAlign w:val="center"/>
          </w:tcPr>
          <w:p>
            <w:pPr>
              <w:pStyle w:val="84"/>
              <w:bidi w:val="0"/>
              <w:rPr>
                <w:color w:val="auto"/>
                <w:highlight w:val="none"/>
              </w:rPr>
            </w:pPr>
            <w:r>
              <w:rPr>
                <w:color w:val="auto"/>
                <w:highlight w:val="none"/>
              </w:rPr>
              <w:t>　</w:t>
            </w:r>
          </w:p>
        </w:tc>
        <w:tc>
          <w:tcPr>
            <w:tcW w:w="594" w:type="pct"/>
            <w:shd w:val="clear" w:color="auto" w:fill="auto"/>
            <w:vAlign w:val="center"/>
          </w:tcPr>
          <w:p>
            <w:pPr>
              <w:pStyle w:val="84"/>
              <w:bidi w:val="0"/>
              <w:rPr>
                <w:color w:val="auto"/>
                <w:highlight w:val="none"/>
              </w:rPr>
            </w:pPr>
            <w:r>
              <w:rPr>
                <w:color w:val="auto"/>
                <w:highlight w:val="none"/>
              </w:rPr>
              <w:t>　</w:t>
            </w:r>
          </w:p>
        </w:tc>
        <w:tc>
          <w:tcPr>
            <w:tcW w:w="507" w:type="pct"/>
            <w:shd w:val="clear" w:color="auto" w:fill="auto"/>
            <w:vAlign w:val="center"/>
          </w:tcPr>
          <w:p>
            <w:pPr>
              <w:pStyle w:val="84"/>
              <w:bidi w:val="0"/>
              <w:rPr>
                <w:color w:val="auto"/>
                <w:highlight w:val="none"/>
              </w:rPr>
            </w:pPr>
            <w:r>
              <w:rPr>
                <w:color w:val="auto"/>
                <w:highlight w:val="none"/>
              </w:rPr>
              <w:t>　</w:t>
            </w:r>
          </w:p>
        </w:tc>
        <w:tc>
          <w:tcPr>
            <w:tcW w:w="534" w:type="pct"/>
            <w:shd w:val="clear" w:color="auto" w:fill="auto"/>
            <w:vAlign w:val="center"/>
          </w:tcPr>
          <w:p>
            <w:pPr>
              <w:pStyle w:val="84"/>
              <w:bidi w:val="0"/>
              <w:rPr>
                <w:color w:val="auto"/>
                <w:highlight w:val="none"/>
              </w:rPr>
            </w:pPr>
            <w:r>
              <w:rPr>
                <w:color w:val="auto"/>
                <w:highlight w:val="none"/>
              </w:rPr>
              <w:t>　</w:t>
            </w:r>
          </w:p>
        </w:tc>
        <w:tc>
          <w:tcPr>
            <w:tcW w:w="503" w:type="pct"/>
            <w:shd w:val="clear" w:color="auto" w:fill="auto"/>
            <w:vAlign w:val="center"/>
          </w:tcPr>
          <w:p>
            <w:pPr>
              <w:pStyle w:val="84"/>
              <w:bidi w:val="0"/>
              <w:rPr>
                <w:rFonts w:hint="default" w:eastAsia="仿宋_GB2312"/>
                <w:color w:val="auto"/>
                <w:highlight w:val="none"/>
                <w:lang w:val="en-US" w:eastAsia="zh-CN"/>
              </w:rPr>
            </w:pPr>
            <w:r>
              <w:rPr>
                <w:color w:val="auto"/>
                <w:highlight w:val="none"/>
              </w:rPr>
              <w:t>4</w:t>
            </w:r>
            <w:r>
              <w:rPr>
                <w:rFonts w:hint="eastAsia"/>
                <w:color w:val="auto"/>
                <w:highlight w:val="none"/>
                <w:lang w:val="en-US" w:eastAsia="zh-CN"/>
              </w:rPr>
              <w:t>477</w:t>
            </w:r>
          </w:p>
        </w:tc>
        <w:tc>
          <w:tcPr>
            <w:tcW w:w="783" w:type="pct"/>
            <w:shd w:val="clear" w:color="auto" w:fill="auto"/>
            <w:vAlign w:val="center"/>
          </w:tcPr>
          <w:p>
            <w:pPr>
              <w:pStyle w:val="84"/>
              <w:bidi w:val="0"/>
              <w:rPr>
                <w:color w:val="auto"/>
                <w:highlight w:val="none"/>
              </w:rPr>
            </w:pPr>
            <w:r>
              <w:rPr>
                <w:color w:val="auto"/>
                <w:highlight w:val="none"/>
              </w:rPr>
              <w:t>　</w:t>
            </w:r>
          </w:p>
        </w:tc>
      </w:tr>
    </w:tbl>
    <w:p>
      <w:pPr>
        <w:bidi w:val="0"/>
        <w:ind w:left="0" w:leftChars="0" w:firstLine="0" w:firstLineChars="0"/>
        <w:jc w:val="both"/>
        <w:rPr>
          <w:color w:val="auto"/>
          <w:highlight w:val="none"/>
        </w:rPr>
      </w:pPr>
    </w:p>
    <w:p>
      <w:pPr>
        <w:bidi w:val="0"/>
        <w:ind w:left="0" w:leftChars="0" w:firstLine="0" w:firstLineChars="0"/>
        <w:jc w:val="both"/>
        <w:rPr>
          <w:color w:val="auto"/>
          <w:highlight w:val="none"/>
        </w:rPr>
      </w:pPr>
      <w:r>
        <w:rPr>
          <w:color w:val="auto"/>
          <w:highlight w:val="none"/>
        </w:rPr>
        <w:drawing>
          <wp:inline distT="0" distB="0" distL="0" distR="0">
            <wp:extent cx="2695575" cy="2051685"/>
            <wp:effectExtent l="0" t="0" r="952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3"/>
                    <a:srcRect t="-635" r="202"/>
                    <a:stretch>
                      <a:fillRect/>
                    </a:stretch>
                  </pic:blipFill>
                  <pic:spPr>
                    <a:xfrm>
                      <a:off x="0" y="0"/>
                      <a:ext cx="2695575" cy="2051685"/>
                    </a:xfrm>
                    <a:prstGeom prst="rect">
                      <a:avLst/>
                    </a:prstGeom>
                  </pic:spPr>
                </pic:pic>
              </a:graphicData>
            </a:graphic>
          </wp:inline>
        </w:drawing>
      </w:r>
      <w:r>
        <w:rPr>
          <w:rFonts w:hint="eastAsia"/>
          <w:color w:val="auto"/>
          <w:highlight w:val="none"/>
          <w:lang w:val="en-US" w:eastAsia="zh-CN"/>
        </w:rPr>
        <w:t xml:space="preserve">  </w:t>
      </w:r>
      <w:r>
        <w:rPr>
          <w:color w:val="auto"/>
          <w:highlight w:val="none"/>
        </w:rPr>
        <w:drawing>
          <wp:inline distT="0" distB="0" distL="114300" distR="114300">
            <wp:extent cx="2635885" cy="2051685"/>
            <wp:effectExtent l="0" t="0" r="12065" b="57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4"/>
                    <a:stretch>
                      <a:fillRect/>
                    </a:stretch>
                  </pic:blipFill>
                  <pic:spPr>
                    <a:xfrm>
                      <a:off x="0" y="0"/>
                      <a:ext cx="2635885" cy="2051685"/>
                    </a:xfrm>
                    <a:prstGeom prst="rect">
                      <a:avLst/>
                    </a:prstGeom>
                    <a:noFill/>
                    <a:ln>
                      <a:noFill/>
                    </a:ln>
                  </pic:spPr>
                </pic:pic>
              </a:graphicData>
            </a:graphic>
          </wp:inline>
        </w:drawing>
      </w:r>
    </w:p>
    <w:p>
      <w:pPr>
        <w:pStyle w:val="75"/>
        <w:jc w:val="both"/>
        <w:rPr>
          <w:rFonts w:eastAsia="仿宋_GB2312"/>
          <w:b/>
          <w:bCs/>
          <w:snapToGrid w:val="0"/>
          <w:color w:val="auto"/>
          <w:kern w:val="24"/>
          <w:szCs w:val="24"/>
          <w:highlight w:val="none"/>
        </w:rPr>
      </w:pPr>
      <w:r>
        <w:rPr>
          <w:rFonts w:hint="eastAsia"/>
          <w:color w:val="auto"/>
          <w:highlight w:val="none"/>
        </w:rPr>
        <w:t>图2.1-</w:t>
      </w:r>
      <w:r>
        <w:rPr>
          <w:rFonts w:hint="eastAsia"/>
          <w:color w:val="auto"/>
          <w:highlight w:val="none"/>
          <w:lang w:val="en-US" w:eastAsia="zh-CN"/>
        </w:rPr>
        <w:t>2</w:t>
      </w:r>
      <w:r>
        <w:rPr>
          <w:rFonts w:hint="eastAsia"/>
          <w:color w:val="auto"/>
          <w:highlight w:val="none"/>
        </w:rPr>
        <w:t xml:space="preserve">       管沟开挖断面图</w:t>
      </w:r>
      <w:r>
        <w:rPr>
          <w:rFonts w:hint="eastAsia"/>
          <w:color w:val="auto"/>
          <w:highlight w:val="none"/>
          <w:lang w:val="en-US" w:eastAsia="zh-CN"/>
        </w:rPr>
        <w:t xml:space="preserve">           </w:t>
      </w:r>
      <w:r>
        <w:rPr>
          <w:rFonts w:eastAsia="仿宋_GB2312"/>
          <w:b/>
          <w:bCs/>
          <w:snapToGrid w:val="0"/>
          <w:color w:val="auto"/>
          <w:kern w:val="24"/>
          <w:szCs w:val="24"/>
          <w:highlight w:val="none"/>
        </w:rPr>
        <w:t>图2.1-</w:t>
      </w:r>
      <w:r>
        <w:rPr>
          <w:rFonts w:hint="eastAsia"/>
          <w:b/>
          <w:bCs/>
          <w:snapToGrid w:val="0"/>
          <w:color w:val="auto"/>
          <w:kern w:val="24"/>
          <w:szCs w:val="24"/>
          <w:highlight w:val="none"/>
          <w:lang w:val="en-US" w:eastAsia="zh-CN"/>
        </w:rPr>
        <w:t>3</w:t>
      </w:r>
      <w:r>
        <w:rPr>
          <w:rFonts w:eastAsia="仿宋_GB2312"/>
          <w:b/>
          <w:bCs/>
          <w:snapToGrid w:val="0"/>
          <w:color w:val="auto"/>
          <w:kern w:val="24"/>
          <w:szCs w:val="24"/>
          <w:highlight w:val="none"/>
        </w:rPr>
        <w:t xml:space="preserve">   电缆沟横断面示意图</w:t>
      </w:r>
    </w:p>
    <w:p>
      <w:pPr>
        <w:pStyle w:val="75"/>
        <w:rPr>
          <w:rFonts w:hint="eastAsia"/>
          <w:color w:val="auto"/>
          <w:highlight w:val="none"/>
        </w:rPr>
      </w:pPr>
    </w:p>
    <w:p>
      <w:pPr>
        <w:pStyle w:val="66"/>
        <w:ind w:firstLine="148"/>
        <w:outlineLvl w:val="9"/>
        <w:rPr>
          <w:color w:val="auto"/>
          <w:highlight w:val="none"/>
        </w:rPr>
      </w:pPr>
      <w:bookmarkStart w:id="76" w:name="_Toc2310"/>
      <w:r>
        <w:rPr>
          <w:color w:val="auto"/>
          <w:highlight w:val="none"/>
        </w:rPr>
        <w:t>2.2 施工组织</w:t>
      </w:r>
      <w:bookmarkEnd w:id="76"/>
    </w:p>
    <w:p>
      <w:pPr>
        <w:pStyle w:val="69"/>
        <w:rPr>
          <w:color w:val="auto"/>
          <w:highlight w:val="none"/>
        </w:rPr>
      </w:pPr>
      <w:r>
        <w:rPr>
          <w:color w:val="auto"/>
          <w:highlight w:val="none"/>
        </w:rPr>
        <w:t>2.2.1 施工生产区</w:t>
      </w:r>
    </w:p>
    <w:p>
      <w:pPr>
        <w:pStyle w:val="56"/>
        <w:ind w:firstLine="480"/>
        <w:rPr>
          <w:color w:val="auto"/>
          <w:highlight w:val="none"/>
        </w:rPr>
      </w:pPr>
      <w:r>
        <w:rPr>
          <w:color w:val="auto"/>
          <w:highlight w:val="none"/>
        </w:rPr>
        <w:t>根据沿线筑路材料与构造物的分布、地形、地物情况，结合考虑环境保护要求、施工组织等因素，本项目位于</w:t>
      </w:r>
      <w:r>
        <w:rPr>
          <w:rFonts w:hint="eastAsia"/>
          <w:color w:val="auto"/>
          <w:highlight w:val="none"/>
          <w:lang w:eastAsia="zh-CN"/>
        </w:rPr>
        <w:t>伊宁县公安局以南，新城路以北，文明路以东，703乡道以西</w:t>
      </w:r>
      <w:r>
        <w:rPr>
          <w:color w:val="auto"/>
          <w:highlight w:val="none"/>
        </w:rPr>
        <w:t>，距离</w:t>
      </w:r>
      <w:r>
        <w:rPr>
          <w:rFonts w:hint="eastAsia"/>
          <w:color w:val="auto"/>
          <w:highlight w:val="none"/>
          <w:lang w:eastAsia="zh-CN"/>
        </w:rPr>
        <w:t>伊宁县中心2.25km</w:t>
      </w:r>
      <w:r>
        <w:rPr>
          <w:color w:val="auto"/>
          <w:highlight w:val="none"/>
        </w:rPr>
        <w:t>左右，主体考虑在施工人员租住周边民房的情况下，在项目区共布设</w:t>
      </w:r>
      <w:r>
        <w:rPr>
          <w:rFonts w:hint="eastAsia"/>
          <w:color w:val="auto"/>
          <w:highlight w:val="none"/>
          <w:lang w:val="en-US" w:eastAsia="zh-CN"/>
        </w:rPr>
        <w:t>1</w:t>
      </w:r>
      <w:r>
        <w:rPr>
          <w:color w:val="auto"/>
          <w:highlight w:val="none"/>
        </w:rPr>
        <w:t>处施工生产区，占地共计0.3</w:t>
      </w:r>
      <w:r>
        <w:rPr>
          <w:rFonts w:hint="eastAsia"/>
          <w:color w:val="auto"/>
          <w:highlight w:val="none"/>
          <w:lang w:val="en-US" w:eastAsia="zh-CN"/>
        </w:rPr>
        <w:t>0</w:t>
      </w:r>
      <w:r>
        <w:rPr>
          <w:color w:val="auto"/>
          <w:highlight w:val="none"/>
        </w:rPr>
        <w:t>hm²，</w:t>
      </w:r>
      <w:r>
        <w:rPr>
          <w:rFonts w:hint="default"/>
          <w:color w:val="auto"/>
          <w:highlight w:val="none"/>
        </w:rPr>
        <w:t>为重复占地，作为施工期间材料堆放场地、钢筋加工车间、人员宿舍等。</w:t>
      </w:r>
    </w:p>
    <w:p>
      <w:pPr>
        <w:pStyle w:val="69"/>
        <w:rPr>
          <w:color w:val="auto"/>
          <w:highlight w:val="none"/>
        </w:rPr>
      </w:pPr>
      <w:r>
        <w:rPr>
          <w:color w:val="auto"/>
          <w:highlight w:val="none"/>
        </w:rPr>
        <w:t>2.2.2 施工道路</w:t>
      </w:r>
    </w:p>
    <w:p>
      <w:pPr>
        <w:pStyle w:val="56"/>
        <w:ind w:firstLine="480"/>
        <w:rPr>
          <w:color w:val="auto"/>
          <w:highlight w:val="none"/>
        </w:rPr>
      </w:pPr>
      <w:r>
        <w:rPr>
          <w:color w:val="auto"/>
          <w:highlight w:val="none"/>
        </w:rPr>
        <w:t>本项目位于</w:t>
      </w:r>
      <w:r>
        <w:rPr>
          <w:rFonts w:hint="eastAsia"/>
          <w:color w:val="auto"/>
          <w:highlight w:val="none"/>
          <w:lang w:eastAsia="zh-CN"/>
        </w:rPr>
        <w:t>伊宁县公安局以南，新城路以北，文明路以东，703乡道以西，周边</w:t>
      </w:r>
      <w:r>
        <w:rPr>
          <w:color w:val="auto"/>
          <w:szCs w:val="26"/>
          <w:highlight w:val="none"/>
        </w:rPr>
        <w:t>道路系统建设完善，因此对外交通可直接利用现有道路。</w:t>
      </w:r>
      <w:r>
        <w:rPr>
          <w:color w:val="auto"/>
          <w:highlight w:val="none"/>
        </w:rPr>
        <w:t>主体在充分考虑利用周边现有道路情况下建设场内道路，采取用临结合的方式，后期作为道路及硬化区利用。施工期间主要出入口布置于</w:t>
      </w:r>
      <w:r>
        <w:rPr>
          <w:rFonts w:hint="eastAsia"/>
          <w:color w:val="auto"/>
          <w:highlight w:val="none"/>
          <w:lang w:eastAsia="zh-CN"/>
        </w:rPr>
        <w:t>西</w:t>
      </w:r>
      <w:r>
        <w:rPr>
          <w:rFonts w:hint="eastAsia"/>
          <w:color w:val="auto"/>
          <w:highlight w:val="none"/>
        </w:rPr>
        <w:t>侧</w:t>
      </w:r>
      <w:r>
        <w:rPr>
          <w:color w:val="auto"/>
          <w:highlight w:val="none"/>
        </w:rPr>
        <w:t>，完工后原施工出入口建设为后期车辆人行出入口。</w:t>
      </w:r>
    </w:p>
    <w:p>
      <w:pPr>
        <w:pStyle w:val="69"/>
        <w:rPr>
          <w:color w:val="auto"/>
          <w:highlight w:val="none"/>
        </w:rPr>
      </w:pPr>
      <w:r>
        <w:rPr>
          <w:color w:val="auto"/>
          <w:highlight w:val="none"/>
        </w:rPr>
        <w:t>2.2.3 施工用水、用电</w:t>
      </w:r>
    </w:p>
    <w:p>
      <w:pPr>
        <w:pStyle w:val="56"/>
        <w:ind w:firstLine="480"/>
        <w:rPr>
          <w:color w:val="auto"/>
          <w:highlight w:val="none"/>
        </w:rPr>
      </w:pPr>
      <w:r>
        <w:rPr>
          <w:color w:val="auto"/>
          <w:highlight w:val="none"/>
        </w:rPr>
        <w:t>施工用水：本项目位于</w:t>
      </w:r>
      <w:r>
        <w:rPr>
          <w:rFonts w:hint="eastAsia"/>
          <w:color w:val="auto"/>
          <w:highlight w:val="none"/>
          <w:lang w:eastAsia="zh-CN"/>
        </w:rPr>
        <w:t>伊宁县公安局以南，新城路以北，文明路以东，703乡道以西，</w:t>
      </w:r>
      <w:r>
        <w:rPr>
          <w:color w:val="auto"/>
          <w:szCs w:val="26"/>
          <w:highlight w:val="none"/>
        </w:rPr>
        <w:t>项目区</w:t>
      </w:r>
      <w:r>
        <w:rPr>
          <w:rFonts w:hint="eastAsia"/>
          <w:color w:val="auto"/>
          <w:szCs w:val="26"/>
          <w:highlight w:val="none"/>
          <w:lang w:eastAsia="zh-CN"/>
        </w:rPr>
        <w:t>北</w:t>
      </w:r>
      <w:r>
        <w:rPr>
          <w:color w:val="auto"/>
          <w:szCs w:val="26"/>
          <w:highlight w:val="none"/>
        </w:rPr>
        <w:t>侧紧邻的</w:t>
      </w:r>
      <w:r>
        <w:rPr>
          <w:rFonts w:hint="eastAsia"/>
          <w:color w:val="auto"/>
          <w:szCs w:val="26"/>
          <w:highlight w:val="none"/>
          <w:lang w:eastAsia="zh-CN"/>
        </w:rPr>
        <w:t>文明</w:t>
      </w:r>
      <w:r>
        <w:rPr>
          <w:color w:val="auto"/>
          <w:szCs w:val="26"/>
          <w:highlight w:val="none"/>
        </w:rPr>
        <w:t>路布设有市政供水给水，本项目供水给水可直接接入至周边市政管网</w:t>
      </w:r>
      <w:r>
        <w:rPr>
          <w:color w:val="auto"/>
          <w:highlight w:val="none"/>
        </w:rPr>
        <w:t>，本项目施工用水直接由市政管网接至项目区，采取永临结合的方式，满足施工用水要求。</w:t>
      </w:r>
    </w:p>
    <w:p>
      <w:pPr>
        <w:pStyle w:val="56"/>
        <w:ind w:firstLine="480"/>
        <w:rPr>
          <w:color w:val="auto"/>
          <w:highlight w:val="none"/>
        </w:rPr>
      </w:pPr>
      <w:r>
        <w:rPr>
          <w:color w:val="auto"/>
          <w:highlight w:val="none"/>
        </w:rPr>
        <w:t>施工用电：本项目位于</w:t>
      </w:r>
      <w:r>
        <w:rPr>
          <w:rFonts w:hint="eastAsia"/>
          <w:color w:val="auto"/>
          <w:highlight w:val="none"/>
          <w:lang w:eastAsia="zh-CN"/>
        </w:rPr>
        <w:t>伊宁县公安局以南，新城路以北，文明路以东，703乡道以西，</w:t>
      </w:r>
      <w:r>
        <w:rPr>
          <w:color w:val="auto"/>
          <w:szCs w:val="26"/>
          <w:highlight w:val="none"/>
        </w:rPr>
        <w:t>项目区</w:t>
      </w:r>
      <w:r>
        <w:rPr>
          <w:rFonts w:hint="eastAsia"/>
          <w:color w:val="auto"/>
          <w:szCs w:val="26"/>
          <w:highlight w:val="none"/>
          <w:lang w:eastAsia="zh-CN"/>
        </w:rPr>
        <w:t>的北</w:t>
      </w:r>
      <w:r>
        <w:rPr>
          <w:color w:val="auto"/>
          <w:szCs w:val="26"/>
          <w:highlight w:val="none"/>
        </w:rPr>
        <w:t>侧紧邻布设有10KV输电电缆，</w:t>
      </w:r>
      <w:r>
        <w:rPr>
          <w:color w:val="auto"/>
          <w:highlight w:val="none"/>
        </w:rPr>
        <w:t>本项目施工临时用电直接由其接入至项目区内，并设置</w:t>
      </w:r>
      <w:r>
        <w:rPr>
          <w:color w:val="auto"/>
          <w:szCs w:val="26"/>
          <w:highlight w:val="none"/>
        </w:rPr>
        <w:t>室外箱变，采取永临结合的方式，</w:t>
      </w:r>
      <w:r>
        <w:rPr>
          <w:color w:val="auto"/>
          <w:highlight w:val="none"/>
        </w:rPr>
        <w:t>满足施工用电要求。</w:t>
      </w:r>
    </w:p>
    <w:p>
      <w:pPr>
        <w:pStyle w:val="69"/>
        <w:rPr>
          <w:color w:val="auto"/>
          <w:highlight w:val="none"/>
        </w:rPr>
      </w:pPr>
      <w:r>
        <w:rPr>
          <w:color w:val="auto"/>
          <w:highlight w:val="none"/>
        </w:rPr>
        <w:t>2.2.4 建筑材料</w:t>
      </w:r>
    </w:p>
    <w:p>
      <w:pPr>
        <w:pStyle w:val="56"/>
        <w:ind w:firstLine="480"/>
        <w:rPr>
          <w:color w:val="auto"/>
          <w:highlight w:val="none"/>
        </w:rPr>
      </w:pPr>
      <w:r>
        <w:rPr>
          <w:color w:val="auto"/>
          <w:highlight w:val="none"/>
        </w:rPr>
        <w:t>本工程施工过程中需要的建筑材料主要包括：商品混凝土、钢材、木材、油料等。材料来源如：水泥、钢材、木材等从</w:t>
      </w:r>
      <w:r>
        <w:rPr>
          <w:rFonts w:hint="eastAsia"/>
          <w:color w:val="auto"/>
          <w:highlight w:val="none"/>
          <w:lang w:eastAsia="zh-CN"/>
        </w:rPr>
        <w:t>伊宁县</w:t>
      </w:r>
      <w:r>
        <w:rPr>
          <w:color w:val="auto"/>
          <w:highlight w:val="none"/>
        </w:rPr>
        <w:t>周边建材市场采购；成品商砼混凝土料由</w:t>
      </w:r>
      <w:r>
        <w:rPr>
          <w:rFonts w:hint="eastAsia"/>
          <w:color w:val="auto"/>
          <w:highlight w:val="none"/>
          <w:lang w:eastAsia="zh-CN"/>
        </w:rPr>
        <w:t>伊宁县</w:t>
      </w:r>
      <w:r>
        <w:rPr>
          <w:color w:val="auto"/>
          <w:highlight w:val="none"/>
        </w:rPr>
        <w:t>成品商砼混凝土搅拌厂拉运至项目区；油料、生活用品等从</w:t>
      </w:r>
      <w:r>
        <w:rPr>
          <w:rFonts w:hint="eastAsia"/>
          <w:color w:val="auto"/>
          <w:highlight w:val="none"/>
          <w:lang w:eastAsia="zh-CN"/>
        </w:rPr>
        <w:t>伊宁县</w:t>
      </w:r>
      <w:r>
        <w:rPr>
          <w:color w:val="auto"/>
          <w:highlight w:val="none"/>
        </w:rPr>
        <w:t>采购</w:t>
      </w:r>
      <w:r>
        <w:rPr>
          <w:rFonts w:hint="eastAsia"/>
          <w:color w:val="auto"/>
          <w:highlight w:val="none"/>
          <w:lang w:eastAsia="zh-CN"/>
        </w:rPr>
        <w:t>，运距2.25km</w:t>
      </w:r>
      <w:r>
        <w:rPr>
          <w:color w:val="auto"/>
          <w:highlight w:val="none"/>
        </w:rPr>
        <w:t>。</w:t>
      </w:r>
    </w:p>
    <w:p>
      <w:pPr>
        <w:pStyle w:val="69"/>
        <w:rPr>
          <w:color w:val="auto"/>
          <w:highlight w:val="none"/>
        </w:rPr>
      </w:pPr>
      <w:r>
        <w:rPr>
          <w:color w:val="auto"/>
          <w:highlight w:val="none"/>
        </w:rPr>
        <w:t>2.2.</w:t>
      </w:r>
      <w:r>
        <w:rPr>
          <w:rFonts w:hint="eastAsia"/>
          <w:color w:val="auto"/>
          <w:highlight w:val="none"/>
          <w:lang w:val="en-US" w:eastAsia="zh-CN"/>
        </w:rPr>
        <w:t>5</w:t>
      </w:r>
      <w:r>
        <w:rPr>
          <w:color w:val="auto"/>
          <w:highlight w:val="none"/>
        </w:rPr>
        <w:t xml:space="preserve"> 取土（石、砂）场</w:t>
      </w:r>
    </w:p>
    <w:p>
      <w:pPr>
        <w:pStyle w:val="56"/>
        <w:ind w:firstLine="480"/>
        <w:rPr>
          <w:color w:val="auto"/>
          <w:highlight w:val="none"/>
        </w:rPr>
      </w:pPr>
      <w:r>
        <w:rPr>
          <w:color w:val="auto"/>
          <w:highlight w:val="none"/>
        </w:rPr>
        <w:t>本项目建设所需的混凝土砂砾石拌合料从周边商品料场购买，其水土保持责任由砂砾石料厂承担，不设置专用料场。</w:t>
      </w:r>
    </w:p>
    <w:p>
      <w:pPr>
        <w:pStyle w:val="69"/>
        <w:rPr>
          <w:color w:val="auto"/>
          <w:highlight w:val="none"/>
        </w:rPr>
      </w:pPr>
      <w:r>
        <w:rPr>
          <w:color w:val="auto"/>
          <w:highlight w:val="none"/>
        </w:rPr>
        <w:t>2.2.</w:t>
      </w:r>
      <w:r>
        <w:rPr>
          <w:rFonts w:hint="eastAsia"/>
          <w:color w:val="auto"/>
          <w:highlight w:val="none"/>
          <w:lang w:val="en-US" w:eastAsia="zh-CN"/>
        </w:rPr>
        <w:t>6</w:t>
      </w:r>
      <w:r>
        <w:rPr>
          <w:color w:val="auto"/>
          <w:highlight w:val="none"/>
        </w:rPr>
        <w:t xml:space="preserve"> 弃土（石、渣）场</w:t>
      </w:r>
    </w:p>
    <w:p>
      <w:pPr>
        <w:pStyle w:val="56"/>
        <w:ind w:firstLine="480"/>
        <w:rPr>
          <w:color w:val="auto"/>
          <w:highlight w:val="none"/>
        </w:rPr>
      </w:pPr>
      <w:r>
        <w:rPr>
          <w:color w:val="auto"/>
          <w:highlight w:val="none"/>
        </w:rPr>
        <w:t>本工程建设期间挖方均用于后期回填，多余土方就地摊平平整，无永久弃方。同时后期运行期间生活垃圾统一收集后由环卫部门统一清运，因此本项目未设置弃渣场。</w:t>
      </w:r>
    </w:p>
    <w:p>
      <w:pPr>
        <w:pStyle w:val="69"/>
        <w:rPr>
          <w:color w:val="auto"/>
          <w:highlight w:val="none"/>
        </w:rPr>
      </w:pPr>
      <w:r>
        <w:rPr>
          <w:color w:val="auto"/>
          <w:highlight w:val="none"/>
        </w:rPr>
        <w:t>2.2.</w:t>
      </w:r>
      <w:r>
        <w:rPr>
          <w:rFonts w:hint="eastAsia"/>
          <w:color w:val="auto"/>
          <w:highlight w:val="none"/>
          <w:lang w:val="en-US" w:eastAsia="zh-CN"/>
        </w:rPr>
        <w:t>7</w:t>
      </w:r>
      <w:r>
        <w:rPr>
          <w:color w:val="auto"/>
          <w:highlight w:val="none"/>
        </w:rPr>
        <w:t xml:space="preserve"> 施工方法与施工工艺</w:t>
      </w:r>
    </w:p>
    <w:p>
      <w:pPr>
        <w:pStyle w:val="56"/>
        <w:ind w:firstLine="480"/>
        <w:rPr>
          <w:color w:val="auto"/>
          <w:highlight w:val="none"/>
        </w:rPr>
      </w:pPr>
      <w:r>
        <w:rPr>
          <w:color w:val="auto"/>
          <w:highlight w:val="none"/>
        </w:rPr>
        <w:t>本项目的各工程主要以机械化施工为主，辅以人工施工。其主要项目与水土流失有关的施工如下：</w:t>
      </w:r>
    </w:p>
    <w:p>
      <w:pPr>
        <w:pStyle w:val="56"/>
        <w:ind w:firstLine="480"/>
        <w:rPr>
          <w:color w:val="auto"/>
          <w:highlight w:val="none"/>
        </w:rPr>
      </w:pPr>
      <w:r>
        <w:rPr>
          <w:color w:val="auto"/>
          <w:highlight w:val="none"/>
        </w:rPr>
        <w:t>（1）建筑物基础开挖回填</w:t>
      </w:r>
    </w:p>
    <w:p>
      <w:pPr>
        <w:pStyle w:val="56"/>
        <w:ind w:firstLine="480"/>
        <w:rPr>
          <w:color w:val="auto"/>
          <w:highlight w:val="none"/>
        </w:rPr>
      </w:pPr>
      <w:r>
        <w:rPr>
          <w:color w:val="auto"/>
          <w:highlight w:val="none"/>
        </w:rPr>
        <w:t>本项目商业用房以及附属建筑物基础为条形基础，基础埋深较浅，可直接采用小型机械开挖，基坑开挖至设计标高0.10m时，由人工清理至设计标高。开挖土方临时堆置在开挖基坑周边，基坑建设完成后回填利用，多余土石方直接回填周边空地平整。</w:t>
      </w:r>
    </w:p>
    <w:p>
      <w:pPr>
        <w:pStyle w:val="56"/>
        <w:ind w:firstLine="480"/>
        <w:rPr>
          <w:color w:val="auto"/>
          <w:highlight w:val="none"/>
        </w:rPr>
      </w:pPr>
      <w:r>
        <w:rPr>
          <w:color w:val="auto"/>
          <w:highlight w:val="none"/>
        </w:rPr>
        <w:t>本项目住宅用房均采用条形基础，</w:t>
      </w:r>
      <w:r>
        <w:rPr>
          <w:rFonts w:hint="eastAsia"/>
          <w:color w:val="auto"/>
          <w:highlight w:val="none"/>
          <w:lang w:eastAsia="zh-CN"/>
        </w:rPr>
        <w:t>住宅楼包含地下室结构，因此</w:t>
      </w:r>
      <w:r>
        <w:rPr>
          <w:color w:val="auto"/>
          <w:highlight w:val="none"/>
        </w:rPr>
        <w:t>采取施工机械整体开挖的方式进行，开挖土方临时堆置在基坑开挖周边，待基础浇筑建设完成后，统一回填利用，多余土方用于绿化区、道路及硬化区场地平整。</w:t>
      </w:r>
    </w:p>
    <w:p>
      <w:pPr>
        <w:pStyle w:val="56"/>
        <w:ind w:firstLine="480"/>
        <w:rPr>
          <w:color w:val="auto"/>
          <w:highlight w:val="none"/>
        </w:rPr>
      </w:pPr>
      <w:r>
        <w:rPr>
          <w:color w:val="auto"/>
          <w:highlight w:val="none"/>
        </w:rPr>
        <w:t>（2）管线开挖回填</w:t>
      </w:r>
    </w:p>
    <w:p>
      <w:pPr>
        <w:pStyle w:val="56"/>
        <w:ind w:firstLine="480"/>
        <w:rPr>
          <w:color w:val="auto"/>
          <w:highlight w:val="none"/>
        </w:rPr>
      </w:pPr>
      <w:r>
        <w:rPr>
          <w:color w:val="auto"/>
          <w:highlight w:val="none"/>
        </w:rPr>
        <w:t>建设过程中道路、管线统一规划，综合布设。各种工程管线尽量同步建设，避免重复开挖去、敷设，以减少地表扰动，加快施工进度。</w:t>
      </w:r>
    </w:p>
    <w:p>
      <w:pPr>
        <w:pStyle w:val="56"/>
        <w:ind w:firstLine="480"/>
        <w:rPr>
          <w:color w:val="auto"/>
          <w:highlight w:val="none"/>
        </w:rPr>
      </w:pPr>
      <w:r>
        <w:rPr>
          <w:color w:val="auto"/>
          <w:highlight w:val="none"/>
        </w:rPr>
        <w:t>工程区内管线较多，主要包括</w:t>
      </w:r>
      <w:r>
        <w:rPr>
          <w:color w:val="auto"/>
          <w:szCs w:val="26"/>
          <w:highlight w:val="none"/>
        </w:rPr>
        <w:t>给水</w:t>
      </w:r>
      <w:r>
        <w:rPr>
          <w:rFonts w:hint="eastAsia"/>
          <w:color w:val="auto"/>
          <w:szCs w:val="26"/>
          <w:highlight w:val="none"/>
          <w:lang w:eastAsia="zh-CN"/>
        </w:rPr>
        <w:t>消防</w:t>
      </w:r>
      <w:r>
        <w:rPr>
          <w:color w:val="auto"/>
          <w:szCs w:val="26"/>
          <w:highlight w:val="none"/>
        </w:rPr>
        <w:t>、排水、供电、暖通、燃气</w:t>
      </w:r>
      <w:r>
        <w:rPr>
          <w:color w:val="auto"/>
          <w:highlight w:val="none"/>
        </w:rPr>
        <w:t>等专业的管线。管线开挖的土石方临时对于管沟一侧。管沟开挖一般采用分段施工，上一段建设结束后才开展下一段的施工，减少开挖量。</w:t>
      </w:r>
    </w:p>
    <w:p>
      <w:pPr>
        <w:pStyle w:val="56"/>
        <w:ind w:firstLine="480"/>
        <w:rPr>
          <w:color w:val="auto"/>
          <w:highlight w:val="none"/>
        </w:rPr>
      </w:pPr>
      <w:r>
        <w:rPr>
          <w:color w:val="auto"/>
          <w:highlight w:val="none"/>
        </w:rPr>
        <w:t>管道埋设均沿道路铺设，管线采用大开挖施工，开挖后及时回填，根据基础情况，开挖宽度按一定的边坡与管径之和开挖，管道沟槽在开挖时，采取分段开挖的方式进行施工，管道沟槽采用机械开挖的形式进行施工，基坑开挖至设计标高0.10m时，由人工清理至设计标高。开挖时沟槽开挖成梯形，具体边坡根据开挖段土质情况确定。开挖土方临时堆置在开挖管沟一侧。排水、雨水管采用管顶平接。给水管与排水管及雨水管相碰时，给水管让排水管及雨水管，小管让大管。</w:t>
      </w:r>
    </w:p>
    <w:p>
      <w:pPr>
        <w:pStyle w:val="56"/>
        <w:ind w:firstLine="480"/>
        <w:rPr>
          <w:color w:val="auto"/>
          <w:highlight w:val="none"/>
        </w:rPr>
      </w:pPr>
      <w:r>
        <w:rPr>
          <w:color w:val="auto"/>
          <w:highlight w:val="none"/>
        </w:rPr>
        <w:t>在回填期间直接利用管沟开挖土方，开挖土方堆置在管沟另一侧，用于管沟回填，不再外购土石方以及垫层料。管道基础需较为平整，管道回填土要求槽底至管顶以上500mm范围内，土中不得含有机物、冻土以及大于50mm的砖、石等硬块；在抹带接口处、防腐绝缘层，应采用细粒土回填，并符合规范要求规定。</w:t>
      </w:r>
    </w:p>
    <w:p>
      <w:pPr>
        <w:pStyle w:val="56"/>
        <w:ind w:firstLine="480"/>
        <w:rPr>
          <w:color w:val="auto"/>
          <w:highlight w:val="none"/>
        </w:rPr>
      </w:pPr>
      <w:r>
        <w:rPr>
          <w:color w:val="auto"/>
          <w:highlight w:val="none"/>
        </w:rPr>
        <w:t>（3）道路施工</w:t>
      </w:r>
    </w:p>
    <w:p>
      <w:pPr>
        <w:pStyle w:val="56"/>
        <w:ind w:firstLine="480"/>
        <w:rPr>
          <w:color w:val="auto"/>
          <w:highlight w:val="none"/>
        </w:rPr>
      </w:pPr>
      <w:r>
        <w:rPr>
          <w:color w:val="auto"/>
          <w:highlight w:val="none"/>
        </w:rPr>
        <w:t>施工前期利用施工机械对场地平整碾压后作为场内临时施工道路使用，在建筑物施工完成后平整压实，达到一定压实度后，采取硬化处理，作为项目区道路及硬化区使用。</w:t>
      </w:r>
    </w:p>
    <w:p>
      <w:pPr>
        <w:pStyle w:val="56"/>
        <w:ind w:firstLine="480"/>
        <w:rPr>
          <w:color w:val="auto"/>
          <w:highlight w:val="none"/>
        </w:rPr>
      </w:pPr>
      <w:r>
        <w:rPr>
          <w:color w:val="auto"/>
          <w:highlight w:val="none"/>
        </w:rPr>
        <w:t>（4）绿化施工</w:t>
      </w:r>
    </w:p>
    <w:p>
      <w:pPr>
        <w:pStyle w:val="56"/>
        <w:ind w:firstLine="480"/>
        <w:rPr>
          <w:color w:val="auto"/>
          <w:highlight w:val="none"/>
        </w:rPr>
      </w:pPr>
      <w:r>
        <w:rPr>
          <w:color w:val="auto"/>
          <w:highlight w:val="none"/>
        </w:rPr>
        <w:t>绿地建设一般在工程后期进行，用不同的园林植物群落配置，通过全面整地、扩穴、施肥后先植乔、灌木，形成绿化图案骨架和形态后再铺种草皮。</w:t>
      </w:r>
    </w:p>
    <w:p>
      <w:pPr>
        <w:pStyle w:val="66"/>
        <w:ind w:firstLine="148"/>
        <w:rPr>
          <w:color w:val="auto"/>
          <w:highlight w:val="none"/>
        </w:rPr>
      </w:pPr>
      <w:bookmarkStart w:id="77" w:name="_Toc24945"/>
      <w:r>
        <w:rPr>
          <w:color w:val="auto"/>
          <w:highlight w:val="none"/>
        </w:rPr>
        <w:t>2.3 工程占地</w:t>
      </w:r>
      <w:bookmarkEnd w:id="77"/>
    </w:p>
    <w:p>
      <w:pPr>
        <w:pStyle w:val="56"/>
        <w:ind w:firstLine="480"/>
        <w:rPr>
          <w:color w:val="auto"/>
          <w:highlight w:val="none"/>
        </w:rPr>
      </w:pPr>
      <w:r>
        <w:rPr>
          <w:color w:val="auto"/>
          <w:highlight w:val="none"/>
        </w:rPr>
        <w:t>项目建设总占地面积</w:t>
      </w:r>
      <w:r>
        <w:rPr>
          <w:rFonts w:hint="eastAsia"/>
          <w:color w:val="auto"/>
          <w:highlight w:val="none"/>
          <w:lang w:val="en-US" w:eastAsia="zh-CN"/>
        </w:rPr>
        <w:t>2.96</w:t>
      </w:r>
      <w:r>
        <w:rPr>
          <w:color w:val="auto"/>
          <w:highlight w:val="none"/>
        </w:rPr>
        <w:t>hm²，</w:t>
      </w:r>
      <w:r>
        <w:rPr>
          <w:rFonts w:hint="eastAsia"/>
          <w:color w:val="auto"/>
          <w:highlight w:val="none"/>
          <w:lang w:eastAsia="zh-CN"/>
        </w:rPr>
        <w:t>均为</w:t>
      </w:r>
      <w:r>
        <w:rPr>
          <w:color w:val="auto"/>
          <w:highlight w:val="none"/>
        </w:rPr>
        <w:t>永久占地，占地类型为住宅用地。</w:t>
      </w:r>
    </w:p>
    <w:p>
      <w:pPr>
        <w:pStyle w:val="75"/>
        <w:rPr>
          <w:color w:val="auto"/>
          <w:highlight w:val="none"/>
        </w:rPr>
      </w:pPr>
      <w:r>
        <w:rPr>
          <w:color w:val="auto"/>
          <w:highlight w:val="none"/>
        </w:rPr>
        <w:t>表2.3-1      本项目占地面积及占地类型情况统计表   单位：hm²</w:t>
      </w:r>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15"/>
        <w:gridCol w:w="1651"/>
        <w:gridCol w:w="1383"/>
        <w:gridCol w:w="1386"/>
        <w:gridCol w:w="1310"/>
        <w:gridCol w:w="13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112" w:type="pct"/>
            <w:vMerge w:val="restart"/>
            <w:shd w:val="clear" w:color="auto" w:fill="auto"/>
            <w:noWrap/>
            <w:vAlign w:val="center"/>
          </w:tcPr>
          <w:p>
            <w:pPr>
              <w:pStyle w:val="84"/>
              <w:bidi w:val="0"/>
              <w:rPr>
                <w:color w:val="auto"/>
                <w:highlight w:val="none"/>
              </w:rPr>
            </w:pPr>
            <w:r>
              <w:rPr>
                <w:color w:val="auto"/>
                <w:highlight w:val="none"/>
              </w:rPr>
              <w:t>项目组成</w:t>
            </w:r>
          </w:p>
        </w:tc>
        <w:tc>
          <w:tcPr>
            <w:tcW w:w="911" w:type="pct"/>
            <w:shd w:val="clear" w:color="auto" w:fill="auto"/>
            <w:noWrap/>
            <w:vAlign w:val="center"/>
          </w:tcPr>
          <w:p>
            <w:pPr>
              <w:pStyle w:val="84"/>
              <w:bidi w:val="0"/>
              <w:rPr>
                <w:color w:val="auto"/>
                <w:highlight w:val="none"/>
              </w:rPr>
            </w:pPr>
            <w:r>
              <w:rPr>
                <w:color w:val="auto"/>
                <w:highlight w:val="none"/>
              </w:rPr>
              <w:t>占地类型</w:t>
            </w:r>
          </w:p>
        </w:tc>
        <w:tc>
          <w:tcPr>
            <w:tcW w:w="1528" w:type="pct"/>
            <w:gridSpan w:val="2"/>
            <w:shd w:val="clear" w:color="auto" w:fill="auto"/>
            <w:noWrap/>
            <w:vAlign w:val="center"/>
          </w:tcPr>
          <w:p>
            <w:pPr>
              <w:pStyle w:val="84"/>
              <w:bidi w:val="0"/>
              <w:rPr>
                <w:color w:val="auto"/>
                <w:highlight w:val="none"/>
              </w:rPr>
            </w:pPr>
            <w:r>
              <w:rPr>
                <w:color w:val="auto"/>
                <w:highlight w:val="none"/>
              </w:rPr>
              <w:t>占地性质</w:t>
            </w:r>
          </w:p>
        </w:tc>
        <w:tc>
          <w:tcPr>
            <w:tcW w:w="723" w:type="pct"/>
            <w:vMerge w:val="restart"/>
            <w:shd w:val="clear" w:color="auto" w:fill="auto"/>
            <w:noWrap/>
            <w:vAlign w:val="center"/>
          </w:tcPr>
          <w:p>
            <w:pPr>
              <w:pStyle w:val="84"/>
              <w:bidi w:val="0"/>
              <w:rPr>
                <w:color w:val="auto"/>
                <w:highlight w:val="none"/>
              </w:rPr>
            </w:pPr>
            <w:r>
              <w:rPr>
                <w:color w:val="auto"/>
                <w:highlight w:val="none"/>
              </w:rPr>
              <w:t>合计</w:t>
            </w:r>
          </w:p>
        </w:tc>
        <w:tc>
          <w:tcPr>
            <w:tcW w:w="723" w:type="pct"/>
            <w:vMerge w:val="restart"/>
            <w:shd w:val="clear" w:color="auto" w:fill="auto"/>
            <w:noWrap/>
            <w:vAlign w:val="center"/>
          </w:tcPr>
          <w:p>
            <w:pPr>
              <w:pStyle w:val="84"/>
              <w:bidi w:val="0"/>
              <w:rPr>
                <w:rFonts w:hint="eastAsia"/>
                <w:color w:val="auto"/>
                <w:highlight w:val="none"/>
                <w:lang w:eastAsia="zh-CN"/>
              </w:rPr>
            </w:pPr>
            <w:r>
              <w:rPr>
                <w:rFonts w:hint="eastAsia"/>
                <w:color w:val="auto"/>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112" w:type="pct"/>
            <w:vMerge w:val="continue"/>
            <w:vAlign w:val="center"/>
          </w:tcPr>
          <w:p>
            <w:pPr>
              <w:pStyle w:val="84"/>
              <w:bidi w:val="0"/>
              <w:rPr>
                <w:color w:val="auto"/>
                <w:highlight w:val="none"/>
              </w:rPr>
            </w:pPr>
          </w:p>
        </w:tc>
        <w:tc>
          <w:tcPr>
            <w:tcW w:w="911" w:type="pct"/>
            <w:shd w:val="clear" w:color="auto" w:fill="auto"/>
            <w:noWrap/>
            <w:vAlign w:val="center"/>
          </w:tcPr>
          <w:p>
            <w:pPr>
              <w:pStyle w:val="84"/>
              <w:bidi w:val="0"/>
              <w:rPr>
                <w:color w:val="auto"/>
                <w:highlight w:val="none"/>
              </w:rPr>
            </w:pPr>
            <w:r>
              <w:rPr>
                <w:color w:val="auto"/>
                <w:highlight w:val="none"/>
              </w:rPr>
              <w:t>住宅用地</w:t>
            </w:r>
          </w:p>
        </w:tc>
        <w:tc>
          <w:tcPr>
            <w:tcW w:w="763" w:type="pct"/>
            <w:shd w:val="clear" w:color="auto" w:fill="auto"/>
            <w:noWrap/>
            <w:vAlign w:val="center"/>
          </w:tcPr>
          <w:p>
            <w:pPr>
              <w:pStyle w:val="84"/>
              <w:bidi w:val="0"/>
              <w:rPr>
                <w:color w:val="auto"/>
                <w:highlight w:val="none"/>
              </w:rPr>
            </w:pPr>
            <w:r>
              <w:rPr>
                <w:color w:val="auto"/>
                <w:highlight w:val="none"/>
              </w:rPr>
              <w:t>永久占地</w:t>
            </w:r>
          </w:p>
        </w:tc>
        <w:tc>
          <w:tcPr>
            <w:tcW w:w="765" w:type="pct"/>
            <w:shd w:val="clear" w:color="auto" w:fill="auto"/>
            <w:noWrap/>
            <w:vAlign w:val="center"/>
          </w:tcPr>
          <w:p>
            <w:pPr>
              <w:pStyle w:val="84"/>
              <w:bidi w:val="0"/>
              <w:rPr>
                <w:color w:val="auto"/>
                <w:highlight w:val="none"/>
              </w:rPr>
            </w:pPr>
            <w:r>
              <w:rPr>
                <w:color w:val="auto"/>
                <w:highlight w:val="none"/>
              </w:rPr>
              <w:t>临时占地</w:t>
            </w:r>
          </w:p>
        </w:tc>
        <w:tc>
          <w:tcPr>
            <w:tcW w:w="723" w:type="pct"/>
            <w:vMerge w:val="continue"/>
            <w:vAlign w:val="center"/>
          </w:tcPr>
          <w:p>
            <w:pPr>
              <w:pStyle w:val="84"/>
              <w:bidi w:val="0"/>
              <w:rPr>
                <w:color w:val="auto"/>
                <w:highlight w:val="none"/>
              </w:rPr>
            </w:pPr>
          </w:p>
        </w:tc>
        <w:tc>
          <w:tcPr>
            <w:tcW w:w="723" w:type="pct"/>
            <w:vMerge w:val="continue"/>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112" w:type="pct"/>
            <w:shd w:val="clear" w:color="auto" w:fill="auto"/>
            <w:noWrap/>
            <w:vAlign w:val="center"/>
          </w:tcPr>
          <w:p>
            <w:pPr>
              <w:pStyle w:val="84"/>
              <w:bidi w:val="0"/>
              <w:rPr>
                <w:color w:val="auto"/>
                <w:highlight w:val="none"/>
              </w:rPr>
            </w:pPr>
            <w:r>
              <w:rPr>
                <w:color w:val="auto"/>
                <w:highlight w:val="none"/>
              </w:rPr>
              <w:t>建构筑物区</w:t>
            </w:r>
          </w:p>
        </w:tc>
        <w:tc>
          <w:tcPr>
            <w:tcW w:w="911" w:type="pct"/>
            <w:shd w:val="clear" w:color="auto" w:fill="auto"/>
            <w:noWrap/>
            <w:vAlign w:val="center"/>
          </w:tcPr>
          <w:p>
            <w:pPr>
              <w:pStyle w:val="84"/>
              <w:bidi w:val="0"/>
              <w:rPr>
                <w:color w:val="auto"/>
                <w:highlight w:val="none"/>
              </w:rPr>
            </w:pPr>
            <w:r>
              <w:rPr>
                <w:color w:val="auto"/>
                <w:highlight w:val="none"/>
              </w:rPr>
              <w:t>0.</w:t>
            </w:r>
            <w:r>
              <w:rPr>
                <w:rFonts w:hint="eastAsia"/>
                <w:color w:val="auto"/>
                <w:highlight w:val="none"/>
                <w:lang w:val="en-US" w:eastAsia="zh-CN"/>
              </w:rPr>
              <w:t>73</w:t>
            </w:r>
            <w:r>
              <w:rPr>
                <w:color w:val="auto"/>
                <w:highlight w:val="none"/>
              </w:rPr>
              <w:t xml:space="preserve"> </w:t>
            </w:r>
          </w:p>
        </w:tc>
        <w:tc>
          <w:tcPr>
            <w:tcW w:w="763" w:type="pct"/>
            <w:shd w:val="clear" w:color="auto" w:fill="auto"/>
            <w:noWrap/>
            <w:vAlign w:val="center"/>
          </w:tcPr>
          <w:p>
            <w:pPr>
              <w:pStyle w:val="84"/>
              <w:bidi w:val="0"/>
              <w:rPr>
                <w:color w:val="auto"/>
                <w:highlight w:val="none"/>
              </w:rPr>
            </w:pPr>
            <w:r>
              <w:rPr>
                <w:color w:val="auto"/>
                <w:highlight w:val="none"/>
              </w:rPr>
              <w:t>0.</w:t>
            </w:r>
            <w:r>
              <w:rPr>
                <w:rFonts w:hint="eastAsia"/>
                <w:color w:val="auto"/>
                <w:highlight w:val="none"/>
                <w:lang w:val="en-US" w:eastAsia="zh-CN"/>
              </w:rPr>
              <w:t>73</w:t>
            </w:r>
            <w:r>
              <w:rPr>
                <w:color w:val="auto"/>
                <w:highlight w:val="none"/>
              </w:rPr>
              <w:t xml:space="preserve"> </w:t>
            </w:r>
          </w:p>
        </w:tc>
        <w:tc>
          <w:tcPr>
            <w:tcW w:w="765" w:type="pct"/>
            <w:shd w:val="clear" w:color="auto" w:fill="auto"/>
            <w:noWrap/>
            <w:vAlign w:val="center"/>
          </w:tcPr>
          <w:p>
            <w:pPr>
              <w:pStyle w:val="84"/>
              <w:bidi w:val="0"/>
              <w:rPr>
                <w:color w:val="auto"/>
                <w:highlight w:val="none"/>
              </w:rPr>
            </w:pPr>
            <w:r>
              <w:rPr>
                <w:color w:val="auto"/>
                <w:highlight w:val="none"/>
              </w:rPr>
              <w:t>　</w:t>
            </w:r>
          </w:p>
        </w:tc>
        <w:tc>
          <w:tcPr>
            <w:tcW w:w="723" w:type="pct"/>
            <w:shd w:val="clear" w:color="auto" w:fill="auto"/>
            <w:noWrap/>
            <w:vAlign w:val="center"/>
          </w:tcPr>
          <w:p>
            <w:pPr>
              <w:pStyle w:val="84"/>
              <w:bidi w:val="0"/>
              <w:rPr>
                <w:color w:val="auto"/>
                <w:highlight w:val="none"/>
              </w:rPr>
            </w:pPr>
            <w:r>
              <w:rPr>
                <w:color w:val="auto"/>
                <w:highlight w:val="none"/>
              </w:rPr>
              <w:t>0.</w:t>
            </w:r>
            <w:r>
              <w:rPr>
                <w:rFonts w:hint="eastAsia"/>
                <w:color w:val="auto"/>
                <w:highlight w:val="none"/>
                <w:lang w:val="en-US" w:eastAsia="zh-CN"/>
              </w:rPr>
              <w:t>73</w:t>
            </w:r>
            <w:r>
              <w:rPr>
                <w:color w:val="auto"/>
                <w:highlight w:val="none"/>
              </w:rPr>
              <w:t xml:space="preserve"> </w:t>
            </w:r>
          </w:p>
        </w:tc>
        <w:tc>
          <w:tcPr>
            <w:tcW w:w="723" w:type="pct"/>
            <w:vMerge w:val="restart"/>
            <w:shd w:val="clear" w:color="auto" w:fill="auto"/>
            <w:noWrap/>
            <w:vAlign w:val="center"/>
          </w:tcPr>
          <w:p>
            <w:pPr>
              <w:pStyle w:val="84"/>
              <w:bidi w:val="0"/>
              <w:rPr>
                <w:rFonts w:hint="eastAsia"/>
                <w:color w:val="auto"/>
                <w:highlight w:val="none"/>
                <w:lang w:eastAsia="zh-CN"/>
              </w:rPr>
            </w:pPr>
            <w:r>
              <w:rPr>
                <w:rFonts w:hint="eastAsia"/>
                <w:color w:val="auto"/>
                <w:highlight w:val="none"/>
                <w:lang w:eastAsia="zh-CN"/>
              </w:rPr>
              <w:t>红线内占地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112" w:type="pct"/>
            <w:shd w:val="clear" w:color="auto" w:fill="auto"/>
            <w:noWrap/>
            <w:vAlign w:val="center"/>
          </w:tcPr>
          <w:p>
            <w:pPr>
              <w:pStyle w:val="84"/>
              <w:bidi w:val="0"/>
              <w:rPr>
                <w:color w:val="auto"/>
                <w:highlight w:val="none"/>
              </w:rPr>
            </w:pPr>
            <w:r>
              <w:rPr>
                <w:color w:val="auto"/>
                <w:highlight w:val="none"/>
              </w:rPr>
              <w:t>绿化区</w:t>
            </w:r>
          </w:p>
        </w:tc>
        <w:tc>
          <w:tcPr>
            <w:tcW w:w="911" w:type="pct"/>
            <w:shd w:val="clear" w:color="auto" w:fill="auto"/>
            <w:noWrap/>
            <w:vAlign w:val="center"/>
          </w:tcPr>
          <w:p>
            <w:pPr>
              <w:pStyle w:val="84"/>
              <w:bidi w:val="0"/>
              <w:rPr>
                <w:color w:val="auto"/>
                <w:highlight w:val="none"/>
              </w:rPr>
            </w:pPr>
            <w:r>
              <w:rPr>
                <w:rFonts w:hint="eastAsia"/>
                <w:color w:val="auto"/>
                <w:highlight w:val="none"/>
                <w:lang w:val="en-US" w:eastAsia="zh-CN"/>
              </w:rPr>
              <w:t>1.21</w:t>
            </w:r>
            <w:r>
              <w:rPr>
                <w:color w:val="auto"/>
                <w:highlight w:val="none"/>
              </w:rPr>
              <w:t xml:space="preserve"> </w:t>
            </w:r>
          </w:p>
        </w:tc>
        <w:tc>
          <w:tcPr>
            <w:tcW w:w="763" w:type="pct"/>
            <w:shd w:val="clear" w:color="auto" w:fill="auto"/>
            <w:noWrap/>
            <w:vAlign w:val="center"/>
          </w:tcPr>
          <w:p>
            <w:pPr>
              <w:pStyle w:val="84"/>
              <w:bidi w:val="0"/>
              <w:rPr>
                <w:color w:val="auto"/>
                <w:highlight w:val="none"/>
              </w:rPr>
            </w:pPr>
            <w:r>
              <w:rPr>
                <w:rFonts w:hint="eastAsia"/>
                <w:color w:val="auto"/>
                <w:highlight w:val="none"/>
                <w:lang w:val="en-US" w:eastAsia="zh-CN"/>
              </w:rPr>
              <w:t>1.21</w:t>
            </w:r>
            <w:r>
              <w:rPr>
                <w:color w:val="auto"/>
                <w:highlight w:val="none"/>
              </w:rPr>
              <w:t xml:space="preserve"> </w:t>
            </w:r>
          </w:p>
        </w:tc>
        <w:tc>
          <w:tcPr>
            <w:tcW w:w="765" w:type="pct"/>
            <w:shd w:val="clear" w:color="auto" w:fill="auto"/>
            <w:noWrap/>
            <w:vAlign w:val="center"/>
          </w:tcPr>
          <w:p>
            <w:pPr>
              <w:pStyle w:val="84"/>
              <w:bidi w:val="0"/>
              <w:rPr>
                <w:color w:val="auto"/>
                <w:highlight w:val="none"/>
              </w:rPr>
            </w:pPr>
            <w:r>
              <w:rPr>
                <w:color w:val="auto"/>
                <w:highlight w:val="none"/>
              </w:rPr>
              <w:t>　</w:t>
            </w:r>
          </w:p>
        </w:tc>
        <w:tc>
          <w:tcPr>
            <w:tcW w:w="723" w:type="pct"/>
            <w:shd w:val="clear" w:color="auto" w:fill="auto"/>
            <w:noWrap/>
            <w:vAlign w:val="center"/>
          </w:tcPr>
          <w:p>
            <w:pPr>
              <w:pStyle w:val="84"/>
              <w:bidi w:val="0"/>
              <w:rPr>
                <w:color w:val="auto"/>
                <w:highlight w:val="none"/>
              </w:rPr>
            </w:pPr>
            <w:r>
              <w:rPr>
                <w:rFonts w:hint="eastAsia"/>
                <w:color w:val="auto"/>
                <w:highlight w:val="none"/>
                <w:lang w:val="en-US" w:eastAsia="zh-CN"/>
              </w:rPr>
              <w:t>1.21</w:t>
            </w:r>
            <w:r>
              <w:rPr>
                <w:color w:val="auto"/>
                <w:highlight w:val="none"/>
              </w:rPr>
              <w:t xml:space="preserve"> </w:t>
            </w:r>
          </w:p>
        </w:tc>
        <w:tc>
          <w:tcPr>
            <w:tcW w:w="723" w:type="pct"/>
            <w:vMerge w:val="continue"/>
            <w:shd w:val="clear" w:color="auto" w:fill="auto"/>
            <w:noWrap/>
            <w:vAlign w:val="center"/>
          </w:tcPr>
          <w:p>
            <w:pPr>
              <w:pStyle w:val="84"/>
              <w:bidi w:val="0"/>
              <w:rPr>
                <w:rFonts w:hint="eastAsia"/>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exact"/>
        </w:trPr>
        <w:tc>
          <w:tcPr>
            <w:tcW w:w="1112" w:type="pct"/>
            <w:shd w:val="clear" w:color="auto" w:fill="auto"/>
            <w:noWrap/>
            <w:vAlign w:val="center"/>
          </w:tcPr>
          <w:p>
            <w:pPr>
              <w:pStyle w:val="84"/>
              <w:bidi w:val="0"/>
              <w:rPr>
                <w:color w:val="auto"/>
                <w:highlight w:val="none"/>
              </w:rPr>
            </w:pPr>
            <w:r>
              <w:rPr>
                <w:color w:val="auto"/>
                <w:highlight w:val="none"/>
              </w:rPr>
              <w:t>道路及硬化区</w:t>
            </w:r>
          </w:p>
        </w:tc>
        <w:tc>
          <w:tcPr>
            <w:tcW w:w="911" w:type="pct"/>
            <w:shd w:val="clear" w:color="auto" w:fill="auto"/>
            <w:noWrap/>
            <w:vAlign w:val="center"/>
          </w:tcPr>
          <w:p>
            <w:pPr>
              <w:pStyle w:val="84"/>
              <w:bidi w:val="0"/>
              <w:rPr>
                <w:color w:val="auto"/>
                <w:highlight w:val="none"/>
              </w:rPr>
            </w:pPr>
            <w:r>
              <w:rPr>
                <w:color w:val="auto"/>
                <w:highlight w:val="none"/>
              </w:rPr>
              <w:t>1.</w:t>
            </w:r>
            <w:r>
              <w:rPr>
                <w:rFonts w:hint="eastAsia"/>
                <w:color w:val="auto"/>
                <w:highlight w:val="none"/>
                <w:lang w:val="en-US" w:eastAsia="zh-CN"/>
              </w:rPr>
              <w:t>02</w:t>
            </w:r>
            <w:r>
              <w:rPr>
                <w:color w:val="auto"/>
                <w:highlight w:val="none"/>
              </w:rPr>
              <w:t xml:space="preserve"> </w:t>
            </w:r>
          </w:p>
        </w:tc>
        <w:tc>
          <w:tcPr>
            <w:tcW w:w="763" w:type="pct"/>
            <w:shd w:val="clear" w:color="auto" w:fill="auto"/>
            <w:noWrap/>
            <w:vAlign w:val="center"/>
          </w:tcPr>
          <w:p>
            <w:pPr>
              <w:pStyle w:val="84"/>
              <w:bidi w:val="0"/>
              <w:rPr>
                <w:color w:val="auto"/>
                <w:highlight w:val="none"/>
              </w:rPr>
            </w:pPr>
            <w:r>
              <w:rPr>
                <w:color w:val="auto"/>
                <w:highlight w:val="none"/>
              </w:rPr>
              <w:t>1.</w:t>
            </w:r>
            <w:r>
              <w:rPr>
                <w:rFonts w:hint="eastAsia"/>
                <w:color w:val="auto"/>
                <w:highlight w:val="none"/>
                <w:lang w:val="en-US" w:eastAsia="zh-CN"/>
              </w:rPr>
              <w:t>02</w:t>
            </w:r>
            <w:r>
              <w:rPr>
                <w:color w:val="auto"/>
                <w:highlight w:val="none"/>
              </w:rPr>
              <w:t xml:space="preserve"> </w:t>
            </w:r>
          </w:p>
        </w:tc>
        <w:tc>
          <w:tcPr>
            <w:tcW w:w="765" w:type="pct"/>
            <w:shd w:val="clear" w:color="auto" w:fill="auto"/>
            <w:noWrap/>
            <w:vAlign w:val="center"/>
          </w:tcPr>
          <w:p>
            <w:pPr>
              <w:pStyle w:val="84"/>
              <w:bidi w:val="0"/>
              <w:rPr>
                <w:color w:val="auto"/>
                <w:highlight w:val="none"/>
              </w:rPr>
            </w:pPr>
            <w:r>
              <w:rPr>
                <w:color w:val="auto"/>
                <w:highlight w:val="none"/>
              </w:rPr>
              <w:t>　</w:t>
            </w:r>
          </w:p>
        </w:tc>
        <w:tc>
          <w:tcPr>
            <w:tcW w:w="723" w:type="pct"/>
            <w:shd w:val="clear" w:color="auto" w:fill="auto"/>
            <w:noWrap/>
            <w:vAlign w:val="center"/>
          </w:tcPr>
          <w:p>
            <w:pPr>
              <w:pStyle w:val="84"/>
              <w:bidi w:val="0"/>
              <w:rPr>
                <w:color w:val="auto"/>
                <w:highlight w:val="none"/>
              </w:rPr>
            </w:pPr>
            <w:r>
              <w:rPr>
                <w:color w:val="auto"/>
                <w:highlight w:val="none"/>
              </w:rPr>
              <w:t>1.</w:t>
            </w:r>
            <w:r>
              <w:rPr>
                <w:rFonts w:hint="eastAsia"/>
                <w:color w:val="auto"/>
                <w:highlight w:val="none"/>
                <w:lang w:val="en-US" w:eastAsia="zh-CN"/>
              </w:rPr>
              <w:t>02</w:t>
            </w:r>
            <w:r>
              <w:rPr>
                <w:color w:val="auto"/>
                <w:highlight w:val="none"/>
              </w:rPr>
              <w:t xml:space="preserve"> </w:t>
            </w:r>
          </w:p>
        </w:tc>
        <w:tc>
          <w:tcPr>
            <w:tcW w:w="723" w:type="pct"/>
            <w:vMerge w:val="continue"/>
            <w:shd w:val="clear" w:color="auto" w:fill="auto"/>
            <w:noWrap/>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112" w:type="pct"/>
            <w:shd w:val="clear" w:color="auto" w:fill="auto"/>
            <w:noWrap/>
            <w:vAlign w:val="center"/>
          </w:tcPr>
          <w:p>
            <w:pPr>
              <w:pStyle w:val="84"/>
              <w:bidi w:val="0"/>
              <w:rPr>
                <w:color w:val="auto"/>
                <w:highlight w:val="none"/>
              </w:rPr>
            </w:pPr>
            <w:r>
              <w:rPr>
                <w:color w:val="auto"/>
                <w:highlight w:val="none"/>
              </w:rPr>
              <w:t>管线工程区</w:t>
            </w:r>
          </w:p>
        </w:tc>
        <w:tc>
          <w:tcPr>
            <w:tcW w:w="911" w:type="pct"/>
            <w:shd w:val="clear" w:color="auto" w:fill="auto"/>
            <w:noWrap/>
            <w:vAlign w:val="center"/>
          </w:tcPr>
          <w:p>
            <w:pPr>
              <w:pStyle w:val="84"/>
              <w:bidi w:val="0"/>
              <w:rPr>
                <w:color w:val="auto"/>
                <w:highlight w:val="none"/>
              </w:rPr>
            </w:pPr>
            <w:r>
              <w:rPr>
                <w:rFonts w:hint="eastAsia"/>
                <w:color w:val="auto"/>
                <w:highlight w:val="none"/>
                <w:lang w:eastAsia="zh-CN"/>
              </w:rPr>
              <w:t>（</w:t>
            </w:r>
            <w:r>
              <w:rPr>
                <w:color w:val="auto"/>
                <w:highlight w:val="none"/>
              </w:rPr>
              <w:t>0.50</w:t>
            </w:r>
            <w:r>
              <w:rPr>
                <w:rFonts w:hint="eastAsia"/>
                <w:color w:val="auto"/>
                <w:highlight w:val="none"/>
                <w:lang w:eastAsia="zh-CN"/>
              </w:rPr>
              <w:t>）</w:t>
            </w:r>
            <w:r>
              <w:rPr>
                <w:color w:val="auto"/>
                <w:highlight w:val="none"/>
              </w:rPr>
              <w:t xml:space="preserve"> </w:t>
            </w:r>
          </w:p>
        </w:tc>
        <w:tc>
          <w:tcPr>
            <w:tcW w:w="763" w:type="pct"/>
            <w:shd w:val="clear" w:color="auto" w:fill="auto"/>
            <w:noWrap/>
            <w:vAlign w:val="center"/>
          </w:tcPr>
          <w:p>
            <w:pPr>
              <w:pStyle w:val="84"/>
              <w:bidi w:val="0"/>
              <w:rPr>
                <w:color w:val="auto"/>
                <w:highlight w:val="none"/>
              </w:rPr>
            </w:pPr>
            <w:r>
              <w:rPr>
                <w:rFonts w:hint="eastAsia"/>
                <w:color w:val="auto"/>
                <w:highlight w:val="none"/>
                <w:lang w:eastAsia="zh-CN"/>
              </w:rPr>
              <w:t>（</w:t>
            </w:r>
            <w:r>
              <w:rPr>
                <w:color w:val="auto"/>
                <w:highlight w:val="none"/>
              </w:rPr>
              <w:t>0.50</w:t>
            </w:r>
            <w:r>
              <w:rPr>
                <w:rFonts w:hint="eastAsia"/>
                <w:color w:val="auto"/>
                <w:highlight w:val="none"/>
                <w:lang w:eastAsia="zh-CN"/>
              </w:rPr>
              <w:t>）</w:t>
            </w:r>
            <w:r>
              <w:rPr>
                <w:color w:val="auto"/>
                <w:highlight w:val="none"/>
              </w:rPr>
              <w:t xml:space="preserve"> </w:t>
            </w:r>
          </w:p>
        </w:tc>
        <w:tc>
          <w:tcPr>
            <w:tcW w:w="765" w:type="pct"/>
            <w:shd w:val="clear" w:color="auto" w:fill="auto"/>
            <w:noWrap/>
            <w:vAlign w:val="center"/>
          </w:tcPr>
          <w:p>
            <w:pPr>
              <w:pStyle w:val="84"/>
              <w:bidi w:val="0"/>
              <w:rPr>
                <w:color w:val="auto"/>
                <w:highlight w:val="none"/>
              </w:rPr>
            </w:pPr>
            <w:r>
              <w:rPr>
                <w:color w:val="auto"/>
                <w:highlight w:val="none"/>
              </w:rPr>
              <w:t>　</w:t>
            </w:r>
          </w:p>
        </w:tc>
        <w:tc>
          <w:tcPr>
            <w:tcW w:w="723" w:type="pct"/>
            <w:shd w:val="clear" w:color="auto" w:fill="auto"/>
            <w:noWrap/>
            <w:vAlign w:val="center"/>
          </w:tcPr>
          <w:p>
            <w:pPr>
              <w:pStyle w:val="84"/>
              <w:bidi w:val="0"/>
              <w:rPr>
                <w:color w:val="auto"/>
                <w:highlight w:val="none"/>
              </w:rPr>
            </w:pPr>
            <w:r>
              <w:rPr>
                <w:rFonts w:hint="eastAsia"/>
                <w:color w:val="auto"/>
                <w:highlight w:val="none"/>
                <w:lang w:eastAsia="zh-CN"/>
              </w:rPr>
              <w:t>（</w:t>
            </w:r>
            <w:r>
              <w:rPr>
                <w:color w:val="auto"/>
                <w:highlight w:val="none"/>
              </w:rPr>
              <w:t>0.50</w:t>
            </w:r>
            <w:r>
              <w:rPr>
                <w:rFonts w:hint="eastAsia"/>
                <w:color w:val="auto"/>
                <w:highlight w:val="none"/>
                <w:lang w:eastAsia="zh-CN"/>
              </w:rPr>
              <w:t>）</w:t>
            </w:r>
            <w:r>
              <w:rPr>
                <w:color w:val="auto"/>
                <w:highlight w:val="none"/>
              </w:rPr>
              <w:t xml:space="preserve"> </w:t>
            </w:r>
          </w:p>
        </w:tc>
        <w:tc>
          <w:tcPr>
            <w:tcW w:w="723" w:type="pct"/>
            <w:vMerge w:val="restart"/>
            <w:shd w:val="clear" w:color="auto" w:fill="auto"/>
            <w:noWrap/>
            <w:vAlign w:val="center"/>
          </w:tcPr>
          <w:p>
            <w:pPr>
              <w:pStyle w:val="84"/>
              <w:bidi w:val="0"/>
              <w:rPr>
                <w:rFonts w:hint="eastAsia"/>
                <w:color w:val="auto"/>
                <w:highlight w:val="none"/>
                <w:lang w:eastAsia="zh-CN"/>
              </w:rPr>
            </w:pPr>
            <w:r>
              <w:rPr>
                <w:color w:val="auto"/>
                <w:highlight w:val="none"/>
              </w:rPr>
              <w:t>重复占地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exact"/>
        </w:trPr>
        <w:tc>
          <w:tcPr>
            <w:tcW w:w="1112" w:type="pct"/>
            <w:shd w:val="clear" w:color="auto" w:fill="auto"/>
            <w:noWrap/>
            <w:vAlign w:val="center"/>
          </w:tcPr>
          <w:p>
            <w:pPr>
              <w:pStyle w:val="84"/>
              <w:bidi w:val="0"/>
              <w:rPr>
                <w:color w:val="auto"/>
                <w:highlight w:val="none"/>
              </w:rPr>
            </w:pPr>
            <w:r>
              <w:rPr>
                <w:color w:val="auto"/>
                <w:highlight w:val="none"/>
              </w:rPr>
              <w:t>施工生产区</w:t>
            </w:r>
          </w:p>
        </w:tc>
        <w:tc>
          <w:tcPr>
            <w:tcW w:w="911" w:type="pct"/>
            <w:shd w:val="clear" w:color="auto" w:fill="auto"/>
            <w:noWrap/>
            <w:vAlign w:val="center"/>
          </w:tcPr>
          <w:p>
            <w:pPr>
              <w:pStyle w:val="84"/>
              <w:bidi w:val="0"/>
              <w:rPr>
                <w:color w:val="auto"/>
                <w:highlight w:val="none"/>
              </w:rPr>
            </w:pPr>
            <w:r>
              <w:rPr>
                <w:rFonts w:hint="eastAsia"/>
                <w:color w:val="auto"/>
                <w:highlight w:val="none"/>
                <w:lang w:eastAsia="zh-CN"/>
              </w:rPr>
              <w:t>（</w:t>
            </w:r>
            <w:r>
              <w:rPr>
                <w:color w:val="auto"/>
                <w:highlight w:val="none"/>
              </w:rPr>
              <w:t>0.</w:t>
            </w:r>
            <w:r>
              <w:rPr>
                <w:rFonts w:hint="eastAsia"/>
                <w:color w:val="auto"/>
                <w:highlight w:val="none"/>
                <w:lang w:val="en-US" w:eastAsia="zh-CN"/>
              </w:rPr>
              <w:t>3</w:t>
            </w:r>
            <w:r>
              <w:rPr>
                <w:color w:val="auto"/>
                <w:highlight w:val="none"/>
              </w:rPr>
              <w:t>0</w:t>
            </w:r>
            <w:r>
              <w:rPr>
                <w:rFonts w:hint="eastAsia"/>
                <w:color w:val="auto"/>
                <w:highlight w:val="none"/>
                <w:lang w:eastAsia="zh-CN"/>
              </w:rPr>
              <w:t>）</w:t>
            </w:r>
          </w:p>
        </w:tc>
        <w:tc>
          <w:tcPr>
            <w:tcW w:w="763" w:type="pct"/>
            <w:shd w:val="clear" w:color="auto" w:fill="auto"/>
            <w:noWrap/>
            <w:vAlign w:val="center"/>
          </w:tcPr>
          <w:p>
            <w:pPr>
              <w:pStyle w:val="84"/>
              <w:bidi w:val="0"/>
              <w:rPr>
                <w:color w:val="auto"/>
                <w:highlight w:val="none"/>
              </w:rPr>
            </w:pPr>
            <w:r>
              <w:rPr>
                <w:rFonts w:hint="eastAsia"/>
                <w:color w:val="auto"/>
                <w:highlight w:val="none"/>
                <w:lang w:eastAsia="zh-CN"/>
              </w:rPr>
              <w:t>（</w:t>
            </w:r>
            <w:r>
              <w:rPr>
                <w:color w:val="auto"/>
                <w:highlight w:val="none"/>
              </w:rPr>
              <w:t>0.</w:t>
            </w:r>
            <w:r>
              <w:rPr>
                <w:rFonts w:hint="eastAsia"/>
                <w:color w:val="auto"/>
                <w:highlight w:val="none"/>
                <w:lang w:val="en-US" w:eastAsia="zh-CN"/>
              </w:rPr>
              <w:t>3</w:t>
            </w:r>
            <w:r>
              <w:rPr>
                <w:color w:val="auto"/>
                <w:highlight w:val="none"/>
              </w:rPr>
              <w:t>0</w:t>
            </w:r>
            <w:r>
              <w:rPr>
                <w:rFonts w:hint="eastAsia"/>
                <w:color w:val="auto"/>
                <w:highlight w:val="none"/>
                <w:lang w:eastAsia="zh-CN"/>
              </w:rPr>
              <w:t>）</w:t>
            </w:r>
          </w:p>
        </w:tc>
        <w:tc>
          <w:tcPr>
            <w:tcW w:w="765" w:type="pct"/>
            <w:shd w:val="clear" w:color="auto" w:fill="auto"/>
            <w:noWrap/>
            <w:vAlign w:val="center"/>
          </w:tcPr>
          <w:p>
            <w:pPr>
              <w:pStyle w:val="84"/>
              <w:bidi w:val="0"/>
              <w:rPr>
                <w:color w:val="auto"/>
                <w:highlight w:val="none"/>
              </w:rPr>
            </w:pPr>
            <w:r>
              <w:rPr>
                <w:color w:val="auto"/>
                <w:highlight w:val="none"/>
              </w:rPr>
              <w:t>　</w:t>
            </w:r>
          </w:p>
        </w:tc>
        <w:tc>
          <w:tcPr>
            <w:tcW w:w="723" w:type="pct"/>
            <w:shd w:val="clear" w:color="auto" w:fill="auto"/>
            <w:noWrap/>
            <w:vAlign w:val="center"/>
          </w:tcPr>
          <w:p>
            <w:pPr>
              <w:pStyle w:val="84"/>
              <w:bidi w:val="0"/>
              <w:rPr>
                <w:color w:val="auto"/>
                <w:highlight w:val="none"/>
              </w:rPr>
            </w:pPr>
            <w:r>
              <w:rPr>
                <w:rFonts w:hint="eastAsia"/>
                <w:color w:val="auto"/>
                <w:highlight w:val="none"/>
                <w:lang w:eastAsia="zh-CN"/>
              </w:rPr>
              <w:t>（</w:t>
            </w:r>
            <w:r>
              <w:rPr>
                <w:color w:val="auto"/>
                <w:highlight w:val="none"/>
              </w:rPr>
              <w:t>0.</w:t>
            </w:r>
            <w:r>
              <w:rPr>
                <w:rFonts w:hint="eastAsia"/>
                <w:color w:val="auto"/>
                <w:highlight w:val="none"/>
                <w:lang w:val="en-US" w:eastAsia="zh-CN"/>
              </w:rPr>
              <w:t>3</w:t>
            </w:r>
            <w:r>
              <w:rPr>
                <w:color w:val="auto"/>
                <w:highlight w:val="none"/>
              </w:rPr>
              <w:t>0</w:t>
            </w:r>
            <w:r>
              <w:rPr>
                <w:rFonts w:hint="eastAsia"/>
                <w:color w:val="auto"/>
                <w:highlight w:val="none"/>
                <w:lang w:eastAsia="zh-CN"/>
              </w:rPr>
              <w:t>）</w:t>
            </w:r>
          </w:p>
        </w:tc>
        <w:tc>
          <w:tcPr>
            <w:tcW w:w="723" w:type="pct"/>
            <w:vMerge w:val="continue"/>
            <w:shd w:val="clear" w:color="auto" w:fill="auto"/>
            <w:noWrap/>
            <w:vAlign w:val="center"/>
          </w:tcPr>
          <w:p>
            <w:pPr>
              <w:pStyle w:val="84"/>
              <w:bidi w:val="0"/>
              <w:rPr>
                <w:rFonts w:hint="eastAsia"/>
                <w:color w:val="auto"/>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112" w:type="pct"/>
            <w:shd w:val="clear" w:color="auto" w:fill="auto"/>
            <w:noWrap/>
            <w:vAlign w:val="center"/>
          </w:tcPr>
          <w:p>
            <w:pPr>
              <w:pStyle w:val="84"/>
              <w:bidi w:val="0"/>
              <w:rPr>
                <w:color w:val="auto"/>
                <w:highlight w:val="none"/>
              </w:rPr>
            </w:pPr>
            <w:r>
              <w:rPr>
                <w:color w:val="auto"/>
                <w:highlight w:val="none"/>
              </w:rPr>
              <w:t>合计</w:t>
            </w:r>
          </w:p>
        </w:tc>
        <w:tc>
          <w:tcPr>
            <w:tcW w:w="911" w:type="pct"/>
            <w:shd w:val="clear" w:color="auto" w:fill="auto"/>
            <w:noWrap/>
            <w:vAlign w:val="center"/>
          </w:tcPr>
          <w:p>
            <w:pPr>
              <w:pStyle w:val="84"/>
              <w:bidi w:val="0"/>
              <w:rPr>
                <w:rFonts w:hint="default"/>
                <w:color w:val="auto"/>
                <w:highlight w:val="none"/>
                <w:lang w:val="en-US" w:eastAsia="zh-CN"/>
              </w:rPr>
            </w:pPr>
            <w:r>
              <w:rPr>
                <w:rFonts w:hint="eastAsia"/>
                <w:color w:val="auto"/>
                <w:highlight w:val="none"/>
                <w:lang w:val="en-US" w:eastAsia="zh-CN"/>
              </w:rPr>
              <w:t>2.96</w:t>
            </w:r>
          </w:p>
        </w:tc>
        <w:tc>
          <w:tcPr>
            <w:tcW w:w="763" w:type="pct"/>
            <w:shd w:val="clear" w:color="auto" w:fill="auto"/>
            <w:noWrap/>
            <w:vAlign w:val="center"/>
          </w:tcPr>
          <w:p>
            <w:pPr>
              <w:pStyle w:val="84"/>
              <w:bidi w:val="0"/>
              <w:rPr>
                <w:color w:val="auto"/>
                <w:highlight w:val="none"/>
              </w:rPr>
            </w:pPr>
            <w:r>
              <w:rPr>
                <w:rFonts w:hint="eastAsia"/>
                <w:color w:val="auto"/>
                <w:highlight w:val="none"/>
                <w:lang w:val="en-US" w:eastAsia="zh-CN"/>
              </w:rPr>
              <w:t>2.96</w:t>
            </w:r>
          </w:p>
        </w:tc>
        <w:tc>
          <w:tcPr>
            <w:tcW w:w="765" w:type="pct"/>
            <w:shd w:val="clear" w:color="auto" w:fill="auto"/>
            <w:noWrap/>
            <w:vAlign w:val="center"/>
          </w:tcPr>
          <w:p>
            <w:pPr>
              <w:pStyle w:val="84"/>
              <w:bidi w:val="0"/>
              <w:rPr>
                <w:color w:val="auto"/>
                <w:highlight w:val="none"/>
              </w:rPr>
            </w:pPr>
            <w:r>
              <w:rPr>
                <w:color w:val="auto"/>
                <w:highlight w:val="none"/>
              </w:rPr>
              <w:t>　</w:t>
            </w:r>
          </w:p>
        </w:tc>
        <w:tc>
          <w:tcPr>
            <w:tcW w:w="723" w:type="pct"/>
            <w:shd w:val="clear" w:color="auto" w:fill="auto"/>
            <w:noWrap/>
            <w:vAlign w:val="center"/>
          </w:tcPr>
          <w:p>
            <w:pPr>
              <w:pStyle w:val="84"/>
              <w:bidi w:val="0"/>
              <w:rPr>
                <w:color w:val="auto"/>
                <w:highlight w:val="none"/>
              </w:rPr>
            </w:pPr>
            <w:r>
              <w:rPr>
                <w:rFonts w:hint="eastAsia"/>
                <w:color w:val="auto"/>
                <w:highlight w:val="none"/>
                <w:lang w:val="en-US" w:eastAsia="zh-CN"/>
              </w:rPr>
              <w:t>2.96</w:t>
            </w:r>
          </w:p>
        </w:tc>
        <w:tc>
          <w:tcPr>
            <w:tcW w:w="723" w:type="pct"/>
            <w:shd w:val="clear" w:color="auto" w:fill="auto"/>
            <w:noWrap/>
            <w:vAlign w:val="center"/>
          </w:tcPr>
          <w:p>
            <w:pPr>
              <w:pStyle w:val="84"/>
              <w:bidi w:val="0"/>
              <w:rPr>
                <w:rFonts w:hint="eastAsia"/>
                <w:color w:val="auto"/>
                <w:highlight w:val="none"/>
                <w:lang w:val="en-US" w:eastAsia="zh-CN"/>
              </w:rPr>
            </w:pPr>
          </w:p>
        </w:tc>
      </w:tr>
    </w:tbl>
    <w:p>
      <w:pPr>
        <w:pStyle w:val="56"/>
        <w:ind w:firstLine="440"/>
        <w:rPr>
          <w:color w:val="auto"/>
          <w:sz w:val="22"/>
          <w:highlight w:val="none"/>
        </w:rPr>
      </w:pPr>
      <w:r>
        <w:rPr>
          <w:color w:val="auto"/>
          <w:sz w:val="22"/>
          <w:highlight w:val="none"/>
        </w:rPr>
        <w:t>注：“（）”表示为重复占地。</w:t>
      </w:r>
    </w:p>
    <w:p>
      <w:pPr>
        <w:pStyle w:val="66"/>
        <w:ind w:firstLine="148"/>
        <w:rPr>
          <w:color w:val="auto"/>
          <w:highlight w:val="none"/>
        </w:rPr>
      </w:pPr>
      <w:bookmarkStart w:id="78" w:name="_Toc417412310"/>
      <w:bookmarkStart w:id="79" w:name="_Toc26712"/>
      <w:r>
        <w:rPr>
          <w:color w:val="auto"/>
          <w:highlight w:val="none"/>
        </w:rPr>
        <w:t xml:space="preserve">2.4 </w:t>
      </w:r>
      <w:bookmarkEnd w:id="78"/>
      <w:r>
        <w:rPr>
          <w:color w:val="auto"/>
          <w:highlight w:val="none"/>
        </w:rPr>
        <w:t>土石方平衡</w:t>
      </w:r>
      <w:bookmarkEnd w:id="79"/>
    </w:p>
    <w:p>
      <w:pPr>
        <w:pStyle w:val="56"/>
        <w:ind w:firstLine="480"/>
        <w:rPr>
          <w:color w:val="auto"/>
          <w:highlight w:val="none"/>
        </w:rPr>
      </w:pPr>
      <w:r>
        <w:rPr>
          <w:color w:val="auto"/>
          <w:szCs w:val="26"/>
          <w:highlight w:val="none"/>
        </w:rPr>
        <w:t>项目区原始场地为</w:t>
      </w:r>
      <w:r>
        <w:rPr>
          <w:rFonts w:hint="eastAsia"/>
          <w:color w:val="auto"/>
          <w:szCs w:val="26"/>
          <w:highlight w:val="none"/>
          <w:lang w:eastAsia="zh-CN"/>
        </w:rPr>
        <w:t>空地</w:t>
      </w:r>
      <w:r>
        <w:rPr>
          <w:color w:val="auto"/>
          <w:highlight w:val="none"/>
        </w:rPr>
        <w:t>，在建设单位取得用地手续前已拆迁完成，建设单位以净地的方式取得。建设占地范围内不涉及腐殖质土表层，且现阶段项目区场地均已扰动，因此本项目不涉及表土剥离。项目区回填</w:t>
      </w:r>
      <w:r>
        <w:rPr>
          <w:rFonts w:hint="eastAsia"/>
          <w:color w:val="auto"/>
          <w:highlight w:val="none"/>
          <w:lang w:eastAsia="zh-CN"/>
        </w:rPr>
        <w:t>无</w:t>
      </w:r>
      <w:r>
        <w:rPr>
          <w:color w:val="auto"/>
          <w:highlight w:val="none"/>
        </w:rPr>
        <w:t>多余土方</w:t>
      </w:r>
      <w:r>
        <w:rPr>
          <w:rFonts w:hint="eastAsia"/>
          <w:color w:val="auto"/>
          <w:highlight w:val="none"/>
          <w:lang w:eastAsia="zh-CN"/>
        </w:rPr>
        <w:t>产生</w:t>
      </w:r>
      <w:r>
        <w:rPr>
          <w:color w:val="auto"/>
          <w:highlight w:val="none"/>
        </w:rPr>
        <w:t>，部分临时堆存于项目区堆土场区，后期可调运至道路及硬化区，作为场地平整，因项目在</w:t>
      </w:r>
      <w:r>
        <w:rPr>
          <w:rFonts w:hint="eastAsia"/>
          <w:color w:val="auto"/>
          <w:highlight w:val="none"/>
          <w:lang w:eastAsia="zh-CN"/>
        </w:rPr>
        <w:t>县城</w:t>
      </w:r>
      <w:r>
        <w:rPr>
          <w:color w:val="auto"/>
          <w:highlight w:val="none"/>
        </w:rPr>
        <w:t>内，主体设计配套灌溉设施，</w:t>
      </w:r>
      <w:r>
        <w:rPr>
          <w:rFonts w:hint="eastAsia"/>
          <w:color w:val="auto"/>
          <w:highlight w:val="none"/>
          <w:lang w:eastAsia="zh-CN"/>
        </w:rPr>
        <w:t>经过现场踏勘，</w:t>
      </w:r>
      <w:r>
        <w:rPr>
          <w:color w:val="auto"/>
          <w:highlight w:val="none"/>
        </w:rPr>
        <w:t>项目区</w:t>
      </w:r>
      <w:r>
        <w:rPr>
          <w:rFonts w:hint="eastAsia"/>
          <w:color w:val="auto"/>
          <w:highlight w:val="none"/>
          <w:lang w:eastAsia="zh-CN"/>
        </w:rPr>
        <w:t>地表砂砾石含量较低，全面整地后可满足植物生长，</w:t>
      </w:r>
      <w:r>
        <w:rPr>
          <w:color w:val="auto"/>
          <w:highlight w:val="none"/>
        </w:rPr>
        <w:t>绿化时</w:t>
      </w:r>
      <w:r>
        <w:rPr>
          <w:rFonts w:hint="eastAsia"/>
          <w:color w:val="auto"/>
          <w:highlight w:val="none"/>
          <w:lang w:eastAsia="zh-CN"/>
        </w:rPr>
        <w:t>无</w:t>
      </w:r>
      <w:r>
        <w:rPr>
          <w:color w:val="auto"/>
          <w:highlight w:val="none"/>
        </w:rPr>
        <w:t>需外购种植土。</w:t>
      </w:r>
    </w:p>
    <w:p>
      <w:pPr>
        <w:pStyle w:val="56"/>
        <w:ind w:firstLine="480"/>
        <w:rPr>
          <w:color w:val="auto"/>
          <w:highlight w:val="none"/>
        </w:rPr>
      </w:pPr>
      <w:r>
        <w:rPr>
          <w:color w:val="auto"/>
          <w:highlight w:val="none"/>
        </w:rPr>
        <w:t>（1）工程总体土方平衡及流向</w:t>
      </w:r>
    </w:p>
    <w:p>
      <w:pPr>
        <w:pStyle w:val="56"/>
        <w:ind w:firstLine="480"/>
        <w:rPr>
          <w:color w:val="auto"/>
          <w:highlight w:val="none"/>
        </w:rPr>
      </w:pPr>
      <w:r>
        <w:rPr>
          <w:color w:val="auto"/>
          <w:highlight w:val="none"/>
        </w:rPr>
        <w:t>根据主体资料，本工程总挖方2.1</w:t>
      </w:r>
      <w:r>
        <w:rPr>
          <w:rFonts w:hint="eastAsia"/>
          <w:color w:val="auto"/>
          <w:highlight w:val="none"/>
          <w:lang w:val="en-US" w:eastAsia="zh-CN"/>
        </w:rPr>
        <w:t>8</w:t>
      </w:r>
      <w:r>
        <w:rPr>
          <w:color w:val="auto"/>
          <w:highlight w:val="none"/>
        </w:rPr>
        <w:t>万m³，填方2.1</w:t>
      </w:r>
      <w:r>
        <w:rPr>
          <w:rFonts w:hint="eastAsia"/>
          <w:color w:val="auto"/>
          <w:highlight w:val="none"/>
          <w:lang w:val="en-US" w:eastAsia="zh-CN"/>
        </w:rPr>
        <w:t>8</w:t>
      </w:r>
      <w:r>
        <w:rPr>
          <w:color w:val="auto"/>
          <w:highlight w:val="none"/>
        </w:rPr>
        <w:t>万m³，无借方，无弃方。涉及土方主要为建构筑物基础和管沟开挖回填。</w:t>
      </w:r>
    </w:p>
    <w:p>
      <w:pPr>
        <w:pStyle w:val="56"/>
        <w:ind w:firstLine="480"/>
        <w:rPr>
          <w:color w:val="auto"/>
          <w:highlight w:val="none"/>
        </w:rPr>
      </w:pPr>
      <w:r>
        <w:rPr>
          <w:color w:val="auto"/>
          <w:highlight w:val="none"/>
        </w:rPr>
        <w:t>土方平衡表见表2.4-1，项目土方平衡图见图2.4-1。</w:t>
      </w:r>
    </w:p>
    <w:p>
      <w:pPr>
        <w:pStyle w:val="56"/>
        <w:ind w:firstLine="480"/>
        <w:rPr>
          <w:color w:val="auto"/>
          <w:highlight w:val="none"/>
        </w:rPr>
      </w:pPr>
      <w:r>
        <w:rPr>
          <w:color w:val="auto"/>
          <w:highlight w:val="none"/>
        </w:rPr>
        <w:t>（2）建构筑物区</w:t>
      </w:r>
    </w:p>
    <w:p>
      <w:pPr>
        <w:pStyle w:val="56"/>
        <w:widowControl w:val="0"/>
        <w:ind w:firstLine="480"/>
        <w:rPr>
          <w:color w:val="auto"/>
          <w:highlight w:val="none"/>
        </w:rPr>
      </w:pPr>
      <w:r>
        <w:rPr>
          <w:color w:val="auto"/>
          <w:highlight w:val="none"/>
        </w:rPr>
        <w:t>本工程9栋住宅楼以及</w:t>
      </w:r>
      <w:r>
        <w:rPr>
          <w:rFonts w:hint="eastAsia"/>
          <w:color w:val="auto"/>
          <w:highlight w:val="none"/>
          <w:lang w:val="en-US" w:eastAsia="zh-CN"/>
        </w:rPr>
        <w:t>2</w:t>
      </w:r>
      <w:r>
        <w:rPr>
          <w:color w:val="auto"/>
          <w:highlight w:val="none"/>
        </w:rPr>
        <w:t>栋商业楼建构筑物均采用条形基础，其中住宅楼基础埋深为2.</w:t>
      </w:r>
      <w:r>
        <w:rPr>
          <w:rFonts w:hint="eastAsia"/>
          <w:color w:val="auto"/>
          <w:highlight w:val="none"/>
          <w:lang w:val="en-US" w:eastAsia="zh-CN"/>
        </w:rPr>
        <w:t>7</w:t>
      </w:r>
      <w:r>
        <w:rPr>
          <w:color w:val="auto"/>
          <w:highlight w:val="none"/>
        </w:rPr>
        <w:t>0m，商业楼基础埋深</w:t>
      </w:r>
      <w:r>
        <w:rPr>
          <w:rFonts w:hint="eastAsia"/>
          <w:color w:val="auto"/>
          <w:highlight w:val="none"/>
          <w:lang w:val="en-US" w:eastAsia="zh-CN"/>
        </w:rPr>
        <w:t>1.5</w:t>
      </w:r>
      <w:r>
        <w:rPr>
          <w:color w:val="auto"/>
          <w:highlight w:val="none"/>
        </w:rPr>
        <w:t>m</w:t>
      </w:r>
      <w:r>
        <w:rPr>
          <w:rFonts w:hint="eastAsia"/>
          <w:color w:val="auto"/>
          <w:highlight w:val="none"/>
          <w:lang w:eastAsia="zh-CN"/>
        </w:rPr>
        <w:t>（</w:t>
      </w:r>
      <w:r>
        <w:rPr>
          <w:rFonts w:hint="eastAsia"/>
          <w:color w:val="auto"/>
          <w:highlight w:val="none"/>
          <w:lang w:val="en-US" w:eastAsia="zh-CN"/>
        </w:rPr>
        <w:t>2#商业楼地下部分基础深埋3.00m</w:t>
      </w:r>
      <w:r>
        <w:rPr>
          <w:rFonts w:hint="eastAsia"/>
          <w:color w:val="auto"/>
          <w:highlight w:val="none"/>
          <w:lang w:eastAsia="zh-CN"/>
        </w:rPr>
        <w:t>）</w:t>
      </w:r>
      <w:r>
        <w:rPr>
          <w:rFonts w:eastAsia="宋体"/>
          <w:color w:val="auto"/>
          <w:highlight w:val="none"/>
        </w:rPr>
        <w:t>。</w:t>
      </w:r>
      <w:r>
        <w:rPr>
          <w:color w:val="auto"/>
          <w:highlight w:val="none"/>
        </w:rPr>
        <w:t>经计算，建构筑物区挖方量为1.</w:t>
      </w:r>
      <w:r>
        <w:rPr>
          <w:rFonts w:hint="eastAsia"/>
          <w:color w:val="auto"/>
          <w:highlight w:val="none"/>
          <w:lang w:val="en-US" w:eastAsia="zh-CN"/>
        </w:rPr>
        <w:t>7</w:t>
      </w:r>
      <w:r>
        <w:rPr>
          <w:color w:val="auto"/>
          <w:highlight w:val="none"/>
        </w:rPr>
        <w:t>4万m³，回填</w:t>
      </w:r>
      <w:r>
        <w:rPr>
          <w:rFonts w:hint="eastAsia"/>
          <w:color w:val="auto"/>
          <w:highlight w:val="none"/>
          <w:lang w:val="en-US" w:eastAsia="zh-CN"/>
        </w:rPr>
        <w:t>0.65</w:t>
      </w:r>
      <w:r>
        <w:rPr>
          <w:color w:val="auto"/>
          <w:highlight w:val="none"/>
        </w:rPr>
        <w:t>万m³，开挖土方</w:t>
      </w:r>
      <w:r>
        <w:rPr>
          <w:rFonts w:hint="eastAsia"/>
          <w:color w:val="auto"/>
          <w:highlight w:val="none"/>
          <w:lang w:eastAsia="zh-CN"/>
        </w:rPr>
        <w:t>部分</w:t>
      </w:r>
      <w:r>
        <w:rPr>
          <w:color w:val="auto"/>
          <w:highlight w:val="none"/>
        </w:rPr>
        <w:t>回填利用，多余土方运至用于绿化区、道路及硬化区场地平整。</w:t>
      </w:r>
    </w:p>
    <w:p>
      <w:pPr>
        <w:pStyle w:val="56"/>
        <w:widowControl w:val="0"/>
        <w:ind w:firstLine="480"/>
        <w:rPr>
          <w:color w:val="auto"/>
          <w:highlight w:val="none"/>
        </w:rPr>
      </w:pPr>
      <w:r>
        <w:rPr>
          <w:color w:val="auto"/>
          <w:highlight w:val="none"/>
        </w:rPr>
        <w:t>（3）绿化区</w:t>
      </w:r>
    </w:p>
    <w:p>
      <w:pPr>
        <w:pStyle w:val="56"/>
        <w:widowControl w:val="0"/>
        <w:ind w:firstLine="480"/>
        <w:rPr>
          <w:color w:val="auto"/>
          <w:highlight w:val="none"/>
        </w:rPr>
      </w:pPr>
      <w:r>
        <w:rPr>
          <w:color w:val="auto"/>
          <w:highlight w:val="none"/>
        </w:rPr>
        <w:t>本项目绿化区设计土石方主要为区域平整，平整厚度为0.</w:t>
      </w:r>
      <w:r>
        <w:rPr>
          <w:rFonts w:hint="eastAsia"/>
          <w:color w:val="auto"/>
          <w:highlight w:val="none"/>
          <w:lang w:val="en-US" w:eastAsia="zh-CN"/>
        </w:rPr>
        <w:t>54</w:t>
      </w:r>
      <w:r>
        <w:rPr>
          <w:color w:val="auto"/>
          <w:highlight w:val="none"/>
        </w:rPr>
        <w:t>m。经计算，绿化区回填量为0.</w:t>
      </w:r>
      <w:r>
        <w:rPr>
          <w:rFonts w:hint="eastAsia"/>
          <w:color w:val="auto"/>
          <w:highlight w:val="none"/>
          <w:lang w:val="en-US" w:eastAsia="zh-CN"/>
        </w:rPr>
        <w:t>59</w:t>
      </w:r>
      <w:r>
        <w:rPr>
          <w:color w:val="auto"/>
          <w:highlight w:val="none"/>
        </w:rPr>
        <w:t>万m³，回填土方</w:t>
      </w:r>
      <w:r>
        <w:rPr>
          <w:rFonts w:hint="eastAsia"/>
          <w:color w:val="auto"/>
          <w:highlight w:val="none"/>
          <w:lang w:eastAsia="zh-CN"/>
        </w:rPr>
        <w:t>均</w:t>
      </w:r>
      <w:r>
        <w:rPr>
          <w:color w:val="auto"/>
          <w:highlight w:val="none"/>
        </w:rPr>
        <w:t>来自于建构筑物区基础开挖土方</w:t>
      </w:r>
      <w:r>
        <w:rPr>
          <w:rFonts w:hint="eastAsia"/>
          <w:color w:val="auto"/>
          <w:highlight w:val="none"/>
          <w:lang w:eastAsia="zh-CN"/>
        </w:rPr>
        <w:t>，经过现场踏勘，</w:t>
      </w:r>
      <w:r>
        <w:rPr>
          <w:color w:val="auto"/>
          <w:highlight w:val="none"/>
        </w:rPr>
        <w:t>项目区</w:t>
      </w:r>
      <w:r>
        <w:rPr>
          <w:rFonts w:hint="eastAsia"/>
          <w:color w:val="auto"/>
          <w:highlight w:val="none"/>
          <w:lang w:eastAsia="zh-CN"/>
        </w:rPr>
        <w:t>地表砂砾石含量较低，全面整地后可满足植物生长，</w:t>
      </w:r>
      <w:r>
        <w:rPr>
          <w:color w:val="auto"/>
          <w:highlight w:val="none"/>
        </w:rPr>
        <w:t>绿化时</w:t>
      </w:r>
      <w:r>
        <w:rPr>
          <w:rFonts w:hint="eastAsia"/>
          <w:color w:val="auto"/>
          <w:highlight w:val="none"/>
          <w:lang w:eastAsia="zh-CN"/>
        </w:rPr>
        <w:t>无</w:t>
      </w:r>
      <w:r>
        <w:rPr>
          <w:color w:val="auto"/>
          <w:highlight w:val="none"/>
        </w:rPr>
        <w:t>需外购种植土。</w:t>
      </w:r>
    </w:p>
    <w:p>
      <w:pPr>
        <w:pStyle w:val="56"/>
        <w:ind w:firstLine="480"/>
        <w:rPr>
          <w:color w:val="auto"/>
          <w:highlight w:val="none"/>
        </w:rPr>
      </w:pPr>
      <w:r>
        <w:rPr>
          <w:color w:val="auto"/>
          <w:highlight w:val="none"/>
        </w:rPr>
        <w:t>（4）道路及硬化区</w:t>
      </w:r>
    </w:p>
    <w:p>
      <w:pPr>
        <w:pStyle w:val="56"/>
        <w:ind w:firstLine="480"/>
        <w:rPr>
          <w:color w:val="auto"/>
          <w:highlight w:val="none"/>
        </w:rPr>
      </w:pPr>
      <w:r>
        <w:rPr>
          <w:color w:val="auto"/>
          <w:highlight w:val="none"/>
        </w:rPr>
        <w:t>道路及硬化区按照地形设计，根据主体资料，场地平整时，项目区内场地标高按设计标高进行平整。本区开挖土方主要为场地平整，填方主要为按照场地标高回填，道路及硬化区共计回填0.</w:t>
      </w:r>
      <w:r>
        <w:rPr>
          <w:rFonts w:hint="eastAsia"/>
          <w:color w:val="auto"/>
          <w:highlight w:val="none"/>
          <w:lang w:val="en-US" w:eastAsia="zh-CN"/>
        </w:rPr>
        <w:t>50</w:t>
      </w:r>
      <w:r>
        <w:rPr>
          <w:color w:val="auto"/>
          <w:highlight w:val="none"/>
        </w:rPr>
        <w:t>万m³，回填土方</w:t>
      </w:r>
      <w:r>
        <w:rPr>
          <w:rFonts w:hint="eastAsia"/>
          <w:color w:val="auto"/>
          <w:highlight w:val="none"/>
          <w:lang w:eastAsia="zh-CN"/>
        </w:rPr>
        <w:t>均</w:t>
      </w:r>
      <w:r>
        <w:rPr>
          <w:color w:val="auto"/>
          <w:highlight w:val="none"/>
        </w:rPr>
        <w:t>来自于建构筑物区基础开挖土方。</w:t>
      </w:r>
    </w:p>
    <w:p>
      <w:pPr>
        <w:pStyle w:val="56"/>
        <w:ind w:firstLine="480"/>
        <w:rPr>
          <w:color w:val="auto"/>
          <w:highlight w:val="none"/>
        </w:rPr>
      </w:pPr>
      <w:r>
        <w:rPr>
          <w:color w:val="auto"/>
          <w:highlight w:val="none"/>
        </w:rPr>
        <w:t>（5）管线工程区</w:t>
      </w:r>
    </w:p>
    <w:p>
      <w:pPr>
        <w:pStyle w:val="56"/>
        <w:ind w:firstLine="480"/>
        <w:rPr>
          <w:color w:val="auto"/>
          <w:highlight w:val="none"/>
        </w:rPr>
      </w:pPr>
      <w:r>
        <w:rPr>
          <w:color w:val="auto"/>
          <w:highlight w:val="none"/>
        </w:rPr>
        <w:t>本项目管线均布设于建构筑物周边空地，其中本项目给水消防</w:t>
      </w:r>
      <w:r>
        <w:rPr>
          <w:rFonts w:hint="eastAsia"/>
          <w:color w:val="auto"/>
          <w:highlight w:val="none"/>
          <w:lang w:eastAsia="zh-CN"/>
        </w:rPr>
        <w:t>、供暖</w:t>
      </w:r>
      <w:r>
        <w:rPr>
          <w:color w:val="auto"/>
          <w:highlight w:val="none"/>
        </w:rPr>
        <w:t>采取同沟布设，弱电、强电采取同沟布设。经合计，管沟开挖土方共计0.4</w:t>
      </w:r>
      <w:r>
        <w:rPr>
          <w:rFonts w:hint="eastAsia"/>
          <w:color w:val="auto"/>
          <w:highlight w:val="none"/>
          <w:lang w:val="en-US" w:eastAsia="zh-CN"/>
        </w:rPr>
        <w:t>5</w:t>
      </w:r>
      <w:r>
        <w:rPr>
          <w:color w:val="auto"/>
          <w:highlight w:val="none"/>
        </w:rPr>
        <w:t>万m³，管沟回填土方共计0.4</w:t>
      </w:r>
      <w:r>
        <w:rPr>
          <w:rFonts w:hint="eastAsia"/>
          <w:color w:val="auto"/>
          <w:highlight w:val="none"/>
          <w:lang w:val="en-US" w:eastAsia="zh-CN"/>
        </w:rPr>
        <w:t>5</w:t>
      </w:r>
      <w:r>
        <w:rPr>
          <w:color w:val="auto"/>
          <w:highlight w:val="none"/>
        </w:rPr>
        <w:t>万m³，开挖土方均回填利用。</w:t>
      </w:r>
    </w:p>
    <w:p>
      <w:pPr>
        <w:pStyle w:val="56"/>
        <w:ind w:firstLine="480"/>
        <w:rPr>
          <w:color w:val="auto"/>
          <w:highlight w:val="none"/>
        </w:rPr>
      </w:pPr>
      <w:r>
        <w:rPr>
          <w:color w:val="auto"/>
          <w:highlight w:val="none"/>
        </w:rPr>
        <w:t>（6）施工生产区</w:t>
      </w:r>
    </w:p>
    <w:p>
      <w:pPr>
        <w:pStyle w:val="56"/>
        <w:ind w:firstLine="480"/>
        <w:rPr>
          <w:color w:val="auto"/>
          <w:highlight w:val="none"/>
        </w:rPr>
      </w:pPr>
      <w:r>
        <w:rPr>
          <w:color w:val="auto"/>
          <w:highlight w:val="none"/>
        </w:rPr>
        <w:t>施工生产区施工前期重复场地平整已计入到绿化区、道路及硬化区平整土方内，不再单独计列。</w:t>
      </w:r>
    </w:p>
    <w:p>
      <w:pPr>
        <w:pStyle w:val="75"/>
        <w:rPr>
          <w:color w:val="auto"/>
          <w:highlight w:val="none"/>
        </w:rPr>
      </w:pPr>
      <w:r>
        <w:rPr>
          <w:color w:val="auto"/>
          <w:highlight w:val="none"/>
        </w:rPr>
        <w:t>表2.4-1     土石方平衡表     单位：万m³</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1"/>
        <w:gridCol w:w="428"/>
        <w:gridCol w:w="1194"/>
        <w:gridCol w:w="746"/>
        <w:gridCol w:w="576"/>
        <w:gridCol w:w="700"/>
        <w:gridCol w:w="739"/>
        <w:gridCol w:w="700"/>
        <w:gridCol w:w="701"/>
        <w:gridCol w:w="701"/>
        <w:gridCol w:w="605"/>
        <w:gridCol w:w="542"/>
        <w:gridCol w:w="4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537" w:type="pct"/>
            <w:vMerge w:val="restart"/>
            <w:shd w:val="clear" w:color="auto" w:fill="auto"/>
            <w:vAlign w:val="center"/>
          </w:tcPr>
          <w:p>
            <w:pPr>
              <w:pStyle w:val="84"/>
              <w:rPr>
                <w:color w:val="auto"/>
                <w:highlight w:val="none"/>
              </w:rPr>
            </w:pPr>
            <w:r>
              <w:rPr>
                <w:color w:val="auto"/>
                <w:highlight w:val="none"/>
              </w:rPr>
              <w:t>项目组成</w:t>
            </w:r>
          </w:p>
        </w:tc>
        <w:tc>
          <w:tcPr>
            <w:tcW w:w="897" w:type="pct"/>
            <w:gridSpan w:val="2"/>
            <w:shd w:val="clear" w:color="auto" w:fill="auto"/>
            <w:vAlign w:val="center"/>
          </w:tcPr>
          <w:p>
            <w:pPr>
              <w:pStyle w:val="84"/>
              <w:rPr>
                <w:color w:val="auto"/>
                <w:highlight w:val="none"/>
              </w:rPr>
            </w:pPr>
            <w:r>
              <w:rPr>
                <w:color w:val="auto"/>
                <w:highlight w:val="none"/>
              </w:rPr>
              <w:t>工程项目</w:t>
            </w:r>
          </w:p>
        </w:tc>
        <w:tc>
          <w:tcPr>
            <w:tcW w:w="413" w:type="pct"/>
            <w:vMerge w:val="restart"/>
            <w:shd w:val="clear" w:color="auto" w:fill="auto"/>
            <w:vAlign w:val="center"/>
          </w:tcPr>
          <w:p>
            <w:pPr>
              <w:pStyle w:val="84"/>
              <w:rPr>
                <w:color w:val="auto"/>
                <w:highlight w:val="none"/>
              </w:rPr>
            </w:pPr>
            <w:r>
              <w:rPr>
                <w:color w:val="auto"/>
                <w:highlight w:val="none"/>
              </w:rPr>
              <w:t>挖方</w:t>
            </w:r>
          </w:p>
        </w:tc>
        <w:tc>
          <w:tcPr>
            <w:tcW w:w="300" w:type="pct"/>
            <w:vMerge w:val="restart"/>
            <w:shd w:val="clear" w:color="auto" w:fill="auto"/>
            <w:vAlign w:val="center"/>
          </w:tcPr>
          <w:p>
            <w:pPr>
              <w:pStyle w:val="84"/>
              <w:rPr>
                <w:color w:val="auto"/>
                <w:highlight w:val="none"/>
              </w:rPr>
            </w:pPr>
            <w:r>
              <w:rPr>
                <w:color w:val="auto"/>
                <w:highlight w:val="none"/>
              </w:rPr>
              <w:t>填方</w:t>
            </w:r>
          </w:p>
        </w:tc>
        <w:tc>
          <w:tcPr>
            <w:tcW w:w="388" w:type="pct"/>
            <w:vMerge w:val="restart"/>
            <w:shd w:val="clear" w:color="auto" w:fill="auto"/>
            <w:vAlign w:val="center"/>
          </w:tcPr>
          <w:p>
            <w:pPr>
              <w:pStyle w:val="84"/>
              <w:rPr>
                <w:color w:val="auto"/>
                <w:highlight w:val="none"/>
              </w:rPr>
            </w:pPr>
            <w:r>
              <w:rPr>
                <w:color w:val="auto"/>
                <w:highlight w:val="none"/>
              </w:rPr>
              <w:t>利用</w:t>
            </w:r>
          </w:p>
        </w:tc>
        <w:tc>
          <w:tcPr>
            <w:tcW w:w="797" w:type="pct"/>
            <w:gridSpan w:val="2"/>
            <w:shd w:val="clear" w:color="auto" w:fill="auto"/>
            <w:vAlign w:val="center"/>
          </w:tcPr>
          <w:p>
            <w:pPr>
              <w:pStyle w:val="84"/>
              <w:rPr>
                <w:color w:val="auto"/>
                <w:highlight w:val="none"/>
              </w:rPr>
            </w:pPr>
            <w:r>
              <w:rPr>
                <w:color w:val="auto"/>
                <w:highlight w:val="none"/>
              </w:rPr>
              <w:t>调入</w:t>
            </w:r>
          </w:p>
        </w:tc>
        <w:tc>
          <w:tcPr>
            <w:tcW w:w="776" w:type="pct"/>
            <w:gridSpan w:val="2"/>
            <w:shd w:val="clear" w:color="auto" w:fill="auto"/>
            <w:vAlign w:val="center"/>
          </w:tcPr>
          <w:p>
            <w:pPr>
              <w:pStyle w:val="84"/>
              <w:rPr>
                <w:color w:val="auto"/>
                <w:highlight w:val="none"/>
              </w:rPr>
            </w:pPr>
            <w:r>
              <w:rPr>
                <w:color w:val="auto"/>
                <w:highlight w:val="none"/>
              </w:rPr>
              <w:t>调出</w:t>
            </w:r>
          </w:p>
        </w:tc>
        <w:tc>
          <w:tcPr>
            <w:tcW w:w="635" w:type="pct"/>
            <w:gridSpan w:val="2"/>
            <w:shd w:val="clear" w:color="auto" w:fill="auto"/>
            <w:vAlign w:val="center"/>
          </w:tcPr>
          <w:p>
            <w:pPr>
              <w:pStyle w:val="84"/>
              <w:rPr>
                <w:color w:val="auto"/>
                <w:highlight w:val="none"/>
              </w:rPr>
            </w:pPr>
            <w:r>
              <w:rPr>
                <w:color w:val="auto"/>
                <w:highlight w:val="none"/>
              </w:rPr>
              <w:t>借方</w:t>
            </w:r>
          </w:p>
        </w:tc>
        <w:tc>
          <w:tcPr>
            <w:tcW w:w="253" w:type="pct"/>
            <w:vMerge w:val="restart"/>
            <w:shd w:val="clear" w:color="auto" w:fill="auto"/>
            <w:vAlign w:val="center"/>
          </w:tcPr>
          <w:p>
            <w:pPr>
              <w:pStyle w:val="84"/>
              <w:rPr>
                <w:color w:val="auto"/>
                <w:highlight w:val="none"/>
              </w:rPr>
            </w:pPr>
            <w:r>
              <w:rPr>
                <w:color w:val="auto"/>
                <w:highlight w:val="none"/>
              </w:rPr>
              <w:t>弃方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537" w:type="pct"/>
            <w:vMerge w:val="continue"/>
            <w:vAlign w:val="center"/>
          </w:tcPr>
          <w:p>
            <w:pPr>
              <w:pStyle w:val="84"/>
              <w:rPr>
                <w:color w:val="auto"/>
                <w:highlight w:val="none"/>
              </w:rPr>
            </w:pPr>
          </w:p>
        </w:tc>
        <w:tc>
          <w:tcPr>
            <w:tcW w:w="238" w:type="pct"/>
            <w:shd w:val="clear" w:color="auto" w:fill="auto"/>
            <w:vAlign w:val="center"/>
          </w:tcPr>
          <w:p>
            <w:pPr>
              <w:pStyle w:val="84"/>
              <w:rPr>
                <w:color w:val="auto"/>
                <w:highlight w:val="none"/>
              </w:rPr>
            </w:pPr>
            <w:r>
              <w:rPr>
                <w:color w:val="auto"/>
                <w:highlight w:val="none"/>
              </w:rPr>
              <w:t>编号</w:t>
            </w:r>
          </w:p>
        </w:tc>
        <w:tc>
          <w:tcPr>
            <w:tcW w:w="658" w:type="pct"/>
            <w:shd w:val="clear" w:color="auto" w:fill="auto"/>
            <w:vAlign w:val="center"/>
          </w:tcPr>
          <w:p>
            <w:pPr>
              <w:pStyle w:val="84"/>
              <w:rPr>
                <w:color w:val="auto"/>
                <w:highlight w:val="none"/>
              </w:rPr>
            </w:pPr>
            <w:r>
              <w:rPr>
                <w:color w:val="auto"/>
                <w:highlight w:val="none"/>
              </w:rPr>
              <w:t>工程名称</w:t>
            </w:r>
          </w:p>
        </w:tc>
        <w:tc>
          <w:tcPr>
            <w:tcW w:w="413" w:type="pct"/>
            <w:vMerge w:val="continue"/>
            <w:vAlign w:val="center"/>
          </w:tcPr>
          <w:p>
            <w:pPr>
              <w:pStyle w:val="84"/>
              <w:rPr>
                <w:color w:val="auto"/>
                <w:highlight w:val="none"/>
              </w:rPr>
            </w:pPr>
          </w:p>
        </w:tc>
        <w:tc>
          <w:tcPr>
            <w:tcW w:w="300" w:type="pct"/>
            <w:vMerge w:val="continue"/>
            <w:vAlign w:val="center"/>
          </w:tcPr>
          <w:p>
            <w:pPr>
              <w:pStyle w:val="84"/>
              <w:rPr>
                <w:color w:val="auto"/>
                <w:highlight w:val="none"/>
              </w:rPr>
            </w:pPr>
          </w:p>
        </w:tc>
        <w:tc>
          <w:tcPr>
            <w:tcW w:w="388" w:type="pct"/>
            <w:vMerge w:val="continue"/>
            <w:vAlign w:val="center"/>
          </w:tcPr>
          <w:p>
            <w:pPr>
              <w:pStyle w:val="84"/>
              <w:rPr>
                <w:color w:val="auto"/>
                <w:highlight w:val="none"/>
              </w:rPr>
            </w:pPr>
          </w:p>
        </w:tc>
        <w:tc>
          <w:tcPr>
            <w:tcW w:w="409" w:type="pct"/>
            <w:shd w:val="clear" w:color="auto" w:fill="auto"/>
            <w:vAlign w:val="center"/>
          </w:tcPr>
          <w:p>
            <w:pPr>
              <w:pStyle w:val="84"/>
              <w:rPr>
                <w:color w:val="auto"/>
                <w:highlight w:val="none"/>
              </w:rPr>
            </w:pPr>
            <w:r>
              <w:rPr>
                <w:color w:val="auto"/>
                <w:highlight w:val="none"/>
              </w:rPr>
              <w:t>数量</w:t>
            </w:r>
          </w:p>
        </w:tc>
        <w:tc>
          <w:tcPr>
            <w:tcW w:w="388" w:type="pct"/>
            <w:shd w:val="clear" w:color="auto" w:fill="auto"/>
            <w:vAlign w:val="center"/>
          </w:tcPr>
          <w:p>
            <w:pPr>
              <w:pStyle w:val="84"/>
              <w:rPr>
                <w:color w:val="auto"/>
                <w:highlight w:val="none"/>
              </w:rPr>
            </w:pPr>
            <w:r>
              <w:rPr>
                <w:color w:val="auto"/>
                <w:highlight w:val="none"/>
              </w:rPr>
              <w:t>来源</w:t>
            </w:r>
          </w:p>
        </w:tc>
        <w:tc>
          <w:tcPr>
            <w:tcW w:w="388" w:type="pct"/>
            <w:shd w:val="clear" w:color="auto" w:fill="auto"/>
            <w:vAlign w:val="center"/>
          </w:tcPr>
          <w:p>
            <w:pPr>
              <w:pStyle w:val="84"/>
              <w:rPr>
                <w:color w:val="auto"/>
                <w:highlight w:val="none"/>
              </w:rPr>
            </w:pPr>
            <w:r>
              <w:rPr>
                <w:color w:val="auto"/>
                <w:highlight w:val="none"/>
              </w:rPr>
              <w:t>数量</w:t>
            </w:r>
          </w:p>
        </w:tc>
        <w:tc>
          <w:tcPr>
            <w:tcW w:w="388" w:type="pct"/>
            <w:shd w:val="clear" w:color="auto" w:fill="auto"/>
            <w:vAlign w:val="center"/>
          </w:tcPr>
          <w:p>
            <w:pPr>
              <w:pStyle w:val="84"/>
              <w:rPr>
                <w:color w:val="auto"/>
                <w:highlight w:val="none"/>
              </w:rPr>
            </w:pPr>
            <w:r>
              <w:rPr>
                <w:color w:val="auto"/>
                <w:highlight w:val="none"/>
              </w:rPr>
              <w:t>去向</w:t>
            </w:r>
          </w:p>
        </w:tc>
        <w:tc>
          <w:tcPr>
            <w:tcW w:w="335" w:type="pct"/>
            <w:shd w:val="clear" w:color="auto" w:fill="auto"/>
            <w:vAlign w:val="center"/>
          </w:tcPr>
          <w:p>
            <w:pPr>
              <w:pStyle w:val="84"/>
              <w:rPr>
                <w:color w:val="auto"/>
                <w:highlight w:val="none"/>
              </w:rPr>
            </w:pPr>
            <w:r>
              <w:rPr>
                <w:color w:val="auto"/>
                <w:highlight w:val="none"/>
              </w:rPr>
              <w:t>数量</w:t>
            </w:r>
          </w:p>
        </w:tc>
        <w:tc>
          <w:tcPr>
            <w:tcW w:w="299" w:type="pct"/>
            <w:shd w:val="clear" w:color="auto" w:fill="auto"/>
            <w:vAlign w:val="center"/>
          </w:tcPr>
          <w:p>
            <w:pPr>
              <w:pStyle w:val="84"/>
              <w:rPr>
                <w:color w:val="auto"/>
                <w:highlight w:val="none"/>
              </w:rPr>
            </w:pPr>
            <w:r>
              <w:rPr>
                <w:color w:val="auto"/>
                <w:highlight w:val="none"/>
              </w:rPr>
              <w:t>来源</w:t>
            </w:r>
          </w:p>
        </w:tc>
        <w:tc>
          <w:tcPr>
            <w:tcW w:w="253" w:type="pct"/>
            <w:vMerge w:val="continue"/>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537" w:type="pct"/>
            <w:shd w:val="clear" w:color="auto" w:fill="auto"/>
            <w:vAlign w:val="center"/>
          </w:tcPr>
          <w:p>
            <w:pPr>
              <w:pStyle w:val="84"/>
              <w:rPr>
                <w:color w:val="auto"/>
                <w:highlight w:val="none"/>
              </w:rPr>
            </w:pPr>
            <w:r>
              <w:rPr>
                <w:color w:val="auto"/>
                <w:highlight w:val="none"/>
              </w:rPr>
              <w:t>建构筑物区</w:t>
            </w:r>
          </w:p>
        </w:tc>
        <w:tc>
          <w:tcPr>
            <w:tcW w:w="238" w:type="pct"/>
            <w:shd w:val="clear" w:color="auto" w:fill="auto"/>
            <w:vAlign w:val="center"/>
          </w:tcPr>
          <w:p>
            <w:pPr>
              <w:pStyle w:val="84"/>
              <w:rPr>
                <w:color w:val="auto"/>
                <w:highlight w:val="none"/>
              </w:rPr>
            </w:pPr>
            <w:r>
              <w:rPr>
                <w:rFonts w:hint="eastAsia" w:ascii="宋体" w:hAnsi="宋体" w:eastAsia="宋体" w:cs="宋体"/>
                <w:color w:val="auto"/>
                <w:highlight w:val="none"/>
              </w:rPr>
              <w:t>①</w:t>
            </w:r>
          </w:p>
        </w:tc>
        <w:tc>
          <w:tcPr>
            <w:tcW w:w="658" w:type="pct"/>
            <w:shd w:val="clear" w:color="auto" w:fill="auto"/>
            <w:vAlign w:val="center"/>
          </w:tcPr>
          <w:p>
            <w:pPr>
              <w:pStyle w:val="84"/>
              <w:rPr>
                <w:color w:val="auto"/>
                <w:highlight w:val="none"/>
              </w:rPr>
            </w:pPr>
            <w:r>
              <w:rPr>
                <w:color w:val="auto"/>
                <w:highlight w:val="none"/>
              </w:rPr>
              <w:t>基坑开挖及回填</w:t>
            </w:r>
          </w:p>
        </w:tc>
        <w:tc>
          <w:tcPr>
            <w:tcW w:w="413" w:type="pct"/>
            <w:shd w:val="clear" w:color="auto" w:fill="auto"/>
            <w:vAlign w:val="center"/>
          </w:tcPr>
          <w:p>
            <w:pPr>
              <w:pStyle w:val="84"/>
              <w:bidi w:val="0"/>
              <w:rPr>
                <w:color w:val="auto"/>
                <w:highlight w:val="none"/>
              </w:rPr>
            </w:pPr>
            <w:r>
              <w:rPr>
                <w:rFonts w:hint="eastAsia"/>
                <w:color w:val="auto"/>
                <w:highlight w:val="none"/>
                <w:lang w:val="en-US" w:eastAsia="zh-CN"/>
              </w:rPr>
              <w:t xml:space="preserve">1.74 </w:t>
            </w:r>
          </w:p>
        </w:tc>
        <w:tc>
          <w:tcPr>
            <w:tcW w:w="300" w:type="pct"/>
            <w:shd w:val="clear" w:color="auto" w:fill="auto"/>
            <w:vAlign w:val="center"/>
          </w:tcPr>
          <w:p>
            <w:pPr>
              <w:pStyle w:val="84"/>
              <w:bidi w:val="0"/>
              <w:rPr>
                <w:color w:val="auto"/>
                <w:highlight w:val="none"/>
              </w:rPr>
            </w:pPr>
            <w:r>
              <w:rPr>
                <w:rFonts w:hint="eastAsia"/>
                <w:color w:val="auto"/>
                <w:highlight w:val="none"/>
                <w:lang w:val="en-US" w:eastAsia="zh-CN"/>
              </w:rPr>
              <w:t xml:space="preserve">0.65 </w:t>
            </w:r>
          </w:p>
        </w:tc>
        <w:tc>
          <w:tcPr>
            <w:tcW w:w="388" w:type="pct"/>
            <w:shd w:val="clear" w:color="auto" w:fill="auto"/>
            <w:vAlign w:val="center"/>
          </w:tcPr>
          <w:p>
            <w:pPr>
              <w:pStyle w:val="84"/>
              <w:bidi w:val="0"/>
              <w:rPr>
                <w:color w:val="auto"/>
                <w:highlight w:val="none"/>
              </w:rPr>
            </w:pPr>
            <w:r>
              <w:rPr>
                <w:rFonts w:hint="eastAsia"/>
                <w:color w:val="auto"/>
                <w:highlight w:val="none"/>
                <w:lang w:val="en-US" w:eastAsia="zh-CN"/>
              </w:rPr>
              <w:t xml:space="preserve">0.65 </w:t>
            </w:r>
          </w:p>
        </w:tc>
        <w:tc>
          <w:tcPr>
            <w:tcW w:w="409" w:type="pct"/>
            <w:shd w:val="clear" w:color="auto" w:fill="auto"/>
            <w:vAlign w:val="center"/>
          </w:tcPr>
          <w:p>
            <w:pPr>
              <w:pStyle w:val="84"/>
              <w:bidi w:val="0"/>
              <w:rPr>
                <w:color w:val="auto"/>
                <w:highlight w:val="none"/>
              </w:rPr>
            </w:pPr>
            <w:r>
              <w:rPr>
                <w:color w:val="auto"/>
                <w:highlight w:val="none"/>
              </w:rPr>
              <w:t>　</w:t>
            </w:r>
          </w:p>
        </w:tc>
        <w:tc>
          <w:tcPr>
            <w:tcW w:w="388" w:type="pct"/>
            <w:shd w:val="clear" w:color="auto" w:fill="auto"/>
            <w:vAlign w:val="center"/>
          </w:tcPr>
          <w:p>
            <w:pPr>
              <w:pStyle w:val="84"/>
              <w:bidi w:val="0"/>
              <w:rPr>
                <w:color w:val="auto"/>
                <w:highlight w:val="none"/>
              </w:rPr>
            </w:pPr>
            <w:r>
              <w:rPr>
                <w:color w:val="auto"/>
                <w:highlight w:val="none"/>
              </w:rPr>
              <w:t>　</w:t>
            </w:r>
          </w:p>
        </w:tc>
        <w:tc>
          <w:tcPr>
            <w:tcW w:w="388" w:type="pct"/>
            <w:shd w:val="clear" w:color="auto" w:fill="auto"/>
            <w:vAlign w:val="center"/>
          </w:tcPr>
          <w:p>
            <w:pPr>
              <w:pStyle w:val="84"/>
              <w:rPr>
                <w:color w:val="auto"/>
                <w:highlight w:val="none"/>
              </w:rPr>
            </w:pPr>
            <w:r>
              <w:rPr>
                <w:rFonts w:hint="eastAsia"/>
                <w:color w:val="auto"/>
                <w:highlight w:val="none"/>
                <w:lang w:val="en-US" w:eastAsia="zh-CN"/>
              </w:rPr>
              <w:t>1.09</w:t>
            </w:r>
            <w:r>
              <w:rPr>
                <w:color w:val="auto"/>
                <w:highlight w:val="none"/>
              </w:rPr>
              <w:t xml:space="preserve"> </w:t>
            </w:r>
          </w:p>
        </w:tc>
        <w:tc>
          <w:tcPr>
            <w:tcW w:w="388" w:type="pct"/>
            <w:shd w:val="clear" w:color="auto" w:fill="auto"/>
            <w:vAlign w:val="center"/>
          </w:tcPr>
          <w:p>
            <w:pPr>
              <w:pStyle w:val="84"/>
              <w:rPr>
                <w:color w:val="auto"/>
                <w:highlight w:val="none"/>
              </w:rPr>
            </w:pPr>
            <w:r>
              <w:rPr>
                <w:rFonts w:hint="eastAsia" w:ascii="宋体" w:hAnsi="宋体" w:eastAsia="宋体" w:cs="宋体"/>
                <w:color w:val="auto"/>
                <w:highlight w:val="none"/>
              </w:rPr>
              <w:t>②③</w:t>
            </w:r>
          </w:p>
        </w:tc>
        <w:tc>
          <w:tcPr>
            <w:tcW w:w="335" w:type="pct"/>
            <w:shd w:val="clear" w:color="auto" w:fill="auto"/>
            <w:vAlign w:val="center"/>
          </w:tcPr>
          <w:p>
            <w:pPr>
              <w:pStyle w:val="84"/>
              <w:rPr>
                <w:color w:val="auto"/>
                <w:highlight w:val="none"/>
              </w:rPr>
            </w:pPr>
            <w:r>
              <w:rPr>
                <w:color w:val="auto"/>
                <w:highlight w:val="none"/>
              </w:rPr>
              <w:t>　</w:t>
            </w:r>
          </w:p>
        </w:tc>
        <w:tc>
          <w:tcPr>
            <w:tcW w:w="299" w:type="pct"/>
            <w:shd w:val="clear" w:color="auto" w:fill="auto"/>
            <w:vAlign w:val="center"/>
          </w:tcPr>
          <w:p>
            <w:pPr>
              <w:pStyle w:val="84"/>
              <w:rPr>
                <w:color w:val="auto"/>
                <w:highlight w:val="none"/>
              </w:rPr>
            </w:pPr>
            <w:r>
              <w:rPr>
                <w:color w:val="auto"/>
                <w:highlight w:val="none"/>
              </w:rPr>
              <w:t>　</w:t>
            </w:r>
          </w:p>
        </w:tc>
        <w:tc>
          <w:tcPr>
            <w:tcW w:w="253" w:type="pct"/>
            <w:shd w:val="clear" w:color="auto" w:fill="auto"/>
            <w:vAlign w:val="center"/>
          </w:tcPr>
          <w:p>
            <w:pPr>
              <w:pStyle w:val="84"/>
              <w:rPr>
                <w:color w:val="auto"/>
                <w:highlight w:val="none"/>
              </w:rPr>
            </w:pPr>
            <w:r>
              <w:rPr>
                <w:color w:val="auto"/>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537" w:type="pct"/>
            <w:shd w:val="clear" w:color="auto" w:fill="auto"/>
            <w:vAlign w:val="center"/>
          </w:tcPr>
          <w:p>
            <w:pPr>
              <w:pStyle w:val="84"/>
              <w:rPr>
                <w:color w:val="auto"/>
                <w:highlight w:val="none"/>
              </w:rPr>
            </w:pPr>
            <w:r>
              <w:rPr>
                <w:color w:val="auto"/>
                <w:highlight w:val="none"/>
              </w:rPr>
              <w:t>绿化区</w:t>
            </w:r>
          </w:p>
        </w:tc>
        <w:tc>
          <w:tcPr>
            <w:tcW w:w="238" w:type="pct"/>
            <w:shd w:val="clear" w:color="auto" w:fill="auto"/>
            <w:vAlign w:val="center"/>
          </w:tcPr>
          <w:p>
            <w:pPr>
              <w:pStyle w:val="84"/>
              <w:rPr>
                <w:color w:val="auto"/>
                <w:highlight w:val="none"/>
              </w:rPr>
            </w:pPr>
            <w:r>
              <w:rPr>
                <w:rFonts w:hint="eastAsia" w:ascii="宋体" w:hAnsi="宋体" w:eastAsia="宋体" w:cs="宋体"/>
                <w:color w:val="auto"/>
                <w:highlight w:val="none"/>
              </w:rPr>
              <w:t>②</w:t>
            </w:r>
          </w:p>
        </w:tc>
        <w:tc>
          <w:tcPr>
            <w:tcW w:w="658" w:type="pct"/>
            <w:shd w:val="clear" w:color="auto" w:fill="auto"/>
            <w:vAlign w:val="center"/>
          </w:tcPr>
          <w:p>
            <w:pPr>
              <w:pStyle w:val="84"/>
              <w:rPr>
                <w:color w:val="auto"/>
                <w:highlight w:val="none"/>
              </w:rPr>
            </w:pPr>
            <w:r>
              <w:rPr>
                <w:color w:val="auto"/>
                <w:highlight w:val="none"/>
              </w:rPr>
              <w:t>场地平整</w:t>
            </w:r>
          </w:p>
        </w:tc>
        <w:tc>
          <w:tcPr>
            <w:tcW w:w="413" w:type="pct"/>
            <w:shd w:val="clear" w:color="auto" w:fill="auto"/>
            <w:vAlign w:val="center"/>
          </w:tcPr>
          <w:p>
            <w:pPr>
              <w:pStyle w:val="84"/>
              <w:bidi w:val="0"/>
              <w:rPr>
                <w:color w:val="auto"/>
                <w:highlight w:val="none"/>
              </w:rPr>
            </w:pPr>
            <w:r>
              <w:rPr>
                <w:color w:val="auto"/>
                <w:highlight w:val="none"/>
              </w:rPr>
              <w:t>　</w:t>
            </w:r>
          </w:p>
        </w:tc>
        <w:tc>
          <w:tcPr>
            <w:tcW w:w="300" w:type="pct"/>
            <w:shd w:val="clear" w:color="auto" w:fill="auto"/>
            <w:vAlign w:val="center"/>
          </w:tcPr>
          <w:p>
            <w:pPr>
              <w:pStyle w:val="84"/>
              <w:bidi w:val="0"/>
              <w:rPr>
                <w:color w:val="auto"/>
                <w:highlight w:val="none"/>
              </w:rPr>
            </w:pPr>
            <w:r>
              <w:rPr>
                <w:rFonts w:hint="eastAsia"/>
                <w:color w:val="auto"/>
                <w:highlight w:val="none"/>
                <w:lang w:val="en-US" w:eastAsia="zh-CN"/>
              </w:rPr>
              <w:t xml:space="preserve">0.59 </w:t>
            </w:r>
          </w:p>
        </w:tc>
        <w:tc>
          <w:tcPr>
            <w:tcW w:w="388" w:type="pct"/>
            <w:shd w:val="clear" w:color="auto" w:fill="auto"/>
            <w:vAlign w:val="center"/>
          </w:tcPr>
          <w:p>
            <w:pPr>
              <w:pStyle w:val="84"/>
              <w:bidi w:val="0"/>
              <w:rPr>
                <w:color w:val="auto"/>
                <w:highlight w:val="none"/>
              </w:rPr>
            </w:pPr>
            <w:r>
              <w:rPr>
                <w:rFonts w:hint="eastAsia"/>
                <w:color w:val="auto"/>
                <w:highlight w:val="none"/>
                <w:lang w:val="en-US" w:eastAsia="zh-CN"/>
              </w:rPr>
              <w:t xml:space="preserve">0.00 </w:t>
            </w:r>
          </w:p>
        </w:tc>
        <w:tc>
          <w:tcPr>
            <w:tcW w:w="409" w:type="pct"/>
            <w:shd w:val="clear" w:color="auto" w:fill="auto"/>
            <w:vAlign w:val="center"/>
          </w:tcPr>
          <w:p>
            <w:pPr>
              <w:pStyle w:val="84"/>
              <w:bidi w:val="0"/>
              <w:rPr>
                <w:color w:val="auto"/>
                <w:highlight w:val="none"/>
              </w:rPr>
            </w:pPr>
            <w:r>
              <w:rPr>
                <w:rFonts w:hint="eastAsia"/>
                <w:color w:val="auto"/>
                <w:highlight w:val="none"/>
                <w:lang w:val="en-US" w:eastAsia="zh-CN"/>
              </w:rPr>
              <w:t xml:space="preserve">0.59 </w:t>
            </w:r>
          </w:p>
        </w:tc>
        <w:tc>
          <w:tcPr>
            <w:tcW w:w="388" w:type="pct"/>
            <w:shd w:val="clear" w:color="auto" w:fill="auto"/>
            <w:vAlign w:val="center"/>
          </w:tcPr>
          <w:p>
            <w:pPr>
              <w:pStyle w:val="84"/>
              <w:bidi w:val="0"/>
              <w:rPr>
                <w:color w:val="auto"/>
                <w:highlight w:val="none"/>
              </w:rPr>
            </w:pPr>
            <w:r>
              <w:rPr>
                <w:rFonts w:hint="eastAsia"/>
                <w:color w:val="auto"/>
                <w:highlight w:val="none"/>
                <w:lang w:val="en-US" w:eastAsia="zh-CN"/>
              </w:rPr>
              <w:t>①</w:t>
            </w:r>
          </w:p>
        </w:tc>
        <w:tc>
          <w:tcPr>
            <w:tcW w:w="388" w:type="pct"/>
            <w:shd w:val="clear" w:color="auto" w:fill="auto"/>
            <w:vAlign w:val="center"/>
          </w:tcPr>
          <w:p>
            <w:pPr>
              <w:pStyle w:val="84"/>
              <w:rPr>
                <w:color w:val="auto"/>
                <w:highlight w:val="none"/>
              </w:rPr>
            </w:pPr>
            <w:r>
              <w:rPr>
                <w:color w:val="auto"/>
                <w:highlight w:val="none"/>
              </w:rPr>
              <w:t>　</w:t>
            </w:r>
          </w:p>
        </w:tc>
        <w:tc>
          <w:tcPr>
            <w:tcW w:w="388" w:type="pct"/>
            <w:shd w:val="clear" w:color="auto" w:fill="auto"/>
            <w:vAlign w:val="center"/>
          </w:tcPr>
          <w:p>
            <w:pPr>
              <w:pStyle w:val="84"/>
              <w:rPr>
                <w:color w:val="auto"/>
                <w:highlight w:val="none"/>
              </w:rPr>
            </w:pPr>
            <w:r>
              <w:rPr>
                <w:color w:val="auto"/>
                <w:highlight w:val="none"/>
              </w:rPr>
              <w:t>　</w:t>
            </w:r>
          </w:p>
        </w:tc>
        <w:tc>
          <w:tcPr>
            <w:tcW w:w="335" w:type="pct"/>
            <w:shd w:val="clear" w:color="auto" w:fill="auto"/>
            <w:vAlign w:val="center"/>
          </w:tcPr>
          <w:p>
            <w:pPr>
              <w:pStyle w:val="84"/>
              <w:rPr>
                <w:color w:val="auto"/>
                <w:highlight w:val="none"/>
              </w:rPr>
            </w:pPr>
            <w:r>
              <w:rPr>
                <w:color w:val="auto"/>
                <w:highlight w:val="none"/>
              </w:rPr>
              <w:t>　</w:t>
            </w:r>
          </w:p>
        </w:tc>
        <w:tc>
          <w:tcPr>
            <w:tcW w:w="299" w:type="pct"/>
            <w:shd w:val="clear" w:color="auto" w:fill="auto"/>
            <w:vAlign w:val="center"/>
          </w:tcPr>
          <w:p>
            <w:pPr>
              <w:pStyle w:val="84"/>
              <w:rPr>
                <w:color w:val="auto"/>
                <w:highlight w:val="none"/>
              </w:rPr>
            </w:pPr>
            <w:r>
              <w:rPr>
                <w:color w:val="auto"/>
                <w:highlight w:val="none"/>
              </w:rPr>
              <w:t>　</w:t>
            </w:r>
          </w:p>
        </w:tc>
        <w:tc>
          <w:tcPr>
            <w:tcW w:w="253" w:type="pct"/>
            <w:shd w:val="clear" w:color="auto" w:fill="auto"/>
            <w:vAlign w:val="center"/>
          </w:tcPr>
          <w:p>
            <w:pPr>
              <w:pStyle w:val="84"/>
              <w:rPr>
                <w:color w:val="auto"/>
                <w:highlight w:val="none"/>
              </w:rPr>
            </w:pPr>
            <w:r>
              <w:rPr>
                <w:color w:val="auto"/>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537" w:type="pct"/>
            <w:shd w:val="clear" w:color="auto" w:fill="auto"/>
            <w:vAlign w:val="center"/>
          </w:tcPr>
          <w:p>
            <w:pPr>
              <w:pStyle w:val="84"/>
              <w:rPr>
                <w:color w:val="auto"/>
                <w:highlight w:val="none"/>
              </w:rPr>
            </w:pPr>
            <w:r>
              <w:rPr>
                <w:color w:val="auto"/>
                <w:highlight w:val="none"/>
              </w:rPr>
              <w:t>道路及硬化区</w:t>
            </w:r>
          </w:p>
        </w:tc>
        <w:tc>
          <w:tcPr>
            <w:tcW w:w="238" w:type="pct"/>
            <w:shd w:val="clear" w:color="auto" w:fill="auto"/>
            <w:vAlign w:val="center"/>
          </w:tcPr>
          <w:p>
            <w:pPr>
              <w:pStyle w:val="84"/>
              <w:rPr>
                <w:color w:val="auto"/>
                <w:highlight w:val="none"/>
              </w:rPr>
            </w:pPr>
            <w:r>
              <w:rPr>
                <w:rFonts w:hint="eastAsia" w:ascii="宋体" w:hAnsi="宋体" w:eastAsia="宋体" w:cs="宋体"/>
                <w:color w:val="auto"/>
                <w:highlight w:val="none"/>
              </w:rPr>
              <w:t>③</w:t>
            </w:r>
          </w:p>
        </w:tc>
        <w:tc>
          <w:tcPr>
            <w:tcW w:w="658" w:type="pct"/>
            <w:shd w:val="clear" w:color="auto" w:fill="auto"/>
            <w:vAlign w:val="center"/>
          </w:tcPr>
          <w:p>
            <w:pPr>
              <w:pStyle w:val="84"/>
              <w:rPr>
                <w:color w:val="auto"/>
                <w:highlight w:val="none"/>
              </w:rPr>
            </w:pPr>
            <w:r>
              <w:rPr>
                <w:color w:val="auto"/>
                <w:highlight w:val="none"/>
              </w:rPr>
              <w:t>场地平整</w:t>
            </w:r>
          </w:p>
        </w:tc>
        <w:tc>
          <w:tcPr>
            <w:tcW w:w="413" w:type="pct"/>
            <w:shd w:val="clear" w:color="auto" w:fill="auto"/>
            <w:vAlign w:val="center"/>
          </w:tcPr>
          <w:p>
            <w:pPr>
              <w:pStyle w:val="84"/>
              <w:bidi w:val="0"/>
              <w:rPr>
                <w:color w:val="auto"/>
                <w:highlight w:val="none"/>
              </w:rPr>
            </w:pPr>
            <w:r>
              <w:rPr>
                <w:color w:val="auto"/>
                <w:highlight w:val="none"/>
              </w:rPr>
              <w:t>　</w:t>
            </w:r>
          </w:p>
        </w:tc>
        <w:tc>
          <w:tcPr>
            <w:tcW w:w="300" w:type="pct"/>
            <w:shd w:val="clear" w:color="auto" w:fill="auto"/>
            <w:vAlign w:val="center"/>
          </w:tcPr>
          <w:p>
            <w:pPr>
              <w:pStyle w:val="84"/>
              <w:bidi w:val="0"/>
              <w:rPr>
                <w:color w:val="auto"/>
                <w:highlight w:val="none"/>
              </w:rPr>
            </w:pPr>
            <w:r>
              <w:rPr>
                <w:rFonts w:hint="eastAsia"/>
                <w:color w:val="auto"/>
                <w:highlight w:val="none"/>
                <w:lang w:val="en-US" w:eastAsia="zh-CN"/>
              </w:rPr>
              <w:t xml:space="preserve">0.50 </w:t>
            </w:r>
          </w:p>
        </w:tc>
        <w:tc>
          <w:tcPr>
            <w:tcW w:w="388" w:type="pct"/>
            <w:shd w:val="clear" w:color="auto" w:fill="auto"/>
            <w:vAlign w:val="center"/>
          </w:tcPr>
          <w:p>
            <w:pPr>
              <w:pStyle w:val="84"/>
              <w:bidi w:val="0"/>
              <w:rPr>
                <w:color w:val="auto"/>
                <w:highlight w:val="none"/>
              </w:rPr>
            </w:pPr>
            <w:r>
              <w:rPr>
                <w:rFonts w:hint="eastAsia"/>
                <w:color w:val="auto"/>
                <w:highlight w:val="none"/>
                <w:lang w:val="en-US" w:eastAsia="zh-CN"/>
              </w:rPr>
              <w:t xml:space="preserve">0.00 </w:t>
            </w:r>
          </w:p>
        </w:tc>
        <w:tc>
          <w:tcPr>
            <w:tcW w:w="409" w:type="pct"/>
            <w:shd w:val="clear" w:color="auto" w:fill="auto"/>
            <w:vAlign w:val="center"/>
          </w:tcPr>
          <w:p>
            <w:pPr>
              <w:pStyle w:val="84"/>
              <w:bidi w:val="0"/>
              <w:rPr>
                <w:color w:val="auto"/>
                <w:highlight w:val="none"/>
              </w:rPr>
            </w:pPr>
            <w:r>
              <w:rPr>
                <w:rFonts w:hint="eastAsia"/>
                <w:color w:val="auto"/>
                <w:highlight w:val="none"/>
                <w:lang w:val="en-US" w:eastAsia="zh-CN"/>
              </w:rPr>
              <w:t xml:space="preserve">0.50 </w:t>
            </w:r>
          </w:p>
        </w:tc>
        <w:tc>
          <w:tcPr>
            <w:tcW w:w="388" w:type="pct"/>
            <w:shd w:val="clear" w:color="auto" w:fill="auto"/>
            <w:vAlign w:val="center"/>
          </w:tcPr>
          <w:p>
            <w:pPr>
              <w:pStyle w:val="84"/>
              <w:bidi w:val="0"/>
              <w:rPr>
                <w:color w:val="auto"/>
                <w:highlight w:val="none"/>
              </w:rPr>
            </w:pPr>
            <w:r>
              <w:rPr>
                <w:rFonts w:hint="eastAsia"/>
                <w:color w:val="auto"/>
                <w:highlight w:val="none"/>
                <w:lang w:val="en-US" w:eastAsia="zh-CN"/>
              </w:rPr>
              <w:t>①</w:t>
            </w:r>
          </w:p>
        </w:tc>
        <w:tc>
          <w:tcPr>
            <w:tcW w:w="388" w:type="pct"/>
            <w:shd w:val="clear" w:color="auto" w:fill="auto"/>
            <w:vAlign w:val="center"/>
          </w:tcPr>
          <w:p>
            <w:pPr>
              <w:pStyle w:val="84"/>
              <w:rPr>
                <w:color w:val="auto"/>
                <w:highlight w:val="none"/>
              </w:rPr>
            </w:pPr>
            <w:r>
              <w:rPr>
                <w:color w:val="auto"/>
                <w:highlight w:val="none"/>
              </w:rPr>
              <w:t>　</w:t>
            </w:r>
          </w:p>
        </w:tc>
        <w:tc>
          <w:tcPr>
            <w:tcW w:w="388" w:type="pct"/>
            <w:shd w:val="clear" w:color="auto" w:fill="auto"/>
            <w:vAlign w:val="center"/>
          </w:tcPr>
          <w:p>
            <w:pPr>
              <w:pStyle w:val="84"/>
              <w:rPr>
                <w:color w:val="auto"/>
                <w:highlight w:val="none"/>
              </w:rPr>
            </w:pPr>
            <w:r>
              <w:rPr>
                <w:color w:val="auto"/>
                <w:highlight w:val="none"/>
              </w:rPr>
              <w:t>　</w:t>
            </w:r>
          </w:p>
        </w:tc>
        <w:tc>
          <w:tcPr>
            <w:tcW w:w="335" w:type="pct"/>
            <w:shd w:val="clear" w:color="auto" w:fill="auto"/>
            <w:vAlign w:val="center"/>
          </w:tcPr>
          <w:p>
            <w:pPr>
              <w:pStyle w:val="84"/>
              <w:rPr>
                <w:color w:val="auto"/>
                <w:highlight w:val="none"/>
              </w:rPr>
            </w:pPr>
            <w:r>
              <w:rPr>
                <w:color w:val="auto"/>
                <w:highlight w:val="none"/>
              </w:rPr>
              <w:t>　</w:t>
            </w:r>
          </w:p>
        </w:tc>
        <w:tc>
          <w:tcPr>
            <w:tcW w:w="299" w:type="pct"/>
            <w:shd w:val="clear" w:color="auto" w:fill="auto"/>
            <w:vAlign w:val="center"/>
          </w:tcPr>
          <w:p>
            <w:pPr>
              <w:pStyle w:val="84"/>
              <w:rPr>
                <w:color w:val="auto"/>
                <w:highlight w:val="none"/>
              </w:rPr>
            </w:pPr>
            <w:r>
              <w:rPr>
                <w:color w:val="auto"/>
                <w:highlight w:val="none"/>
              </w:rPr>
              <w:t>　</w:t>
            </w:r>
          </w:p>
        </w:tc>
        <w:tc>
          <w:tcPr>
            <w:tcW w:w="253" w:type="pct"/>
            <w:shd w:val="clear" w:color="auto" w:fill="auto"/>
            <w:vAlign w:val="center"/>
          </w:tcPr>
          <w:p>
            <w:pPr>
              <w:pStyle w:val="84"/>
              <w:rPr>
                <w:color w:val="auto"/>
                <w:highlight w:val="none"/>
              </w:rPr>
            </w:pPr>
            <w:r>
              <w:rPr>
                <w:color w:val="auto"/>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537" w:type="pct"/>
            <w:shd w:val="clear" w:color="auto" w:fill="auto"/>
            <w:vAlign w:val="center"/>
          </w:tcPr>
          <w:p>
            <w:pPr>
              <w:pStyle w:val="84"/>
              <w:rPr>
                <w:color w:val="auto"/>
                <w:highlight w:val="none"/>
              </w:rPr>
            </w:pPr>
            <w:r>
              <w:rPr>
                <w:color w:val="auto"/>
                <w:highlight w:val="none"/>
              </w:rPr>
              <w:t>管线工程区</w:t>
            </w:r>
          </w:p>
        </w:tc>
        <w:tc>
          <w:tcPr>
            <w:tcW w:w="238" w:type="pct"/>
            <w:shd w:val="clear" w:color="auto" w:fill="auto"/>
            <w:vAlign w:val="center"/>
          </w:tcPr>
          <w:p>
            <w:pPr>
              <w:pStyle w:val="84"/>
              <w:rPr>
                <w:color w:val="auto"/>
                <w:highlight w:val="none"/>
              </w:rPr>
            </w:pPr>
            <w:r>
              <w:rPr>
                <w:rFonts w:hint="eastAsia" w:ascii="宋体" w:hAnsi="宋体" w:eastAsia="宋体" w:cs="宋体"/>
                <w:color w:val="auto"/>
                <w:highlight w:val="none"/>
              </w:rPr>
              <w:t>④</w:t>
            </w:r>
          </w:p>
        </w:tc>
        <w:tc>
          <w:tcPr>
            <w:tcW w:w="658" w:type="pct"/>
            <w:shd w:val="clear" w:color="auto" w:fill="auto"/>
            <w:vAlign w:val="center"/>
          </w:tcPr>
          <w:p>
            <w:pPr>
              <w:pStyle w:val="84"/>
              <w:rPr>
                <w:color w:val="auto"/>
                <w:highlight w:val="none"/>
              </w:rPr>
            </w:pPr>
            <w:r>
              <w:rPr>
                <w:color w:val="auto"/>
                <w:highlight w:val="none"/>
              </w:rPr>
              <w:t>管沟开挖及回填</w:t>
            </w:r>
          </w:p>
        </w:tc>
        <w:tc>
          <w:tcPr>
            <w:tcW w:w="413" w:type="pct"/>
            <w:shd w:val="clear" w:color="auto" w:fill="auto"/>
            <w:vAlign w:val="center"/>
          </w:tcPr>
          <w:p>
            <w:pPr>
              <w:pStyle w:val="84"/>
              <w:bidi w:val="0"/>
              <w:rPr>
                <w:color w:val="auto"/>
                <w:highlight w:val="none"/>
              </w:rPr>
            </w:pPr>
            <w:r>
              <w:rPr>
                <w:rFonts w:hint="eastAsia"/>
                <w:color w:val="auto"/>
                <w:highlight w:val="none"/>
                <w:lang w:val="en-US" w:eastAsia="zh-CN"/>
              </w:rPr>
              <w:t>0.45</w:t>
            </w:r>
          </w:p>
        </w:tc>
        <w:tc>
          <w:tcPr>
            <w:tcW w:w="300" w:type="pct"/>
            <w:shd w:val="clear" w:color="auto" w:fill="auto"/>
            <w:vAlign w:val="center"/>
          </w:tcPr>
          <w:p>
            <w:pPr>
              <w:pStyle w:val="84"/>
              <w:bidi w:val="0"/>
              <w:rPr>
                <w:color w:val="auto"/>
                <w:highlight w:val="none"/>
              </w:rPr>
            </w:pPr>
            <w:r>
              <w:rPr>
                <w:rFonts w:hint="eastAsia"/>
                <w:color w:val="auto"/>
                <w:highlight w:val="none"/>
                <w:lang w:val="en-US" w:eastAsia="zh-CN"/>
              </w:rPr>
              <w:t xml:space="preserve">0.45 </w:t>
            </w:r>
          </w:p>
        </w:tc>
        <w:tc>
          <w:tcPr>
            <w:tcW w:w="388" w:type="pct"/>
            <w:shd w:val="clear" w:color="auto" w:fill="auto"/>
            <w:vAlign w:val="center"/>
          </w:tcPr>
          <w:p>
            <w:pPr>
              <w:pStyle w:val="84"/>
              <w:bidi w:val="0"/>
              <w:rPr>
                <w:color w:val="auto"/>
                <w:highlight w:val="none"/>
              </w:rPr>
            </w:pPr>
            <w:r>
              <w:rPr>
                <w:rFonts w:hint="eastAsia"/>
                <w:color w:val="auto"/>
                <w:highlight w:val="none"/>
                <w:lang w:val="en-US" w:eastAsia="zh-CN"/>
              </w:rPr>
              <w:t xml:space="preserve">0.45 </w:t>
            </w:r>
          </w:p>
        </w:tc>
        <w:tc>
          <w:tcPr>
            <w:tcW w:w="409" w:type="pct"/>
            <w:shd w:val="clear" w:color="auto" w:fill="auto"/>
            <w:vAlign w:val="center"/>
          </w:tcPr>
          <w:p>
            <w:pPr>
              <w:pStyle w:val="84"/>
              <w:bidi w:val="0"/>
              <w:rPr>
                <w:color w:val="auto"/>
                <w:highlight w:val="none"/>
              </w:rPr>
            </w:pPr>
            <w:r>
              <w:rPr>
                <w:color w:val="auto"/>
                <w:highlight w:val="none"/>
              </w:rPr>
              <w:t>　</w:t>
            </w:r>
          </w:p>
        </w:tc>
        <w:tc>
          <w:tcPr>
            <w:tcW w:w="388" w:type="pct"/>
            <w:shd w:val="clear" w:color="auto" w:fill="auto"/>
            <w:vAlign w:val="center"/>
          </w:tcPr>
          <w:p>
            <w:pPr>
              <w:pStyle w:val="84"/>
              <w:bidi w:val="0"/>
              <w:rPr>
                <w:color w:val="auto"/>
                <w:highlight w:val="none"/>
              </w:rPr>
            </w:pPr>
            <w:r>
              <w:rPr>
                <w:color w:val="auto"/>
                <w:highlight w:val="none"/>
              </w:rPr>
              <w:t>　</w:t>
            </w:r>
          </w:p>
        </w:tc>
        <w:tc>
          <w:tcPr>
            <w:tcW w:w="388" w:type="pct"/>
            <w:shd w:val="clear" w:color="auto" w:fill="auto"/>
            <w:vAlign w:val="center"/>
          </w:tcPr>
          <w:p>
            <w:pPr>
              <w:pStyle w:val="84"/>
              <w:rPr>
                <w:color w:val="auto"/>
                <w:highlight w:val="none"/>
              </w:rPr>
            </w:pPr>
            <w:r>
              <w:rPr>
                <w:color w:val="auto"/>
                <w:highlight w:val="none"/>
              </w:rPr>
              <w:t>　</w:t>
            </w:r>
          </w:p>
        </w:tc>
        <w:tc>
          <w:tcPr>
            <w:tcW w:w="388" w:type="pct"/>
            <w:shd w:val="clear" w:color="auto" w:fill="auto"/>
            <w:vAlign w:val="center"/>
          </w:tcPr>
          <w:p>
            <w:pPr>
              <w:pStyle w:val="84"/>
              <w:rPr>
                <w:color w:val="auto"/>
                <w:highlight w:val="none"/>
              </w:rPr>
            </w:pPr>
            <w:r>
              <w:rPr>
                <w:color w:val="auto"/>
                <w:highlight w:val="none"/>
              </w:rPr>
              <w:t>　</w:t>
            </w:r>
          </w:p>
        </w:tc>
        <w:tc>
          <w:tcPr>
            <w:tcW w:w="335" w:type="pct"/>
            <w:shd w:val="clear" w:color="auto" w:fill="auto"/>
            <w:vAlign w:val="center"/>
          </w:tcPr>
          <w:p>
            <w:pPr>
              <w:pStyle w:val="84"/>
              <w:rPr>
                <w:color w:val="auto"/>
                <w:highlight w:val="none"/>
              </w:rPr>
            </w:pPr>
            <w:r>
              <w:rPr>
                <w:color w:val="auto"/>
                <w:highlight w:val="none"/>
              </w:rPr>
              <w:t>　</w:t>
            </w:r>
          </w:p>
        </w:tc>
        <w:tc>
          <w:tcPr>
            <w:tcW w:w="299" w:type="pct"/>
            <w:shd w:val="clear" w:color="auto" w:fill="auto"/>
            <w:vAlign w:val="center"/>
          </w:tcPr>
          <w:p>
            <w:pPr>
              <w:pStyle w:val="84"/>
              <w:rPr>
                <w:color w:val="auto"/>
                <w:highlight w:val="none"/>
              </w:rPr>
            </w:pPr>
            <w:r>
              <w:rPr>
                <w:color w:val="auto"/>
                <w:highlight w:val="none"/>
              </w:rPr>
              <w:t>　</w:t>
            </w:r>
          </w:p>
        </w:tc>
        <w:tc>
          <w:tcPr>
            <w:tcW w:w="253" w:type="pct"/>
            <w:shd w:val="clear" w:color="auto" w:fill="auto"/>
            <w:vAlign w:val="center"/>
          </w:tcPr>
          <w:p>
            <w:pPr>
              <w:pStyle w:val="84"/>
              <w:rPr>
                <w:color w:val="auto"/>
                <w:highlight w:val="none"/>
              </w:rPr>
            </w:pPr>
            <w:r>
              <w:rPr>
                <w:color w:val="auto"/>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537" w:type="pct"/>
            <w:shd w:val="clear" w:color="auto" w:fill="auto"/>
            <w:vAlign w:val="center"/>
          </w:tcPr>
          <w:p>
            <w:pPr>
              <w:pStyle w:val="84"/>
              <w:rPr>
                <w:color w:val="auto"/>
                <w:highlight w:val="none"/>
              </w:rPr>
            </w:pPr>
            <w:r>
              <w:rPr>
                <w:color w:val="auto"/>
                <w:highlight w:val="none"/>
              </w:rPr>
              <w:t>施工生产区</w:t>
            </w:r>
          </w:p>
        </w:tc>
        <w:tc>
          <w:tcPr>
            <w:tcW w:w="238" w:type="pct"/>
            <w:shd w:val="clear" w:color="auto" w:fill="auto"/>
            <w:vAlign w:val="center"/>
          </w:tcPr>
          <w:p>
            <w:pPr>
              <w:pStyle w:val="84"/>
              <w:rPr>
                <w:color w:val="auto"/>
                <w:highlight w:val="none"/>
              </w:rPr>
            </w:pPr>
            <w:r>
              <w:rPr>
                <w:rFonts w:hint="eastAsia" w:ascii="宋体" w:hAnsi="宋体" w:eastAsia="宋体" w:cs="宋体"/>
                <w:color w:val="auto"/>
                <w:highlight w:val="none"/>
              </w:rPr>
              <w:t>⑤</w:t>
            </w:r>
          </w:p>
        </w:tc>
        <w:tc>
          <w:tcPr>
            <w:tcW w:w="658" w:type="pct"/>
            <w:shd w:val="clear" w:color="auto" w:fill="auto"/>
            <w:vAlign w:val="center"/>
          </w:tcPr>
          <w:p>
            <w:pPr>
              <w:pStyle w:val="84"/>
              <w:rPr>
                <w:color w:val="auto"/>
                <w:highlight w:val="none"/>
              </w:rPr>
            </w:pPr>
            <w:r>
              <w:rPr>
                <w:color w:val="auto"/>
                <w:highlight w:val="none"/>
              </w:rPr>
              <w:t>场地平整</w:t>
            </w:r>
          </w:p>
        </w:tc>
        <w:tc>
          <w:tcPr>
            <w:tcW w:w="413" w:type="pct"/>
            <w:shd w:val="clear" w:color="auto" w:fill="auto"/>
            <w:vAlign w:val="center"/>
          </w:tcPr>
          <w:p>
            <w:pPr>
              <w:pStyle w:val="84"/>
              <w:bidi w:val="0"/>
              <w:rPr>
                <w:color w:val="auto"/>
                <w:highlight w:val="none"/>
              </w:rPr>
            </w:pPr>
            <w:r>
              <w:rPr>
                <w:rFonts w:hint="eastAsia"/>
                <w:color w:val="auto"/>
                <w:highlight w:val="none"/>
                <w:lang w:val="en-US" w:eastAsia="zh-CN"/>
              </w:rPr>
              <w:t xml:space="preserve">0.00 </w:t>
            </w:r>
          </w:p>
        </w:tc>
        <w:tc>
          <w:tcPr>
            <w:tcW w:w="300" w:type="pct"/>
            <w:shd w:val="clear" w:color="auto" w:fill="auto"/>
            <w:vAlign w:val="center"/>
          </w:tcPr>
          <w:p>
            <w:pPr>
              <w:pStyle w:val="84"/>
              <w:bidi w:val="0"/>
              <w:rPr>
                <w:color w:val="auto"/>
                <w:highlight w:val="none"/>
              </w:rPr>
            </w:pPr>
            <w:r>
              <w:rPr>
                <w:rFonts w:hint="eastAsia"/>
                <w:color w:val="auto"/>
                <w:highlight w:val="none"/>
                <w:lang w:val="en-US" w:eastAsia="zh-CN"/>
              </w:rPr>
              <w:t xml:space="preserve">0.00 </w:t>
            </w:r>
          </w:p>
        </w:tc>
        <w:tc>
          <w:tcPr>
            <w:tcW w:w="388" w:type="pct"/>
            <w:shd w:val="clear" w:color="auto" w:fill="auto"/>
            <w:vAlign w:val="center"/>
          </w:tcPr>
          <w:p>
            <w:pPr>
              <w:pStyle w:val="84"/>
              <w:bidi w:val="0"/>
              <w:rPr>
                <w:color w:val="auto"/>
                <w:highlight w:val="none"/>
              </w:rPr>
            </w:pPr>
            <w:r>
              <w:rPr>
                <w:rFonts w:hint="eastAsia"/>
                <w:color w:val="auto"/>
                <w:highlight w:val="none"/>
                <w:lang w:val="en-US" w:eastAsia="zh-CN"/>
              </w:rPr>
              <w:t xml:space="preserve">0.00 </w:t>
            </w:r>
          </w:p>
        </w:tc>
        <w:tc>
          <w:tcPr>
            <w:tcW w:w="409" w:type="pct"/>
            <w:shd w:val="clear" w:color="auto" w:fill="auto"/>
            <w:vAlign w:val="center"/>
          </w:tcPr>
          <w:p>
            <w:pPr>
              <w:pStyle w:val="84"/>
              <w:bidi w:val="0"/>
              <w:rPr>
                <w:color w:val="auto"/>
                <w:highlight w:val="none"/>
              </w:rPr>
            </w:pPr>
            <w:r>
              <w:rPr>
                <w:color w:val="auto"/>
                <w:highlight w:val="none"/>
              </w:rPr>
              <w:t>　</w:t>
            </w:r>
          </w:p>
        </w:tc>
        <w:tc>
          <w:tcPr>
            <w:tcW w:w="388" w:type="pct"/>
            <w:shd w:val="clear" w:color="auto" w:fill="auto"/>
            <w:vAlign w:val="center"/>
          </w:tcPr>
          <w:p>
            <w:pPr>
              <w:pStyle w:val="84"/>
              <w:bidi w:val="0"/>
              <w:rPr>
                <w:color w:val="auto"/>
                <w:highlight w:val="none"/>
              </w:rPr>
            </w:pPr>
            <w:r>
              <w:rPr>
                <w:color w:val="auto"/>
                <w:highlight w:val="none"/>
              </w:rPr>
              <w:t>　</w:t>
            </w:r>
          </w:p>
        </w:tc>
        <w:tc>
          <w:tcPr>
            <w:tcW w:w="388" w:type="pct"/>
            <w:shd w:val="clear" w:color="auto" w:fill="auto"/>
            <w:vAlign w:val="center"/>
          </w:tcPr>
          <w:p>
            <w:pPr>
              <w:pStyle w:val="84"/>
              <w:rPr>
                <w:color w:val="auto"/>
                <w:highlight w:val="none"/>
              </w:rPr>
            </w:pPr>
            <w:r>
              <w:rPr>
                <w:color w:val="auto"/>
                <w:highlight w:val="none"/>
              </w:rPr>
              <w:t>　</w:t>
            </w:r>
          </w:p>
        </w:tc>
        <w:tc>
          <w:tcPr>
            <w:tcW w:w="388" w:type="pct"/>
            <w:shd w:val="clear" w:color="auto" w:fill="auto"/>
            <w:vAlign w:val="center"/>
          </w:tcPr>
          <w:p>
            <w:pPr>
              <w:pStyle w:val="84"/>
              <w:rPr>
                <w:color w:val="auto"/>
                <w:highlight w:val="none"/>
              </w:rPr>
            </w:pPr>
            <w:r>
              <w:rPr>
                <w:color w:val="auto"/>
                <w:highlight w:val="none"/>
              </w:rPr>
              <w:t>　</w:t>
            </w:r>
          </w:p>
        </w:tc>
        <w:tc>
          <w:tcPr>
            <w:tcW w:w="335" w:type="pct"/>
            <w:shd w:val="clear" w:color="auto" w:fill="auto"/>
            <w:vAlign w:val="center"/>
          </w:tcPr>
          <w:p>
            <w:pPr>
              <w:pStyle w:val="84"/>
              <w:rPr>
                <w:color w:val="auto"/>
                <w:highlight w:val="none"/>
              </w:rPr>
            </w:pPr>
            <w:r>
              <w:rPr>
                <w:color w:val="auto"/>
                <w:highlight w:val="none"/>
              </w:rPr>
              <w:t>　</w:t>
            </w:r>
          </w:p>
        </w:tc>
        <w:tc>
          <w:tcPr>
            <w:tcW w:w="299" w:type="pct"/>
            <w:shd w:val="clear" w:color="auto" w:fill="auto"/>
            <w:vAlign w:val="center"/>
          </w:tcPr>
          <w:p>
            <w:pPr>
              <w:pStyle w:val="84"/>
              <w:rPr>
                <w:color w:val="auto"/>
                <w:highlight w:val="none"/>
              </w:rPr>
            </w:pPr>
            <w:r>
              <w:rPr>
                <w:color w:val="auto"/>
                <w:highlight w:val="none"/>
              </w:rPr>
              <w:t>　</w:t>
            </w:r>
          </w:p>
        </w:tc>
        <w:tc>
          <w:tcPr>
            <w:tcW w:w="253" w:type="pct"/>
            <w:shd w:val="clear" w:color="auto" w:fill="auto"/>
            <w:vAlign w:val="center"/>
          </w:tcPr>
          <w:p>
            <w:pPr>
              <w:pStyle w:val="84"/>
              <w:rPr>
                <w:color w:val="auto"/>
                <w:highlight w:val="none"/>
              </w:rPr>
            </w:pPr>
            <w:r>
              <w:rPr>
                <w:color w:val="auto"/>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1435" w:type="pct"/>
            <w:gridSpan w:val="3"/>
            <w:shd w:val="clear" w:color="auto" w:fill="auto"/>
            <w:vAlign w:val="center"/>
          </w:tcPr>
          <w:p>
            <w:pPr>
              <w:pStyle w:val="84"/>
              <w:rPr>
                <w:color w:val="auto"/>
                <w:highlight w:val="none"/>
              </w:rPr>
            </w:pPr>
            <w:r>
              <w:rPr>
                <w:color w:val="auto"/>
                <w:highlight w:val="none"/>
              </w:rPr>
              <w:t>合计</w:t>
            </w:r>
          </w:p>
        </w:tc>
        <w:tc>
          <w:tcPr>
            <w:tcW w:w="413" w:type="pct"/>
            <w:shd w:val="clear" w:color="auto" w:fill="auto"/>
            <w:vAlign w:val="center"/>
          </w:tcPr>
          <w:p>
            <w:pPr>
              <w:pStyle w:val="84"/>
              <w:bidi w:val="0"/>
              <w:rPr>
                <w:color w:val="auto"/>
                <w:highlight w:val="none"/>
              </w:rPr>
            </w:pPr>
            <w:r>
              <w:rPr>
                <w:rFonts w:hint="eastAsia"/>
                <w:color w:val="auto"/>
                <w:highlight w:val="none"/>
                <w:lang w:val="en-US" w:eastAsia="zh-CN"/>
              </w:rPr>
              <w:t xml:space="preserve">2.18 </w:t>
            </w:r>
          </w:p>
        </w:tc>
        <w:tc>
          <w:tcPr>
            <w:tcW w:w="300" w:type="pct"/>
            <w:shd w:val="clear" w:color="auto" w:fill="auto"/>
            <w:vAlign w:val="center"/>
          </w:tcPr>
          <w:p>
            <w:pPr>
              <w:pStyle w:val="84"/>
              <w:bidi w:val="0"/>
              <w:rPr>
                <w:color w:val="auto"/>
                <w:highlight w:val="none"/>
              </w:rPr>
            </w:pPr>
            <w:r>
              <w:rPr>
                <w:rFonts w:hint="eastAsia"/>
                <w:color w:val="auto"/>
                <w:highlight w:val="none"/>
                <w:lang w:val="en-US" w:eastAsia="zh-CN"/>
              </w:rPr>
              <w:t xml:space="preserve">2.18 </w:t>
            </w:r>
          </w:p>
        </w:tc>
        <w:tc>
          <w:tcPr>
            <w:tcW w:w="388" w:type="pct"/>
            <w:shd w:val="clear" w:color="auto" w:fill="auto"/>
            <w:vAlign w:val="center"/>
          </w:tcPr>
          <w:p>
            <w:pPr>
              <w:pStyle w:val="84"/>
              <w:bidi w:val="0"/>
              <w:rPr>
                <w:color w:val="auto"/>
                <w:highlight w:val="none"/>
              </w:rPr>
            </w:pPr>
            <w:r>
              <w:rPr>
                <w:rFonts w:hint="eastAsia"/>
                <w:color w:val="auto"/>
                <w:highlight w:val="none"/>
                <w:lang w:val="en-US" w:eastAsia="zh-CN"/>
              </w:rPr>
              <w:t xml:space="preserve">2.18 </w:t>
            </w:r>
          </w:p>
        </w:tc>
        <w:tc>
          <w:tcPr>
            <w:tcW w:w="409" w:type="pct"/>
            <w:shd w:val="clear" w:color="auto" w:fill="auto"/>
            <w:vAlign w:val="center"/>
          </w:tcPr>
          <w:p>
            <w:pPr>
              <w:pStyle w:val="84"/>
              <w:bidi w:val="0"/>
              <w:rPr>
                <w:rFonts w:hint="eastAsia"/>
                <w:color w:val="auto"/>
                <w:highlight w:val="none"/>
                <w:lang w:val="en-US" w:eastAsia="zh-CN"/>
              </w:rPr>
            </w:pPr>
            <w:r>
              <w:rPr>
                <w:rFonts w:hint="eastAsia"/>
                <w:color w:val="auto"/>
                <w:highlight w:val="none"/>
                <w:lang w:val="en-US" w:eastAsia="zh-CN"/>
              </w:rPr>
              <w:t xml:space="preserve">1.09 </w:t>
            </w:r>
          </w:p>
        </w:tc>
        <w:tc>
          <w:tcPr>
            <w:tcW w:w="388" w:type="pct"/>
            <w:shd w:val="clear" w:color="auto" w:fill="auto"/>
            <w:vAlign w:val="center"/>
          </w:tcPr>
          <w:p>
            <w:pPr>
              <w:pStyle w:val="84"/>
              <w:bidi w:val="0"/>
              <w:rPr>
                <w:color w:val="auto"/>
                <w:highlight w:val="none"/>
              </w:rPr>
            </w:pPr>
            <w:r>
              <w:rPr>
                <w:color w:val="auto"/>
                <w:highlight w:val="none"/>
              </w:rPr>
              <w:t>　</w:t>
            </w:r>
          </w:p>
        </w:tc>
        <w:tc>
          <w:tcPr>
            <w:tcW w:w="388" w:type="pct"/>
            <w:shd w:val="clear" w:color="auto" w:fill="auto"/>
            <w:vAlign w:val="center"/>
          </w:tcPr>
          <w:p>
            <w:pPr>
              <w:pStyle w:val="84"/>
              <w:rPr>
                <w:color w:val="auto"/>
                <w:highlight w:val="none"/>
              </w:rPr>
            </w:pPr>
            <w:r>
              <w:rPr>
                <w:rFonts w:hint="eastAsia"/>
                <w:color w:val="auto"/>
                <w:highlight w:val="none"/>
                <w:lang w:val="en-US" w:eastAsia="zh-CN"/>
              </w:rPr>
              <w:t>1.09</w:t>
            </w:r>
            <w:r>
              <w:rPr>
                <w:color w:val="auto"/>
                <w:highlight w:val="none"/>
              </w:rPr>
              <w:t xml:space="preserve"> </w:t>
            </w:r>
          </w:p>
        </w:tc>
        <w:tc>
          <w:tcPr>
            <w:tcW w:w="388" w:type="pct"/>
            <w:shd w:val="clear" w:color="auto" w:fill="auto"/>
            <w:vAlign w:val="center"/>
          </w:tcPr>
          <w:p>
            <w:pPr>
              <w:pStyle w:val="84"/>
              <w:rPr>
                <w:color w:val="auto"/>
                <w:highlight w:val="none"/>
              </w:rPr>
            </w:pPr>
            <w:r>
              <w:rPr>
                <w:color w:val="auto"/>
                <w:highlight w:val="none"/>
              </w:rPr>
              <w:t>　</w:t>
            </w:r>
          </w:p>
        </w:tc>
        <w:tc>
          <w:tcPr>
            <w:tcW w:w="335" w:type="pct"/>
            <w:shd w:val="clear" w:color="auto" w:fill="auto"/>
            <w:vAlign w:val="center"/>
          </w:tcPr>
          <w:p>
            <w:pPr>
              <w:pStyle w:val="84"/>
              <w:rPr>
                <w:color w:val="auto"/>
                <w:highlight w:val="none"/>
              </w:rPr>
            </w:pPr>
            <w:r>
              <w:rPr>
                <w:color w:val="auto"/>
                <w:highlight w:val="none"/>
              </w:rPr>
              <w:t xml:space="preserve">0 </w:t>
            </w:r>
          </w:p>
        </w:tc>
        <w:tc>
          <w:tcPr>
            <w:tcW w:w="299" w:type="pct"/>
            <w:shd w:val="clear" w:color="auto" w:fill="auto"/>
            <w:vAlign w:val="center"/>
          </w:tcPr>
          <w:p>
            <w:pPr>
              <w:pStyle w:val="84"/>
              <w:rPr>
                <w:color w:val="auto"/>
                <w:highlight w:val="none"/>
              </w:rPr>
            </w:pPr>
            <w:r>
              <w:rPr>
                <w:color w:val="auto"/>
                <w:highlight w:val="none"/>
              </w:rPr>
              <w:t>　</w:t>
            </w:r>
          </w:p>
        </w:tc>
        <w:tc>
          <w:tcPr>
            <w:tcW w:w="253" w:type="pct"/>
            <w:shd w:val="clear" w:color="auto" w:fill="auto"/>
            <w:vAlign w:val="center"/>
          </w:tcPr>
          <w:p>
            <w:pPr>
              <w:pStyle w:val="84"/>
              <w:rPr>
                <w:color w:val="auto"/>
                <w:highlight w:val="none"/>
              </w:rPr>
            </w:pPr>
            <w:r>
              <w:rPr>
                <w:color w:val="auto"/>
                <w:highlight w:val="none"/>
              </w:rPr>
              <w:t xml:space="preserve">0 </w:t>
            </w:r>
          </w:p>
        </w:tc>
      </w:tr>
    </w:tbl>
    <w:p>
      <w:pPr>
        <w:pStyle w:val="56"/>
        <w:spacing w:line="240" w:lineRule="auto"/>
        <w:ind w:firstLine="480"/>
        <w:rPr>
          <w:color w:val="auto"/>
          <w:highlight w:val="none"/>
        </w:rPr>
      </w:pPr>
    </w:p>
    <w:p>
      <w:pPr>
        <w:pStyle w:val="56"/>
        <w:ind w:firstLine="0" w:firstLineChars="0"/>
        <w:rPr>
          <w:color w:val="auto"/>
          <w:highlight w:val="none"/>
        </w:rPr>
      </w:pPr>
      <w:bookmarkStart w:id="80" w:name="_Toc417412312"/>
      <w:r>
        <w:rPr>
          <w:color w:val="auto"/>
          <w:highlight w:val="none"/>
        </w:rPr>
        <w:object>
          <v:shape id="_x0000_i1025" o:spt="75" type="#_x0000_t75" style="height:199.3pt;width:439.55pt;" o:ole="t" filled="f" o:preferrelative="t" stroked="f" coordsize="21600,21600">
            <v:path/>
            <v:fill on="f" focussize="0,0"/>
            <v:stroke on="f"/>
            <v:imagedata r:id="rId36" o:title=""/>
            <o:lock v:ext="edit" aspectratio="t"/>
            <w10:wrap type="none"/>
            <w10:anchorlock/>
          </v:shape>
          <o:OLEObject Type="Embed" ProgID="Visio.Drawing.11" ShapeID="_x0000_i1025" DrawAspect="Content" ObjectID="_1468075725" r:id="rId35">
            <o:LockedField>false</o:LockedField>
          </o:OLEObject>
        </w:object>
      </w:r>
    </w:p>
    <w:p>
      <w:pPr>
        <w:pStyle w:val="75"/>
        <w:spacing w:after="120" w:afterLines="50"/>
        <w:rPr>
          <w:color w:val="auto"/>
          <w:highlight w:val="none"/>
        </w:rPr>
      </w:pPr>
      <w:r>
        <w:rPr>
          <w:color w:val="auto"/>
          <w:highlight w:val="none"/>
        </w:rPr>
        <w:t>图2.4-1      土石方流向图   单位：万m³</w:t>
      </w:r>
    </w:p>
    <w:p>
      <w:pPr>
        <w:pStyle w:val="66"/>
        <w:ind w:firstLine="148"/>
        <w:rPr>
          <w:color w:val="auto"/>
          <w:highlight w:val="none"/>
        </w:rPr>
      </w:pPr>
      <w:bookmarkStart w:id="81" w:name="_Toc16538"/>
      <w:r>
        <w:rPr>
          <w:color w:val="auto"/>
          <w:highlight w:val="none"/>
        </w:rPr>
        <w:t>2.5 拆迁（移民）安置</w:t>
      </w:r>
      <w:bookmarkEnd w:id="80"/>
      <w:r>
        <w:rPr>
          <w:color w:val="auto"/>
          <w:highlight w:val="none"/>
        </w:rPr>
        <w:t>与专项设施改（迁）建</w:t>
      </w:r>
      <w:bookmarkEnd w:id="81"/>
    </w:p>
    <w:p>
      <w:pPr>
        <w:pStyle w:val="56"/>
        <w:ind w:firstLine="480"/>
        <w:rPr>
          <w:color w:val="auto"/>
          <w:highlight w:val="none"/>
        </w:rPr>
      </w:pPr>
      <w:r>
        <w:rPr>
          <w:color w:val="auto"/>
          <w:highlight w:val="none"/>
        </w:rPr>
        <w:t>项目区占地范围内无居民点以及生产设施等，本项目建设不存在拆迁安置问题。</w:t>
      </w:r>
    </w:p>
    <w:p>
      <w:pPr>
        <w:pStyle w:val="66"/>
        <w:ind w:firstLine="148"/>
        <w:rPr>
          <w:color w:val="auto"/>
          <w:highlight w:val="none"/>
        </w:rPr>
      </w:pPr>
      <w:bookmarkStart w:id="82" w:name="_Toc22688"/>
      <w:r>
        <w:rPr>
          <w:color w:val="auto"/>
          <w:highlight w:val="none"/>
        </w:rPr>
        <w:t>2.6 施工进度</w:t>
      </w:r>
      <w:bookmarkEnd w:id="82"/>
    </w:p>
    <w:p>
      <w:pPr>
        <w:pStyle w:val="56"/>
        <w:ind w:firstLine="480"/>
        <w:rPr>
          <w:color w:val="auto"/>
          <w:highlight w:val="none"/>
        </w:rPr>
      </w:pPr>
      <w:r>
        <w:rPr>
          <w:color w:val="auto"/>
          <w:highlight w:val="none"/>
        </w:rPr>
        <w:t>本工程已于2020年</w:t>
      </w:r>
      <w:r>
        <w:rPr>
          <w:rFonts w:hint="eastAsia"/>
          <w:color w:val="auto"/>
          <w:highlight w:val="none"/>
          <w:lang w:val="en-US" w:eastAsia="zh-CN"/>
        </w:rPr>
        <w:t>4</w:t>
      </w:r>
      <w:r>
        <w:rPr>
          <w:color w:val="auto"/>
          <w:highlight w:val="none"/>
        </w:rPr>
        <w:t>月开始施工，计划于202</w:t>
      </w:r>
      <w:r>
        <w:rPr>
          <w:rFonts w:hint="eastAsia"/>
          <w:color w:val="auto"/>
          <w:highlight w:val="none"/>
        </w:rPr>
        <w:t>1</w:t>
      </w:r>
      <w:r>
        <w:rPr>
          <w:color w:val="auto"/>
          <w:highlight w:val="none"/>
        </w:rPr>
        <w:t>年</w:t>
      </w:r>
      <w:r>
        <w:rPr>
          <w:rFonts w:hint="eastAsia"/>
          <w:color w:val="auto"/>
          <w:highlight w:val="none"/>
          <w:lang w:val="en-US" w:eastAsia="zh-CN"/>
        </w:rPr>
        <w:t>10</w:t>
      </w:r>
      <w:r>
        <w:rPr>
          <w:color w:val="auto"/>
          <w:highlight w:val="none"/>
        </w:rPr>
        <w:t>月完工，总工期1</w:t>
      </w:r>
      <w:r>
        <w:rPr>
          <w:rFonts w:hint="eastAsia"/>
          <w:color w:val="auto"/>
          <w:highlight w:val="none"/>
          <w:lang w:val="en-US" w:eastAsia="zh-CN"/>
        </w:rPr>
        <w:t>9</w:t>
      </w:r>
      <w:r>
        <w:rPr>
          <w:color w:val="auto"/>
          <w:highlight w:val="none"/>
        </w:rPr>
        <w:t>个月。</w:t>
      </w:r>
    </w:p>
    <w:p>
      <w:pPr>
        <w:pStyle w:val="75"/>
        <w:rPr>
          <w:color w:val="auto"/>
          <w:highlight w:val="none"/>
        </w:rPr>
      </w:pPr>
      <w:r>
        <w:rPr>
          <w:color w:val="auto"/>
          <w:highlight w:val="none"/>
        </w:rPr>
        <w:t>表2.6-1    项目施工进度表</w:t>
      </w:r>
    </w:p>
    <w:p>
      <w:pPr>
        <w:pStyle w:val="75"/>
        <w:outlineLvl w:val="9"/>
        <w:rPr>
          <w:color w:val="auto"/>
          <w:highlight w:val="none"/>
        </w:rPr>
      </w:pPr>
      <w:r>
        <w:rPr>
          <w:color w:val="auto"/>
          <w:highlight w:val="none"/>
        </w:rPr>
        <w:drawing>
          <wp:inline distT="0" distB="0" distL="114300" distR="114300">
            <wp:extent cx="5607685" cy="1478915"/>
            <wp:effectExtent l="0" t="0" r="12065" b="698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37"/>
                    <a:stretch>
                      <a:fillRect/>
                    </a:stretch>
                  </pic:blipFill>
                  <pic:spPr>
                    <a:xfrm>
                      <a:off x="0" y="0"/>
                      <a:ext cx="5607685" cy="1478915"/>
                    </a:xfrm>
                    <a:prstGeom prst="rect">
                      <a:avLst/>
                    </a:prstGeom>
                    <a:noFill/>
                    <a:ln>
                      <a:noFill/>
                    </a:ln>
                  </pic:spPr>
                </pic:pic>
              </a:graphicData>
            </a:graphic>
          </wp:inline>
        </w:drawing>
      </w:r>
    </w:p>
    <w:p>
      <w:pPr>
        <w:pStyle w:val="66"/>
        <w:rPr>
          <w:color w:val="auto"/>
          <w:highlight w:val="none"/>
        </w:rPr>
      </w:pPr>
      <w:bookmarkStart w:id="83" w:name="_Toc14102"/>
      <w:r>
        <w:rPr>
          <w:color w:val="auto"/>
          <w:highlight w:val="none"/>
        </w:rPr>
        <w:t>2.7 自然概况</w:t>
      </w:r>
      <w:bookmarkEnd w:id="83"/>
    </w:p>
    <w:p>
      <w:pPr>
        <w:pStyle w:val="69"/>
        <w:rPr>
          <w:color w:val="auto"/>
          <w:highlight w:val="none"/>
        </w:rPr>
      </w:pPr>
      <w:r>
        <w:rPr>
          <w:color w:val="auto"/>
          <w:highlight w:val="none"/>
        </w:rPr>
        <w:t>2.7.1 地形地貌</w:t>
      </w:r>
    </w:p>
    <w:p>
      <w:pPr>
        <w:pStyle w:val="56"/>
        <w:ind w:firstLine="480"/>
        <w:rPr>
          <w:rFonts w:hint="eastAsia"/>
          <w:color w:val="auto"/>
          <w:highlight w:val="none"/>
        </w:rPr>
      </w:pPr>
      <w:r>
        <w:rPr>
          <w:rFonts w:hint="eastAsia" w:eastAsia="仿宋_GB2312"/>
          <w:color w:val="auto"/>
          <w:highlight w:val="none"/>
          <w:lang w:eastAsia="zh-CN"/>
        </w:rPr>
        <w:t>伊宁</w:t>
      </w:r>
      <w:r>
        <w:rPr>
          <w:rFonts w:eastAsia="仿宋_GB2312"/>
          <w:color w:val="auto"/>
          <w:highlight w:val="none"/>
        </w:rPr>
        <w:t>县位于新疆维吾尔自治区西部</w:t>
      </w:r>
      <w:r>
        <w:rPr>
          <w:rFonts w:hint="eastAsia" w:eastAsia="仿宋_GB2312"/>
          <w:color w:val="auto"/>
          <w:highlight w:val="none"/>
        </w:rPr>
        <w:t>，天山西段，</w:t>
      </w:r>
      <w:r>
        <w:rPr>
          <w:rFonts w:hint="default" w:eastAsia="仿宋_GB2312"/>
          <w:color w:val="auto"/>
          <w:highlight w:val="none"/>
        </w:rPr>
        <w:fldChar w:fldCharType="begin"/>
      </w:r>
      <w:r>
        <w:rPr>
          <w:rFonts w:hint="default" w:eastAsia="仿宋_GB2312"/>
          <w:color w:val="auto"/>
          <w:highlight w:val="none"/>
        </w:rPr>
        <w:instrText xml:space="preserve"> HYPERLINK "https://baike.baidu.com/item/%E4%BC%8A%E7%8A%81%E6%B2%B3%E8%B0%B7/74613" \t "https://baike.baidu.com/item/%E4%BC%8A%E5%AE%81%E5%8E%BF/_blank" </w:instrText>
      </w:r>
      <w:r>
        <w:rPr>
          <w:rFonts w:hint="default" w:eastAsia="仿宋_GB2312"/>
          <w:color w:val="auto"/>
          <w:highlight w:val="none"/>
        </w:rPr>
        <w:fldChar w:fldCharType="separate"/>
      </w:r>
      <w:r>
        <w:rPr>
          <w:rFonts w:hint="default" w:eastAsia="仿宋_GB2312"/>
          <w:color w:val="auto"/>
          <w:highlight w:val="none"/>
        </w:rPr>
        <w:t>伊犁河谷</w:t>
      </w:r>
      <w:r>
        <w:rPr>
          <w:rFonts w:hint="default" w:eastAsia="仿宋_GB2312"/>
          <w:color w:val="auto"/>
          <w:highlight w:val="none"/>
        </w:rPr>
        <w:fldChar w:fldCharType="end"/>
      </w:r>
      <w:r>
        <w:rPr>
          <w:rFonts w:hint="default" w:eastAsia="仿宋_GB2312"/>
          <w:color w:val="auto"/>
          <w:highlight w:val="none"/>
        </w:rPr>
        <w:t>中部</w:t>
      </w:r>
      <w:r>
        <w:rPr>
          <w:rFonts w:eastAsia="仿宋_GB2312"/>
          <w:color w:val="auto"/>
          <w:highlight w:val="none"/>
        </w:rPr>
        <w:t>，东经8</w:t>
      </w:r>
      <w:r>
        <w:rPr>
          <w:rFonts w:hint="eastAsia" w:eastAsia="仿宋_GB2312"/>
          <w:color w:val="auto"/>
          <w:highlight w:val="none"/>
          <w:lang w:val="en-US" w:eastAsia="zh-CN"/>
        </w:rPr>
        <w:t>1</w:t>
      </w:r>
      <w:r>
        <w:rPr>
          <w:rFonts w:eastAsia="仿宋_GB2312"/>
          <w:color w:val="auto"/>
          <w:highlight w:val="none"/>
        </w:rPr>
        <w:t>°</w:t>
      </w:r>
      <w:r>
        <w:rPr>
          <w:rFonts w:hint="eastAsia" w:eastAsia="仿宋_GB2312"/>
          <w:color w:val="auto"/>
          <w:highlight w:val="none"/>
          <w:lang w:val="en-US" w:eastAsia="zh-CN"/>
        </w:rPr>
        <w:t>13</w:t>
      </w:r>
      <w:r>
        <w:rPr>
          <w:rFonts w:eastAsia="仿宋_GB2312"/>
          <w:color w:val="auto"/>
          <w:highlight w:val="none"/>
        </w:rPr>
        <w:t>′～8</w:t>
      </w:r>
      <w:r>
        <w:rPr>
          <w:rFonts w:hint="eastAsia" w:eastAsia="仿宋_GB2312"/>
          <w:color w:val="auto"/>
          <w:highlight w:val="none"/>
          <w:lang w:val="en-US" w:eastAsia="zh-CN"/>
        </w:rPr>
        <w:t>2</w:t>
      </w:r>
      <w:r>
        <w:rPr>
          <w:rFonts w:eastAsia="仿宋_GB2312"/>
          <w:color w:val="auto"/>
          <w:highlight w:val="none"/>
        </w:rPr>
        <w:t>°</w:t>
      </w:r>
      <w:r>
        <w:rPr>
          <w:rFonts w:hint="eastAsia" w:eastAsia="仿宋_GB2312"/>
          <w:color w:val="auto"/>
          <w:highlight w:val="none"/>
          <w:lang w:val="en-US" w:eastAsia="zh-CN"/>
        </w:rPr>
        <w:t>42</w:t>
      </w:r>
      <w:r>
        <w:rPr>
          <w:rFonts w:eastAsia="仿宋_GB2312"/>
          <w:color w:val="auto"/>
          <w:highlight w:val="none"/>
        </w:rPr>
        <w:t>′，北纬4</w:t>
      </w:r>
      <w:r>
        <w:rPr>
          <w:rFonts w:hint="eastAsia" w:eastAsia="仿宋_GB2312"/>
          <w:color w:val="auto"/>
          <w:highlight w:val="none"/>
          <w:lang w:val="en-US" w:eastAsia="zh-CN"/>
        </w:rPr>
        <w:t>3</w:t>
      </w:r>
      <w:r>
        <w:rPr>
          <w:rFonts w:eastAsia="仿宋_GB2312"/>
          <w:color w:val="auto"/>
          <w:highlight w:val="none"/>
        </w:rPr>
        <w:t>°</w:t>
      </w:r>
      <w:r>
        <w:rPr>
          <w:rFonts w:hint="eastAsia" w:eastAsia="仿宋_GB2312"/>
          <w:color w:val="auto"/>
          <w:highlight w:val="none"/>
          <w:lang w:val="en-US" w:eastAsia="zh-CN"/>
        </w:rPr>
        <w:t>35</w:t>
      </w:r>
      <w:r>
        <w:rPr>
          <w:rFonts w:eastAsia="仿宋_GB2312"/>
          <w:color w:val="auto"/>
          <w:highlight w:val="none"/>
        </w:rPr>
        <w:t>′～4</w:t>
      </w:r>
      <w:r>
        <w:rPr>
          <w:rFonts w:hint="eastAsia" w:eastAsia="仿宋_GB2312"/>
          <w:color w:val="auto"/>
          <w:highlight w:val="none"/>
          <w:lang w:val="en-US" w:eastAsia="zh-CN"/>
        </w:rPr>
        <w:t>4</w:t>
      </w:r>
      <w:r>
        <w:rPr>
          <w:rFonts w:eastAsia="仿宋_GB2312"/>
          <w:color w:val="auto"/>
          <w:highlight w:val="none"/>
        </w:rPr>
        <w:t>°</w:t>
      </w:r>
      <w:r>
        <w:rPr>
          <w:rFonts w:hint="eastAsia" w:eastAsia="仿宋_GB2312"/>
          <w:color w:val="auto"/>
          <w:highlight w:val="none"/>
          <w:lang w:val="en-US" w:eastAsia="zh-CN"/>
        </w:rPr>
        <w:t>2</w:t>
      </w:r>
      <w:r>
        <w:rPr>
          <w:rFonts w:eastAsia="仿宋_GB2312"/>
          <w:color w:val="auto"/>
          <w:highlight w:val="none"/>
        </w:rPr>
        <w:t>9′之间。</w:t>
      </w:r>
      <w:r>
        <w:rPr>
          <w:rFonts w:hint="eastAsia" w:eastAsia="仿宋_GB2312"/>
          <w:color w:val="auto"/>
          <w:highlight w:val="none"/>
        </w:rPr>
        <w:t>伊宁县域地貌类型复杂多样，划分为3类，分别为山地，丘陵和平原。</w:t>
      </w:r>
      <w:r>
        <w:rPr>
          <w:rFonts w:hint="eastAsia"/>
          <w:color w:val="auto"/>
          <w:highlight w:val="none"/>
        </w:rPr>
        <w:t>丘陵：海拔900～1500m。山前丘陵带是海西褶皱的基底上发育的山前凹陷，并接受了侏罗纪和第三纪地层组成的沉积物，还受到新构造运动的影响。褶皱发育十分明显，在吐尔逊沟两旁有第三纪红色页岩露头，前端受逆掩断层移位的影响，降落到第三阶地，古老的阶地都消割成为长岗状平坦前山丘陵地带，上面覆盖着第四纪黄土，部分长岗顶部平坦为第四纪陆地，覆有亚砂土。丘陵带为境内主要春秋草场。1200~1500m范围为森林、草甸过渡带。</w:t>
      </w:r>
    </w:p>
    <w:p>
      <w:pPr>
        <w:pStyle w:val="56"/>
        <w:ind w:firstLine="480"/>
        <w:rPr>
          <w:color w:val="auto"/>
          <w:highlight w:val="none"/>
        </w:rPr>
      </w:pPr>
      <w:r>
        <w:rPr>
          <w:color w:val="auto"/>
          <w:highlight w:val="none"/>
        </w:rPr>
        <w:t>项目区位于</w:t>
      </w:r>
      <w:r>
        <w:rPr>
          <w:rFonts w:hint="eastAsia"/>
          <w:color w:val="auto"/>
          <w:highlight w:val="none"/>
          <w:lang w:eastAsia="zh-CN"/>
        </w:rPr>
        <w:t>伊宁</w:t>
      </w:r>
      <w:r>
        <w:rPr>
          <w:color w:val="auto"/>
          <w:highlight w:val="none"/>
        </w:rPr>
        <w:t>县城，地貌属于冲洪积平原区，整体地势平坦开阔，总体南高北低，东高西低，自然地面高程在7</w:t>
      </w:r>
      <w:r>
        <w:rPr>
          <w:rFonts w:hint="eastAsia"/>
          <w:color w:val="auto"/>
          <w:highlight w:val="none"/>
          <w:lang w:val="en-US" w:eastAsia="zh-CN"/>
        </w:rPr>
        <w:t>65.87</w:t>
      </w:r>
      <w:r>
        <w:rPr>
          <w:color w:val="auto"/>
          <w:highlight w:val="none"/>
        </w:rPr>
        <w:t>m～7</w:t>
      </w:r>
      <w:r>
        <w:rPr>
          <w:rFonts w:hint="eastAsia"/>
          <w:color w:val="auto"/>
          <w:highlight w:val="none"/>
          <w:lang w:val="en-US" w:eastAsia="zh-CN"/>
        </w:rPr>
        <w:t>67.30</w:t>
      </w:r>
      <w:r>
        <w:rPr>
          <w:color w:val="auto"/>
          <w:highlight w:val="none"/>
        </w:rPr>
        <w:t>m之间，坡降</w:t>
      </w:r>
      <w:r>
        <w:rPr>
          <w:rFonts w:hint="eastAsia"/>
          <w:color w:val="auto"/>
          <w:highlight w:val="none"/>
        </w:rPr>
        <w:t>3°～6°</w:t>
      </w:r>
      <w:r>
        <w:rPr>
          <w:color w:val="auto"/>
          <w:highlight w:val="none"/>
        </w:rPr>
        <w:t>左右。本项目中心地理坐标为</w:t>
      </w:r>
      <w:r>
        <w:rPr>
          <w:rFonts w:hint="eastAsia"/>
          <w:color w:val="auto"/>
          <w:highlight w:val="none"/>
          <w:lang w:eastAsia="zh-CN"/>
        </w:rPr>
        <w:t>东经81°49′93.13″、北纬43°96′76.00″</w:t>
      </w:r>
      <w:r>
        <w:rPr>
          <w:color w:val="auto"/>
          <w:highlight w:val="none"/>
        </w:rPr>
        <w:t>。</w:t>
      </w:r>
    </w:p>
    <w:p>
      <w:pPr>
        <w:pStyle w:val="69"/>
        <w:rPr>
          <w:color w:val="auto"/>
          <w:highlight w:val="none"/>
        </w:rPr>
      </w:pPr>
      <w:r>
        <w:rPr>
          <w:color w:val="auto"/>
          <w:highlight w:val="none"/>
        </w:rPr>
        <w:t>2.7.2 地质</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1</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地形地貌</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伊宁县域地貌类型复杂多样，划分为3类，分别为山地，丘陵和平原。</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山地：科古尔琴山横卧县境北部，为博罗科努腹背斜的北西构造带断裂移位所形成，山体呈北西~东南走向，海拔1500~3500m，高山带显小，中低山面积较大，由古生代浅海滨海沉积物质和中生代陆相沉积物组成。境内东部的阿布热勒山地，受巩乃斯复向斜的纬向构造所控制，属于巩乃斯复向斜隆起部分，呈东西走向，向东延伸到新源，海拔2000m以下，属古生代和中生代的褶皱断裂构成，是境内的天然牧场。高山植被多为杂草类、珠牙蓼、高山报春、雪莲等，高山草甸多为五花草甸，以丛生禾草为主，杂类有高大过人的乌头、大蓟、飞燕草等；中山和亚高山带约有0.67万hm</w:t>
      </w:r>
      <w:r>
        <w:rPr>
          <w:rFonts w:hint="default" w:ascii="Times New Roman" w:hAnsi="Times New Roman" w:eastAsia="仿宋_GB2312" w:cs="Times New Roman"/>
          <w:color w:val="auto"/>
          <w:highlight w:val="none"/>
          <w:vertAlign w:val="superscript"/>
        </w:rPr>
        <w:t>2</w:t>
      </w:r>
      <w:r>
        <w:rPr>
          <w:rFonts w:hint="default" w:ascii="Times New Roman" w:hAnsi="Times New Roman" w:eastAsia="仿宋_GB2312" w:cs="Times New Roman"/>
          <w:color w:val="auto"/>
          <w:highlight w:val="none"/>
        </w:rPr>
        <w:t>雪岭云杉。</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丘陵：海拔900～1500m。山前丘陵带是海西褶皱的基底上发育的山前凹陷，并接受了侏罗纪和第三纪地层组成的沉积物，还受到新构造运动的影响。褶皱发育十分明显，在吐尔逊沟两旁有第三纪红色页岩露头，前端受逆掩断层移位的影响，降落到第三阶地，古老的阶地都消割成为长岗状平坦前山丘陵地带，上面覆盖着第四纪黄土，部分长岗顶部平坦为第四纪陆地，覆有亚砂土。丘陵带为境内主要春秋草场。1200~1500m范围为森林、草甸过渡带。</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平原：可分为科古尔琴山的山前冲积—洪积倾斜平原与它正相交的伊犁河冲积平原两部分。山前洪积—冲积倾斜平原从长岗前缘往南，宽约8~10km，在新构造运动的影响下，山地大幅度地抬高，河流下切，受风蚀及流水的冲刷搬运使山地碎屑物质堆积在平原上，随着地形坡度的减缓，河流搬运能力的减弱，物质组成也从北到南，由粗变细。</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地层岩性</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伊犁盆地两侧山区主要分布有古生界奥陶系、志留系、石炭系、二叠系地层，山前丘陵区分布有中生界三叠系、侏罗系和新生界第三系、第四系地层。盆地内分布第四系地层。现分述如下：</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（1）奥陶系：分布于北侧的科古琴山，为灰色、灰绿色石英一绢云母片岩、夹灰色砂岩、灰岩及少量砾岩，厚度可达3000m。</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（2）志留系：分布于北侧的科古琴山，阿吾拉勒山和南侧的乌孙山，为一套浅海相滨海相沉积，并夹有火山喷发物的粉砂岩，碳质泥质页岩，总厚度大于1000m，与上奥陶系呈不整合接触。</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（3）泥盆系：盆地两侧山区均有出露，岩性主要为灰岩，砂砾岩及火山碎屑岩， 厚度约600m，与志留系呈不整合接触。</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（4）石炭系：南北山区均有出露，岩性为灰岩、砂岩、砾岩，厚度约300m，与泥盆系呈不整合接触。</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（5）二叠系：南北山区均有出露，岩性为火山碎屑岩，凝灰砂岩，砾岩及少量灰岩，厚度约1300～3400m，与石炭系呈不整合接触。</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（6）三叠系：分布在南北山前丘陵区，岩性为砂岩、砾岩，厚度约203～445m。</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（7）侏罗系：在南北山前丘陵的沟谷中出露，岩性为砂岩、砾岩，含厚度不同的煤层。厚度约1300m。</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（8）第三系：分布在山前丘陵顶部及盆地边缘，岩性为红综色砂岩、砾岩、泥岩，厚度约350m，与侏罗系地层呈不整合接触。</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（9）第四系：</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①中更新统：主要分布在盆地南部山前丘陵区，岩性为冰水沉积的灰褐色砂砾石。上更新统分布在山前丘陵顶部为淡黄色黄土，厚度约30～50m。</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②上更新统--全新统，主要分布在盆地内伊犁河干、支流两侧Ⅱ、Ⅲ级阶地及其以上的冲洪积扇区，岩性：上覆1～10m厚的黄土，下伏砂卵砾石层，厚度约40～50m。</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③全新统主要分布在河流的河床、河漫滩及Ⅰ级阶地上。岩性：上部为0.8～5.8m</w:t>
      </w:r>
    </w:p>
    <w:p>
      <w:pPr>
        <w:pStyle w:val="56"/>
        <w:ind w:left="0" w:leftChars="0" w:firstLine="0"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厚的低液限粉土；下部有砂砾石和砂卵砾石，厚度大于15m。</w:t>
      </w:r>
    </w:p>
    <w:p>
      <w:pPr>
        <w:pStyle w:val="69"/>
        <w:rPr>
          <w:color w:val="auto"/>
          <w:highlight w:val="none"/>
        </w:rPr>
      </w:pPr>
      <w:r>
        <w:rPr>
          <w:color w:val="auto"/>
          <w:highlight w:val="none"/>
        </w:rPr>
        <w:t xml:space="preserve">2.7.3 </w:t>
      </w:r>
      <w:r>
        <w:rPr>
          <w:rFonts w:hint="eastAsia" w:ascii="Times New Roman" w:hAnsi="Times New Roman" w:eastAsia="仿宋_GB2312" w:cs="Times New Roman"/>
          <w:b/>
          <w:bCs/>
          <w:snapToGrid/>
          <w:color w:val="auto"/>
          <w:kern w:val="2"/>
          <w:sz w:val="28"/>
          <w:szCs w:val="32"/>
          <w:highlight w:val="none"/>
          <w:lang w:val="en-US" w:eastAsia="zh-CN" w:bidi="ar-SA"/>
        </w:rPr>
        <w:t>气候、</w:t>
      </w:r>
      <w:r>
        <w:rPr>
          <w:color w:val="auto"/>
          <w:highlight w:val="none"/>
        </w:rPr>
        <w:t>气象</w:t>
      </w:r>
    </w:p>
    <w:p>
      <w:pPr>
        <w:pStyle w:val="56"/>
        <w:ind w:firstLine="480"/>
        <w:rPr>
          <w:color w:val="auto"/>
          <w:highlight w:val="none"/>
        </w:rPr>
      </w:pPr>
      <w:bookmarkStart w:id="84" w:name="_Toc234207293"/>
      <w:bookmarkStart w:id="85" w:name="_Toc228880925"/>
      <w:r>
        <w:rPr>
          <w:rFonts w:hint="eastAsia"/>
          <w:color w:val="auto"/>
          <w:highlight w:val="none"/>
          <w:lang w:eastAsia="zh-CN"/>
        </w:rPr>
        <w:t>本项目位于伊宁县城</w:t>
      </w:r>
      <w:r>
        <w:rPr>
          <w:color w:val="auto"/>
          <w:highlight w:val="none"/>
        </w:rPr>
        <w:t>，因此可参照</w:t>
      </w:r>
      <w:r>
        <w:rPr>
          <w:rFonts w:hint="eastAsia"/>
          <w:color w:val="auto"/>
          <w:highlight w:val="none"/>
          <w:lang w:eastAsia="zh-CN"/>
        </w:rPr>
        <w:t>伊宁</w:t>
      </w:r>
      <w:r>
        <w:rPr>
          <w:color w:val="auto"/>
          <w:highlight w:val="none"/>
        </w:rPr>
        <w:t>县气象监测数据。</w:t>
      </w:r>
      <w:r>
        <w:rPr>
          <w:rFonts w:hint="eastAsia"/>
          <w:color w:val="auto"/>
          <w:highlight w:val="none"/>
          <w:lang w:eastAsia="zh-CN"/>
        </w:rPr>
        <w:t>伊宁</w:t>
      </w:r>
      <w:r>
        <w:rPr>
          <w:color w:val="auto"/>
          <w:highlight w:val="none"/>
        </w:rPr>
        <w:t>县属北温带大陆性半干旱气候，气候温和，空气湿润，夏季较热，冬少严寒。多年平均气温</w:t>
      </w:r>
      <w:r>
        <w:rPr>
          <w:rFonts w:hint="eastAsia"/>
          <w:color w:val="auto"/>
          <w:highlight w:val="none"/>
          <w:lang w:eastAsia="zh-CN"/>
        </w:rPr>
        <w:t>10.4℃</w:t>
      </w:r>
      <w:r>
        <w:rPr>
          <w:color w:val="auto"/>
          <w:highlight w:val="none"/>
        </w:rPr>
        <w:t>，</w:t>
      </w:r>
      <w:r>
        <w:rPr>
          <w:rFonts w:hint="eastAsia"/>
          <w:color w:val="auto"/>
          <w:highlight w:val="none"/>
        </w:rPr>
        <w:t>最低气温出现在2月，月平均气温－8.2℃，最高气温出现在7月，月平均气温24.6℃，极端最高气温39.7℃，极端最低气温－34.3℃。大于10℃积温在3150℃～3500℃之间。无霜期多年平均为163天，最长187天，最短135天。年平均降水量309mm，分布不均，3～8月份占全年降水量的63％，秋季（9月～11月）占11%；冬季（12月～2月）占26%。最大月降水量40.9mm，出现在3月，最小月降水量3.6mm，出现在10月。连续最大四个月降水量（3月～6月）为154.8mm，占年降水量的50.1%。项目区多年平均水面蒸发量为942.2mm。水面蒸发量的年内分配比较均匀，连续最大四个月（5月～8月）水面蒸发量占全年蒸发量的59.6%。最大月水面蒸发量出现在7月，占全年水面蒸发量的16.4%，最小月水面蒸发量出现在1月，占全年水面蒸发量的1.2%。水面蒸发量的季节性变化比较明显，春季水面蒸发量占全年水面蒸发量的28.4%，夏季占46.7%，秋季占20.7%，冬季占4.2%。项目区年均风速2m/s，春季偏大，有时可达3.5m/s，冬季最小，夏季容易出现瞬间大于或等于9级以上的大风。大于或等于8级以上的大风全年平均出现12次，风向以西北风为主，其次有偏东风。项目区最大冻土深度1.20m，平均冻土深度0.95m。</w:t>
      </w:r>
      <w:r>
        <w:rPr>
          <w:color w:val="auto"/>
          <w:highlight w:val="none"/>
        </w:rPr>
        <w:t>气象要素指标详见下表2.7-2。</w:t>
      </w:r>
    </w:p>
    <w:p>
      <w:pPr>
        <w:pStyle w:val="75"/>
        <w:rPr>
          <w:color w:val="auto"/>
          <w:highlight w:val="none"/>
        </w:rPr>
      </w:pPr>
      <w:r>
        <w:rPr>
          <w:color w:val="auto"/>
          <w:highlight w:val="none"/>
        </w:rPr>
        <w:t>表2.7-1   项目区主要气象要素特征值</w:t>
      </w:r>
    </w:p>
    <w:tbl>
      <w:tblPr>
        <w:tblStyle w:val="27"/>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218"/>
        <w:gridCol w:w="2219"/>
        <w:gridCol w:w="24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2377" w:type="pct"/>
            <w:tcBorders>
              <w:tl2br w:val="nil"/>
              <w:tr2bl w:val="nil"/>
            </w:tcBorders>
            <w:vAlign w:val="center"/>
          </w:tcPr>
          <w:p>
            <w:pPr>
              <w:pStyle w:val="84"/>
              <w:bidi w:val="0"/>
              <w:rPr>
                <w:color w:val="auto"/>
                <w:highlight w:val="none"/>
              </w:rPr>
            </w:pPr>
            <w:r>
              <w:rPr>
                <w:color w:val="auto"/>
                <w:highlight w:val="none"/>
              </w:rPr>
              <w:t>项目</w:t>
            </w:r>
          </w:p>
        </w:tc>
        <w:tc>
          <w:tcPr>
            <w:tcW w:w="1250" w:type="pct"/>
            <w:tcBorders>
              <w:tl2br w:val="nil"/>
              <w:tr2bl w:val="nil"/>
            </w:tcBorders>
            <w:vAlign w:val="center"/>
          </w:tcPr>
          <w:p>
            <w:pPr>
              <w:pStyle w:val="84"/>
              <w:bidi w:val="0"/>
              <w:rPr>
                <w:color w:val="auto"/>
                <w:highlight w:val="none"/>
              </w:rPr>
            </w:pPr>
            <w:r>
              <w:rPr>
                <w:color w:val="auto"/>
                <w:highlight w:val="none"/>
              </w:rPr>
              <w:t>单位</w:t>
            </w:r>
          </w:p>
        </w:tc>
        <w:tc>
          <w:tcPr>
            <w:tcW w:w="1372" w:type="pct"/>
            <w:tcBorders>
              <w:tl2br w:val="nil"/>
              <w:tr2bl w:val="nil"/>
            </w:tcBorders>
            <w:vAlign w:val="center"/>
          </w:tcPr>
          <w:p>
            <w:pPr>
              <w:pStyle w:val="84"/>
              <w:bidi w:val="0"/>
              <w:rPr>
                <w:color w:val="auto"/>
                <w:highlight w:val="none"/>
              </w:rPr>
            </w:pPr>
            <w:r>
              <w:rPr>
                <w:color w:val="auto"/>
                <w:highlight w:val="none"/>
              </w:rPr>
              <w:t>温度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2377" w:type="pct"/>
            <w:tcBorders>
              <w:tl2br w:val="nil"/>
              <w:tr2bl w:val="nil"/>
            </w:tcBorders>
            <w:vAlign w:val="center"/>
          </w:tcPr>
          <w:p>
            <w:pPr>
              <w:pStyle w:val="84"/>
              <w:bidi w:val="0"/>
              <w:rPr>
                <w:color w:val="auto"/>
                <w:highlight w:val="none"/>
              </w:rPr>
            </w:pPr>
            <w:r>
              <w:rPr>
                <w:color w:val="auto"/>
                <w:highlight w:val="none"/>
              </w:rPr>
              <w:t>多年平均气温</w:t>
            </w:r>
          </w:p>
        </w:tc>
        <w:tc>
          <w:tcPr>
            <w:tcW w:w="1250" w:type="pct"/>
            <w:tcBorders>
              <w:tl2br w:val="nil"/>
              <w:tr2bl w:val="nil"/>
            </w:tcBorders>
            <w:vAlign w:val="center"/>
          </w:tcPr>
          <w:p>
            <w:pPr>
              <w:pStyle w:val="84"/>
              <w:bidi w:val="0"/>
              <w:rPr>
                <w:color w:val="auto"/>
                <w:highlight w:val="none"/>
              </w:rPr>
            </w:pPr>
            <w:r>
              <w:rPr>
                <w:rFonts w:hint="eastAsia"/>
                <w:color w:val="auto"/>
                <w:highlight w:val="none"/>
              </w:rPr>
              <w:t>℃</w:t>
            </w:r>
          </w:p>
        </w:tc>
        <w:tc>
          <w:tcPr>
            <w:tcW w:w="1372" w:type="pct"/>
            <w:tcBorders>
              <w:tl2br w:val="nil"/>
              <w:tr2bl w:val="nil"/>
            </w:tcBorders>
            <w:vAlign w:val="center"/>
          </w:tcPr>
          <w:p>
            <w:pPr>
              <w:pStyle w:val="84"/>
              <w:bidi w:val="0"/>
              <w:rPr>
                <w:color w:val="auto"/>
                <w:highlight w:val="none"/>
              </w:rPr>
            </w:pPr>
            <w:r>
              <w:rPr>
                <w:rFonts w:hint="eastAsia"/>
                <w:color w:val="auto"/>
                <w:highlight w:val="none"/>
                <w:lang w:val="en-US" w:eastAsia="zh-CN"/>
              </w:rPr>
              <w:t>10</w:t>
            </w:r>
            <w:r>
              <w:rPr>
                <w:color w:val="auto"/>
                <w:highlight w:val="none"/>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2377" w:type="pct"/>
            <w:tcBorders>
              <w:tl2br w:val="nil"/>
              <w:tr2bl w:val="nil"/>
            </w:tcBorders>
            <w:vAlign w:val="center"/>
          </w:tcPr>
          <w:p>
            <w:pPr>
              <w:pStyle w:val="84"/>
              <w:bidi w:val="0"/>
              <w:rPr>
                <w:color w:val="auto"/>
                <w:highlight w:val="none"/>
              </w:rPr>
            </w:pPr>
            <w:r>
              <w:rPr>
                <w:color w:val="auto"/>
                <w:highlight w:val="none"/>
              </w:rPr>
              <w:t>极端最低气温</w:t>
            </w:r>
          </w:p>
        </w:tc>
        <w:tc>
          <w:tcPr>
            <w:tcW w:w="1250" w:type="pct"/>
            <w:tcBorders>
              <w:tl2br w:val="nil"/>
              <w:tr2bl w:val="nil"/>
            </w:tcBorders>
            <w:vAlign w:val="center"/>
          </w:tcPr>
          <w:p>
            <w:pPr>
              <w:pStyle w:val="84"/>
              <w:bidi w:val="0"/>
              <w:rPr>
                <w:color w:val="auto"/>
                <w:highlight w:val="none"/>
              </w:rPr>
            </w:pPr>
            <w:r>
              <w:rPr>
                <w:rFonts w:hint="eastAsia"/>
                <w:color w:val="auto"/>
                <w:highlight w:val="none"/>
              </w:rPr>
              <w:t>℃</w:t>
            </w:r>
          </w:p>
        </w:tc>
        <w:tc>
          <w:tcPr>
            <w:tcW w:w="1372" w:type="pct"/>
            <w:tcBorders>
              <w:tl2br w:val="nil"/>
              <w:tr2bl w:val="nil"/>
            </w:tcBorders>
            <w:vAlign w:val="center"/>
          </w:tcPr>
          <w:p>
            <w:pPr>
              <w:pStyle w:val="84"/>
              <w:bidi w:val="0"/>
              <w:rPr>
                <w:rFonts w:hint="default"/>
                <w:color w:val="auto"/>
                <w:highlight w:val="none"/>
                <w:lang w:val="en-US" w:eastAsia="zh-CN"/>
              </w:rPr>
            </w:pPr>
            <w:r>
              <w:rPr>
                <w:color w:val="auto"/>
                <w:highlight w:val="none"/>
              </w:rPr>
              <w:t>-3</w:t>
            </w:r>
            <w:r>
              <w:rPr>
                <w:rFonts w:hint="eastAsia"/>
                <w:color w:val="auto"/>
                <w:highlight w:val="none"/>
                <w:lang w:val="en-US" w:eastAsia="zh-CN"/>
              </w:rPr>
              <w:t>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2377" w:type="pct"/>
            <w:tcBorders>
              <w:tl2br w:val="nil"/>
              <w:tr2bl w:val="nil"/>
            </w:tcBorders>
            <w:vAlign w:val="center"/>
          </w:tcPr>
          <w:p>
            <w:pPr>
              <w:pStyle w:val="84"/>
              <w:bidi w:val="0"/>
              <w:rPr>
                <w:color w:val="auto"/>
                <w:highlight w:val="none"/>
              </w:rPr>
            </w:pPr>
            <w:r>
              <w:rPr>
                <w:color w:val="auto"/>
                <w:highlight w:val="none"/>
              </w:rPr>
              <w:t>极端最高气温</w:t>
            </w:r>
          </w:p>
        </w:tc>
        <w:tc>
          <w:tcPr>
            <w:tcW w:w="1250" w:type="pct"/>
            <w:tcBorders>
              <w:tl2br w:val="nil"/>
              <w:tr2bl w:val="nil"/>
            </w:tcBorders>
            <w:vAlign w:val="center"/>
          </w:tcPr>
          <w:p>
            <w:pPr>
              <w:pStyle w:val="84"/>
              <w:bidi w:val="0"/>
              <w:rPr>
                <w:color w:val="auto"/>
                <w:highlight w:val="none"/>
              </w:rPr>
            </w:pPr>
            <w:r>
              <w:rPr>
                <w:rFonts w:hint="eastAsia"/>
                <w:color w:val="auto"/>
                <w:highlight w:val="none"/>
              </w:rPr>
              <w:t>℃</w:t>
            </w:r>
          </w:p>
        </w:tc>
        <w:tc>
          <w:tcPr>
            <w:tcW w:w="1372" w:type="pct"/>
            <w:tcBorders>
              <w:tl2br w:val="nil"/>
              <w:tr2bl w:val="nil"/>
            </w:tcBorders>
            <w:vAlign w:val="center"/>
          </w:tcPr>
          <w:p>
            <w:pPr>
              <w:pStyle w:val="84"/>
              <w:bidi w:val="0"/>
              <w:rPr>
                <w:rFonts w:hint="eastAsia"/>
                <w:color w:val="auto"/>
                <w:highlight w:val="none"/>
                <w:lang w:eastAsia="zh-CN"/>
              </w:rPr>
            </w:pPr>
            <w:r>
              <w:rPr>
                <w:color w:val="auto"/>
                <w:highlight w:val="none"/>
              </w:rPr>
              <w:t>39.</w:t>
            </w:r>
            <w:r>
              <w:rPr>
                <w:rFonts w:hint="eastAsia"/>
                <w:color w:val="auto"/>
                <w:highlight w:val="none"/>
                <w:lang w:val="en-US" w:eastAsia="zh-CN"/>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2377" w:type="pct"/>
            <w:tcBorders>
              <w:tl2br w:val="nil"/>
              <w:tr2bl w:val="nil"/>
            </w:tcBorders>
            <w:vAlign w:val="center"/>
          </w:tcPr>
          <w:p>
            <w:pPr>
              <w:pStyle w:val="84"/>
              <w:bidi w:val="0"/>
              <w:rPr>
                <w:color w:val="auto"/>
                <w:highlight w:val="none"/>
              </w:rPr>
            </w:pPr>
            <w:r>
              <w:rPr>
                <w:color w:val="auto"/>
                <w:highlight w:val="none"/>
              </w:rPr>
              <w:t>多年平均蒸发量</w:t>
            </w:r>
          </w:p>
        </w:tc>
        <w:tc>
          <w:tcPr>
            <w:tcW w:w="1250" w:type="pct"/>
            <w:tcBorders>
              <w:tl2br w:val="nil"/>
              <w:tr2bl w:val="nil"/>
            </w:tcBorders>
            <w:vAlign w:val="center"/>
          </w:tcPr>
          <w:p>
            <w:pPr>
              <w:pStyle w:val="84"/>
              <w:bidi w:val="0"/>
              <w:rPr>
                <w:color w:val="auto"/>
                <w:highlight w:val="none"/>
              </w:rPr>
            </w:pPr>
            <w:r>
              <w:rPr>
                <w:color w:val="auto"/>
                <w:highlight w:val="none"/>
              </w:rPr>
              <w:t>mm</w:t>
            </w:r>
          </w:p>
        </w:tc>
        <w:tc>
          <w:tcPr>
            <w:tcW w:w="1372" w:type="pct"/>
            <w:tcBorders>
              <w:tl2br w:val="nil"/>
              <w:tr2bl w:val="nil"/>
            </w:tcBorders>
            <w:vAlign w:val="center"/>
          </w:tcPr>
          <w:p>
            <w:pPr>
              <w:pStyle w:val="84"/>
              <w:bidi w:val="0"/>
              <w:rPr>
                <w:color w:val="auto"/>
                <w:highlight w:val="none"/>
              </w:rPr>
            </w:pPr>
            <w:r>
              <w:rPr>
                <w:rFonts w:hint="eastAsia"/>
                <w:color w:val="auto"/>
                <w:highlight w:val="none"/>
                <w:lang w:val="en-US" w:eastAsia="zh-CN"/>
              </w:rPr>
              <w:t>942.2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2377" w:type="pct"/>
            <w:tcBorders>
              <w:tl2br w:val="nil"/>
              <w:tr2bl w:val="nil"/>
            </w:tcBorders>
            <w:vAlign w:val="center"/>
          </w:tcPr>
          <w:p>
            <w:pPr>
              <w:pStyle w:val="84"/>
              <w:bidi w:val="0"/>
              <w:rPr>
                <w:color w:val="auto"/>
                <w:highlight w:val="none"/>
              </w:rPr>
            </w:pPr>
            <w:r>
              <w:rPr>
                <w:color w:val="auto"/>
                <w:highlight w:val="none"/>
              </w:rPr>
              <w:t>多年平均冻土深度</w:t>
            </w:r>
          </w:p>
        </w:tc>
        <w:tc>
          <w:tcPr>
            <w:tcW w:w="1250" w:type="pct"/>
            <w:tcBorders>
              <w:tl2br w:val="nil"/>
              <w:tr2bl w:val="nil"/>
            </w:tcBorders>
            <w:vAlign w:val="center"/>
          </w:tcPr>
          <w:p>
            <w:pPr>
              <w:pStyle w:val="84"/>
              <w:bidi w:val="0"/>
              <w:rPr>
                <w:color w:val="auto"/>
                <w:highlight w:val="none"/>
              </w:rPr>
            </w:pPr>
            <w:r>
              <w:rPr>
                <w:color w:val="auto"/>
                <w:highlight w:val="none"/>
              </w:rPr>
              <w:t>m</w:t>
            </w:r>
          </w:p>
        </w:tc>
        <w:tc>
          <w:tcPr>
            <w:tcW w:w="1372" w:type="pct"/>
            <w:tcBorders>
              <w:tl2br w:val="nil"/>
              <w:tr2bl w:val="nil"/>
            </w:tcBorders>
            <w:vAlign w:val="center"/>
          </w:tcPr>
          <w:p>
            <w:pPr>
              <w:pStyle w:val="84"/>
              <w:bidi w:val="0"/>
              <w:rPr>
                <w:color w:val="auto"/>
                <w:highlight w:val="none"/>
              </w:rPr>
            </w:pPr>
            <w:r>
              <w:rPr>
                <w:rFonts w:hint="eastAsia"/>
                <w:color w:val="auto"/>
                <w:highlight w:val="none"/>
                <w:lang w:val="en-US" w:eastAsia="zh-CN"/>
              </w:rPr>
              <w:t>0.95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2377" w:type="pct"/>
            <w:tcBorders>
              <w:tl2br w:val="nil"/>
              <w:tr2bl w:val="nil"/>
            </w:tcBorders>
            <w:vAlign w:val="center"/>
          </w:tcPr>
          <w:p>
            <w:pPr>
              <w:pStyle w:val="84"/>
              <w:bidi w:val="0"/>
              <w:rPr>
                <w:color w:val="auto"/>
                <w:highlight w:val="none"/>
              </w:rPr>
            </w:pPr>
            <w:r>
              <w:rPr>
                <w:color w:val="auto"/>
                <w:highlight w:val="none"/>
              </w:rPr>
              <w:t>历年最大冻土深度</w:t>
            </w:r>
          </w:p>
        </w:tc>
        <w:tc>
          <w:tcPr>
            <w:tcW w:w="1250" w:type="pct"/>
            <w:tcBorders>
              <w:tl2br w:val="nil"/>
              <w:tr2bl w:val="nil"/>
            </w:tcBorders>
            <w:vAlign w:val="center"/>
          </w:tcPr>
          <w:p>
            <w:pPr>
              <w:pStyle w:val="84"/>
              <w:bidi w:val="0"/>
              <w:rPr>
                <w:color w:val="auto"/>
                <w:highlight w:val="none"/>
              </w:rPr>
            </w:pPr>
            <w:r>
              <w:rPr>
                <w:color w:val="auto"/>
                <w:highlight w:val="none"/>
              </w:rPr>
              <w:t>m</w:t>
            </w:r>
          </w:p>
        </w:tc>
        <w:tc>
          <w:tcPr>
            <w:tcW w:w="1372" w:type="pct"/>
            <w:tcBorders>
              <w:tl2br w:val="nil"/>
              <w:tr2bl w:val="nil"/>
            </w:tcBorders>
            <w:vAlign w:val="center"/>
          </w:tcPr>
          <w:p>
            <w:pPr>
              <w:pStyle w:val="84"/>
              <w:bidi w:val="0"/>
              <w:rPr>
                <w:color w:val="auto"/>
                <w:highlight w:val="none"/>
              </w:rPr>
            </w:pPr>
            <w:r>
              <w:rPr>
                <w:rFonts w:hint="eastAsia"/>
                <w:color w:val="auto"/>
                <w:highlight w:val="none"/>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2377" w:type="pct"/>
            <w:tcBorders>
              <w:tl2br w:val="nil"/>
              <w:tr2bl w:val="nil"/>
            </w:tcBorders>
            <w:vAlign w:val="center"/>
          </w:tcPr>
          <w:p>
            <w:pPr>
              <w:pStyle w:val="84"/>
              <w:bidi w:val="0"/>
              <w:rPr>
                <w:color w:val="auto"/>
                <w:highlight w:val="none"/>
              </w:rPr>
            </w:pPr>
            <w:r>
              <w:rPr>
                <w:color w:val="auto"/>
                <w:highlight w:val="none"/>
              </w:rPr>
              <w:t>多年平均风速/最多风向</w:t>
            </w:r>
          </w:p>
        </w:tc>
        <w:tc>
          <w:tcPr>
            <w:tcW w:w="1250" w:type="pct"/>
            <w:tcBorders>
              <w:tl2br w:val="nil"/>
              <w:tr2bl w:val="nil"/>
            </w:tcBorders>
            <w:vAlign w:val="center"/>
          </w:tcPr>
          <w:p>
            <w:pPr>
              <w:pStyle w:val="84"/>
              <w:bidi w:val="0"/>
              <w:rPr>
                <w:color w:val="auto"/>
                <w:highlight w:val="none"/>
              </w:rPr>
            </w:pPr>
            <w:r>
              <w:rPr>
                <w:color w:val="auto"/>
                <w:highlight w:val="none"/>
              </w:rPr>
              <w:t>m/s</w:t>
            </w:r>
          </w:p>
        </w:tc>
        <w:tc>
          <w:tcPr>
            <w:tcW w:w="1372" w:type="pct"/>
            <w:tcBorders>
              <w:tl2br w:val="nil"/>
              <w:tr2bl w:val="nil"/>
            </w:tcBorders>
            <w:vAlign w:val="center"/>
          </w:tcPr>
          <w:p>
            <w:pPr>
              <w:pStyle w:val="84"/>
              <w:bidi w:val="0"/>
              <w:rPr>
                <w:color w:val="auto"/>
                <w:highlight w:val="none"/>
              </w:rPr>
            </w:pPr>
            <w:r>
              <w:rPr>
                <w:color w:val="auto"/>
                <w:highlight w:val="none"/>
              </w:rPr>
              <w:t>2.</w:t>
            </w:r>
            <w:r>
              <w:rPr>
                <w:rFonts w:hint="eastAsia"/>
                <w:color w:val="auto"/>
                <w:highlight w:val="none"/>
                <w:lang w:val="en-US" w:eastAsia="zh-CN"/>
              </w:rPr>
              <w:t>0</w:t>
            </w:r>
            <w:r>
              <w:rPr>
                <w:color w:val="auto"/>
                <w:highlight w:val="none"/>
              </w:rPr>
              <w:t>/</w:t>
            </w:r>
            <w:r>
              <w:rPr>
                <w:rFonts w:hint="eastAsia"/>
                <w:color w:val="auto"/>
                <w:highlight w:val="none"/>
                <w:lang w:val="en-US" w:eastAsia="zh-CN"/>
              </w:rPr>
              <w:t>sw</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2377" w:type="pct"/>
            <w:tcBorders>
              <w:tl2br w:val="nil"/>
              <w:tr2bl w:val="nil"/>
            </w:tcBorders>
            <w:vAlign w:val="center"/>
          </w:tcPr>
          <w:p>
            <w:pPr>
              <w:pStyle w:val="84"/>
              <w:bidi w:val="0"/>
              <w:rPr>
                <w:color w:val="auto"/>
                <w:highlight w:val="none"/>
              </w:rPr>
            </w:pPr>
            <w:r>
              <w:rPr>
                <w:color w:val="auto"/>
                <w:highlight w:val="none"/>
              </w:rPr>
              <w:t>多年平均降水量</w:t>
            </w:r>
          </w:p>
        </w:tc>
        <w:tc>
          <w:tcPr>
            <w:tcW w:w="1250" w:type="pct"/>
            <w:tcBorders>
              <w:tl2br w:val="nil"/>
              <w:tr2bl w:val="nil"/>
            </w:tcBorders>
            <w:vAlign w:val="center"/>
          </w:tcPr>
          <w:p>
            <w:pPr>
              <w:pStyle w:val="84"/>
              <w:bidi w:val="0"/>
              <w:rPr>
                <w:color w:val="auto"/>
                <w:highlight w:val="none"/>
              </w:rPr>
            </w:pPr>
            <w:r>
              <w:rPr>
                <w:color w:val="auto"/>
                <w:highlight w:val="none"/>
              </w:rPr>
              <w:t>mm</w:t>
            </w:r>
          </w:p>
        </w:tc>
        <w:tc>
          <w:tcPr>
            <w:tcW w:w="1372" w:type="pct"/>
            <w:tcBorders>
              <w:tl2br w:val="nil"/>
              <w:tr2bl w:val="nil"/>
            </w:tcBorders>
            <w:vAlign w:val="center"/>
          </w:tcPr>
          <w:p>
            <w:pPr>
              <w:pStyle w:val="84"/>
              <w:bidi w:val="0"/>
              <w:rPr>
                <w:rFonts w:hint="default"/>
                <w:color w:val="auto"/>
                <w:highlight w:val="none"/>
                <w:lang w:val="en-US" w:eastAsia="zh-CN"/>
              </w:rPr>
            </w:pPr>
            <w:r>
              <w:rPr>
                <w:rFonts w:hint="eastAsia"/>
                <w:color w:val="auto"/>
                <w:highlight w:val="none"/>
                <w:lang w:val="en-US" w:eastAsia="zh-CN"/>
              </w:rPr>
              <w:t>309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2377" w:type="pct"/>
            <w:tcBorders>
              <w:tl2br w:val="nil"/>
              <w:tr2bl w:val="nil"/>
            </w:tcBorders>
            <w:vAlign w:val="center"/>
          </w:tcPr>
          <w:p>
            <w:pPr>
              <w:pStyle w:val="84"/>
              <w:bidi w:val="0"/>
              <w:rPr>
                <w:rFonts w:hint="eastAsia" w:eastAsia="仿宋_GB2312"/>
                <w:color w:val="auto"/>
                <w:highlight w:val="none"/>
                <w:lang w:eastAsia="zh-CN"/>
              </w:rPr>
            </w:pPr>
            <w:r>
              <w:rPr>
                <w:rFonts w:hint="eastAsia"/>
                <w:color w:val="auto"/>
                <w:highlight w:val="none"/>
                <w:lang w:eastAsia="zh-CN"/>
              </w:rPr>
              <w:t>最大月降水量</w:t>
            </w:r>
          </w:p>
        </w:tc>
        <w:tc>
          <w:tcPr>
            <w:tcW w:w="1250" w:type="pct"/>
            <w:tcBorders>
              <w:tl2br w:val="nil"/>
              <w:tr2bl w:val="nil"/>
            </w:tcBorders>
            <w:vAlign w:val="center"/>
          </w:tcPr>
          <w:p>
            <w:pPr>
              <w:pStyle w:val="84"/>
              <w:bidi w:val="0"/>
              <w:rPr>
                <w:color w:val="auto"/>
                <w:highlight w:val="none"/>
              </w:rPr>
            </w:pPr>
            <w:r>
              <w:rPr>
                <w:rFonts w:hint="eastAsia"/>
                <w:color w:val="auto"/>
                <w:highlight w:val="none"/>
              </w:rPr>
              <w:t>mm</w:t>
            </w:r>
          </w:p>
        </w:tc>
        <w:tc>
          <w:tcPr>
            <w:tcW w:w="1372" w:type="pct"/>
            <w:tcBorders>
              <w:tl2br w:val="nil"/>
              <w:tr2bl w:val="nil"/>
            </w:tcBorders>
            <w:vAlign w:val="center"/>
          </w:tcPr>
          <w:p>
            <w:pPr>
              <w:pStyle w:val="84"/>
              <w:bidi w:val="0"/>
              <w:rPr>
                <w:rFonts w:hint="default"/>
                <w:color w:val="auto"/>
                <w:highlight w:val="none"/>
                <w:lang w:val="en-US" w:eastAsia="zh-CN"/>
              </w:rPr>
            </w:pPr>
            <w:r>
              <w:rPr>
                <w:rFonts w:hint="eastAsia"/>
                <w:color w:val="auto"/>
                <w:highlight w:val="none"/>
                <w:lang w:val="en-US" w:eastAsia="zh-CN"/>
              </w:rPr>
              <w:t>154.8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2377" w:type="pct"/>
            <w:tcBorders>
              <w:tl2br w:val="nil"/>
              <w:tr2bl w:val="nil"/>
            </w:tcBorders>
            <w:vAlign w:val="center"/>
          </w:tcPr>
          <w:p>
            <w:pPr>
              <w:pStyle w:val="84"/>
              <w:bidi w:val="0"/>
              <w:rPr>
                <w:rFonts w:hint="eastAsia"/>
                <w:color w:val="auto"/>
                <w:highlight w:val="none"/>
                <w:lang w:eastAsia="zh-CN"/>
              </w:rPr>
            </w:pPr>
            <w:r>
              <w:rPr>
                <w:rFonts w:hint="eastAsia"/>
                <w:color w:val="auto"/>
                <w:highlight w:val="none"/>
                <w:lang w:eastAsia="zh-CN"/>
              </w:rPr>
              <w:t>最小月降水量</w:t>
            </w:r>
          </w:p>
        </w:tc>
        <w:tc>
          <w:tcPr>
            <w:tcW w:w="1250" w:type="pct"/>
            <w:tcBorders>
              <w:tl2br w:val="nil"/>
              <w:tr2bl w:val="nil"/>
            </w:tcBorders>
            <w:vAlign w:val="center"/>
          </w:tcPr>
          <w:p>
            <w:pPr>
              <w:pStyle w:val="84"/>
              <w:bidi w:val="0"/>
              <w:rPr>
                <w:rFonts w:hint="default" w:eastAsia="仿宋_GB2312"/>
                <w:color w:val="auto"/>
                <w:highlight w:val="none"/>
                <w:lang w:val="en-US" w:eastAsia="zh-CN"/>
              </w:rPr>
            </w:pPr>
            <w:r>
              <w:rPr>
                <w:rFonts w:hint="eastAsia"/>
                <w:color w:val="auto"/>
                <w:highlight w:val="none"/>
                <w:lang w:val="en-US" w:eastAsia="zh-CN"/>
              </w:rPr>
              <w:t>mm</w:t>
            </w:r>
          </w:p>
        </w:tc>
        <w:tc>
          <w:tcPr>
            <w:tcW w:w="1372" w:type="pct"/>
            <w:tcBorders>
              <w:tl2br w:val="nil"/>
              <w:tr2bl w:val="nil"/>
            </w:tcBorders>
            <w:vAlign w:val="center"/>
          </w:tcPr>
          <w:p>
            <w:pPr>
              <w:pStyle w:val="84"/>
              <w:bidi w:val="0"/>
              <w:rPr>
                <w:rFonts w:hint="default"/>
                <w:color w:val="auto"/>
                <w:highlight w:val="none"/>
                <w:lang w:val="en-US" w:eastAsia="zh-CN"/>
              </w:rPr>
            </w:pPr>
            <w:r>
              <w:rPr>
                <w:rFonts w:hint="eastAsia"/>
                <w:color w:val="auto"/>
                <w:highlight w:val="none"/>
                <w:lang w:val="en-US" w:eastAsia="zh-CN"/>
              </w:rPr>
              <w:t>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2377" w:type="pct"/>
            <w:tcBorders>
              <w:tl2br w:val="nil"/>
              <w:tr2bl w:val="nil"/>
            </w:tcBorders>
            <w:vAlign w:val="center"/>
          </w:tcPr>
          <w:p>
            <w:pPr>
              <w:pStyle w:val="84"/>
              <w:bidi w:val="0"/>
              <w:rPr>
                <w:color w:val="auto"/>
                <w:highlight w:val="none"/>
              </w:rPr>
            </w:pPr>
            <w:r>
              <w:rPr>
                <w:color w:val="auto"/>
                <w:highlight w:val="none"/>
              </w:rPr>
              <w:t>多年平均无霜期</w:t>
            </w:r>
          </w:p>
        </w:tc>
        <w:tc>
          <w:tcPr>
            <w:tcW w:w="1250" w:type="pct"/>
            <w:tcBorders>
              <w:tl2br w:val="nil"/>
              <w:tr2bl w:val="nil"/>
            </w:tcBorders>
            <w:vAlign w:val="center"/>
          </w:tcPr>
          <w:p>
            <w:pPr>
              <w:pStyle w:val="84"/>
              <w:bidi w:val="0"/>
              <w:rPr>
                <w:color w:val="auto"/>
                <w:highlight w:val="none"/>
              </w:rPr>
            </w:pPr>
            <w:r>
              <w:rPr>
                <w:color w:val="auto"/>
                <w:highlight w:val="none"/>
              </w:rPr>
              <w:t>d</w:t>
            </w:r>
          </w:p>
        </w:tc>
        <w:tc>
          <w:tcPr>
            <w:tcW w:w="1372" w:type="pct"/>
            <w:tcBorders>
              <w:tl2br w:val="nil"/>
              <w:tr2bl w:val="nil"/>
            </w:tcBorders>
            <w:vAlign w:val="center"/>
          </w:tcPr>
          <w:p>
            <w:pPr>
              <w:pStyle w:val="84"/>
              <w:bidi w:val="0"/>
              <w:rPr>
                <w:color w:val="auto"/>
                <w:highlight w:val="none"/>
              </w:rPr>
            </w:pPr>
            <w:r>
              <w:rPr>
                <w:color w:val="auto"/>
                <w:highlight w:val="none"/>
              </w:rPr>
              <w:t>1</w:t>
            </w:r>
            <w:r>
              <w:rPr>
                <w:rFonts w:hint="eastAsia"/>
                <w:color w:val="auto"/>
                <w:highlight w:val="none"/>
                <w:lang w:val="en-US" w:eastAsia="zh-CN"/>
              </w:rPr>
              <w:t>63</w:t>
            </w:r>
          </w:p>
        </w:tc>
      </w:tr>
      <w:bookmarkEnd w:id="84"/>
      <w:bookmarkEnd w:id="85"/>
    </w:tbl>
    <w:p>
      <w:pPr>
        <w:pStyle w:val="69"/>
        <w:rPr>
          <w:color w:val="auto"/>
          <w:highlight w:val="none"/>
        </w:rPr>
      </w:pPr>
      <w:r>
        <w:rPr>
          <w:color w:val="auto"/>
          <w:highlight w:val="none"/>
        </w:rPr>
        <w:t>2.7.4 水文</w:t>
      </w:r>
    </w:p>
    <w:p>
      <w:pPr>
        <w:pStyle w:val="72"/>
        <w:rPr>
          <w:color w:val="auto"/>
          <w:highlight w:val="none"/>
        </w:rPr>
      </w:pPr>
      <w:r>
        <w:rPr>
          <w:color w:val="auto"/>
          <w:highlight w:val="none"/>
        </w:rPr>
        <w:t>2.7.4.1 地表水</w:t>
      </w:r>
    </w:p>
    <w:p>
      <w:pPr>
        <w:pStyle w:val="56"/>
        <w:ind w:firstLine="480"/>
        <w:rPr>
          <w:rFonts w:hint="eastAsia"/>
          <w:color w:val="auto"/>
          <w:highlight w:val="none"/>
        </w:rPr>
      </w:pPr>
      <w:r>
        <w:rPr>
          <w:rFonts w:hint="eastAsia"/>
          <w:color w:val="auto"/>
          <w:highlight w:val="none"/>
        </w:rPr>
        <w:t>项目区地表水主要为喀什河、克其克布拉克沟、琼布拉克沟、穷克孜勒布拉克沟。喀什河是伊犁河的第二大支流，发源于依连哈比尔尕山西侧，从东向西穿行于婆罗科努山与阿吾拉勒山之间，形成喀什河谷地，最后至托海村向南穿阿吾拉勒山直指雅马渡汇入伊犁河。从河源阿腊散到雅马渡全长316km。流域面积10225km</w:t>
      </w:r>
      <w:r>
        <w:rPr>
          <w:rFonts w:hint="eastAsia"/>
          <w:color w:val="auto"/>
          <w:highlight w:val="none"/>
          <w:vertAlign w:val="superscript"/>
        </w:rPr>
        <w:t>2</w:t>
      </w:r>
      <w:r>
        <w:rPr>
          <w:rFonts w:hint="eastAsia"/>
          <w:color w:val="auto"/>
          <w:highlight w:val="none"/>
        </w:rPr>
        <w:t>，流域内高程5500～800m，河床平均坡降6.8</w:t>
      </w:r>
      <w:r>
        <w:rPr>
          <w:rFonts w:hint="eastAsia"/>
          <w:color w:val="auto"/>
          <w:highlight w:val="none"/>
          <w:lang w:val="en-US" w:eastAsia="zh-CN"/>
        </w:rPr>
        <w:t>%</w:t>
      </w:r>
      <w:r>
        <w:rPr>
          <w:rFonts w:hint="eastAsia"/>
          <w:color w:val="auto"/>
          <w:highlight w:val="none"/>
        </w:rPr>
        <w:t>。据托海水文站多年平均年径流量为38.11×108m</w:t>
      </w:r>
      <w:r>
        <w:rPr>
          <w:rFonts w:hint="eastAsia"/>
          <w:color w:val="auto"/>
          <w:highlight w:val="none"/>
          <w:vertAlign w:val="superscript"/>
        </w:rPr>
        <w:t>3</w:t>
      </w:r>
      <w:r>
        <w:rPr>
          <w:rFonts w:hint="eastAsia"/>
          <w:color w:val="auto"/>
          <w:highlight w:val="none"/>
        </w:rPr>
        <w:t>，径流的Cv值为0.17，汛期一般为5～8月，汛期水量占年水量的67%，多年平均最大月径流量一般出现在 7月，最小月径流量一般出现在2月。</w:t>
      </w:r>
    </w:p>
    <w:p>
      <w:pPr>
        <w:pStyle w:val="56"/>
        <w:ind w:firstLine="480"/>
        <w:rPr>
          <w:rFonts w:hint="eastAsia"/>
          <w:color w:val="auto"/>
          <w:highlight w:val="none"/>
        </w:rPr>
      </w:pPr>
      <w:r>
        <w:rPr>
          <w:rFonts w:hint="eastAsia"/>
          <w:color w:val="auto"/>
          <w:highlight w:val="none"/>
        </w:rPr>
        <w:t>项目区南侧孢孜渠从喀什河引水。项目区北侧克其克布拉克沟流量为0.05m³/s，琼布拉克沟流量为0.63m³/s。</w:t>
      </w:r>
    </w:p>
    <w:p>
      <w:pPr>
        <w:pStyle w:val="72"/>
        <w:rPr>
          <w:color w:val="auto"/>
          <w:highlight w:val="none"/>
        </w:rPr>
      </w:pPr>
      <w:r>
        <w:rPr>
          <w:color w:val="auto"/>
          <w:highlight w:val="none"/>
        </w:rPr>
        <w:t>2.7.4.2 地下水</w:t>
      </w:r>
    </w:p>
    <w:p>
      <w:pPr>
        <w:pStyle w:val="56"/>
        <w:ind w:firstLine="480"/>
        <w:rPr>
          <w:rFonts w:hint="eastAsia"/>
          <w:color w:val="auto"/>
          <w:highlight w:val="none"/>
        </w:rPr>
      </w:pPr>
      <w:r>
        <w:rPr>
          <w:rFonts w:hint="eastAsia"/>
          <w:color w:val="auto"/>
          <w:highlight w:val="none"/>
        </w:rPr>
        <w:t>伊宁县地下水补给主要是喀什河侧向入渗补给、北山沟水系入渗补给、灌区灌溉入渗补给及区域降水入渗补给，其中以喀什河侧向入渗补给为主，喀什河托海水文站多年平均径流量38.11×108m</w:t>
      </w:r>
      <w:r>
        <w:rPr>
          <w:rFonts w:hint="eastAsia"/>
          <w:color w:val="auto"/>
          <w:highlight w:val="none"/>
          <w:vertAlign w:val="superscript"/>
        </w:rPr>
        <w:t>3</w:t>
      </w:r>
      <w:r>
        <w:rPr>
          <w:rFonts w:hint="eastAsia"/>
          <w:color w:val="auto"/>
          <w:highlight w:val="none"/>
        </w:rPr>
        <w:t>，1995～1998年伊宁县境从喀什河平均年引水12.5385×108m</w:t>
      </w:r>
      <w:r>
        <w:rPr>
          <w:rFonts w:hint="eastAsia"/>
          <w:color w:val="auto"/>
          <w:highlight w:val="none"/>
          <w:vertAlign w:val="superscript"/>
        </w:rPr>
        <w:t>3</w:t>
      </w:r>
      <w:r>
        <w:rPr>
          <w:rFonts w:hint="eastAsia"/>
          <w:color w:val="auto"/>
          <w:highlight w:val="none"/>
        </w:rPr>
        <w:t>/a，河道剩余水量约25.5715×108m</w:t>
      </w:r>
      <w:r>
        <w:rPr>
          <w:rFonts w:hint="eastAsia"/>
          <w:color w:val="auto"/>
          <w:highlight w:val="none"/>
          <w:vertAlign w:val="superscript"/>
        </w:rPr>
        <w:t>3</w:t>
      </w:r>
      <w:r>
        <w:rPr>
          <w:rFonts w:hint="eastAsia"/>
          <w:color w:val="auto"/>
          <w:highlight w:val="none"/>
        </w:rPr>
        <w:t>/a，河床岩性多为漂石、沙卵砾石，透水性很好，喀什河流经伊宁县的50km河道上，河水大量入渗补给地下水。伊宁县北山沟诸小河多年平均径流量总计为3.7343×108m</w:t>
      </w:r>
      <w:r>
        <w:rPr>
          <w:rFonts w:hint="eastAsia"/>
          <w:color w:val="auto"/>
          <w:highlight w:val="none"/>
          <w:vertAlign w:val="superscript"/>
        </w:rPr>
        <w:t>3</w:t>
      </w:r>
      <w:r>
        <w:rPr>
          <w:rFonts w:hint="eastAsia"/>
          <w:color w:val="auto"/>
          <w:highlight w:val="none"/>
        </w:rPr>
        <w:t>（其中不包括汇入喀什河的博尔博松河和苏布台沟的年径流量），大部分用于农田灌溉，剩余水量一部分流入伊犁河，另一部分水量入渗补给地下水。</w:t>
      </w:r>
    </w:p>
    <w:p>
      <w:pPr>
        <w:pStyle w:val="56"/>
        <w:ind w:firstLine="480"/>
        <w:rPr>
          <w:rFonts w:hint="eastAsia" w:eastAsia="仿宋_GB2312"/>
          <w:color w:val="auto"/>
          <w:highlight w:val="none"/>
          <w:lang w:eastAsia="zh-CN"/>
        </w:rPr>
      </w:pPr>
      <w:r>
        <w:rPr>
          <w:rFonts w:hint="eastAsia"/>
          <w:color w:val="auto"/>
          <w:highlight w:val="none"/>
        </w:rPr>
        <w:t>喀什河流域区东部，拜石墩农场一带，受阿吾拉勒山的影响，底层构造复杂，在160m深度内可见二十余层岩层，含水层为砂砾石、含土砂砾石，底层颗粒细小，透水性小。地下水埋深大于150m，单位涌水量0.5L/s·m，渗透系数1.26m/d</w:t>
      </w:r>
      <w:r>
        <w:rPr>
          <w:rFonts w:hint="eastAsia"/>
          <w:color w:val="auto"/>
          <w:highlight w:val="none"/>
          <w:lang w:eastAsia="zh-CN"/>
        </w:rPr>
        <w:t>。</w:t>
      </w:r>
    </w:p>
    <w:p>
      <w:pPr>
        <w:pStyle w:val="56"/>
        <w:ind w:firstLine="480"/>
        <w:rPr>
          <w:color w:val="auto"/>
          <w:highlight w:val="none"/>
        </w:rPr>
      </w:pPr>
      <w:r>
        <w:rPr>
          <w:color w:val="auto"/>
          <w:highlight w:val="none"/>
        </w:rPr>
        <w:t>综上所述，项目区周边地下水埋深较深，本项目基础埋深2.</w:t>
      </w:r>
      <w:r>
        <w:rPr>
          <w:rFonts w:hint="eastAsia"/>
          <w:color w:val="auto"/>
          <w:highlight w:val="none"/>
          <w:lang w:val="en-US" w:eastAsia="zh-CN"/>
        </w:rPr>
        <w:t>7</w:t>
      </w:r>
      <w:r>
        <w:rPr>
          <w:color w:val="auto"/>
          <w:highlight w:val="none"/>
        </w:rPr>
        <w:t>m，因此本项目建设不受地下水影响。</w:t>
      </w:r>
    </w:p>
    <w:p>
      <w:pPr>
        <w:pStyle w:val="69"/>
        <w:rPr>
          <w:color w:val="auto"/>
          <w:highlight w:val="none"/>
        </w:rPr>
      </w:pPr>
      <w:r>
        <w:rPr>
          <w:color w:val="auto"/>
          <w:highlight w:val="none"/>
        </w:rPr>
        <w:t>2.7.5 土壤及植被</w:t>
      </w:r>
    </w:p>
    <w:p>
      <w:pPr>
        <w:pStyle w:val="56"/>
        <w:ind w:firstLine="480"/>
        <w:rPr>
          <w:rFonts w:hint="eastAsia"/>
          <w:color w:val="auto"/>
          <w:highlight w:val="none"/>
        </w:rPr>
      </w:pPr>
      <w:r>
        <w:rPr>
          <w:rFonts w:hint="eastAsia"/>
          <w:color w:val="auto"/>
          <w:highlight w:val="none"/>
        </w:rPr>
        <w:t>伊宁县区域拥有山地、丘陵、平原、河滩等不同地形地貌特征。区域内土壤随地形垂直分布明显而完整，由北向南，随着海拔高程降低依次为：高山草甸土、亚高山草甸土、灰褐色森林土、山地黑钙土、山地栗钙土、灰钙土、潮土、盐土、新积土、风沙土、沼泽土等。项目区土壤类型以灰钙土为主，其成土母质为黄土状物质和河流冲积物，土层深厚，结构松散，孔隙率大，通气性好，土壤较肥沃。项目区地下水埋深大于30m，土壤含盐量低，土壤非常适合于植物生长。</w:t>
      </w:r>
    </w:p>
    <w:p>
      <w:pPr>
        <w:pStyle w:val="56"/>
        <w:ind w:firstLine="480"/>
        <w:rPr>
          <w:color w:val="auto"/>
          <w:highlight w:val="none"/>
        </w:rPr>
      </w:pPr>
      <w:r>
        <w:rPr>
          <w:color w:val="auto"/>
          <w:highlight w:val="none"/>
        </w:rPr>
        <w:t>项目区为冲洪积平原区，土壤类型以灰钙土为主。植被类型为荒漠植被，主要植被以蒿属-禾本科植被为主，有灰灰菜、野麻、蒲公英、马兰、芨芨草等，</w:t>
      </w:r>
      <w:r>
        <w:rPr>
          <w:rFonts w:hint="eastAsia"/>
          <w:color w:val="auto"/>
          <w:highlight w:val="none"/>
          <w:lang w:eastAsia="zh-CN"/>
        </w:rPr>
        <w:t>植被覆盖度20%</w:t>
      </w:r>
      <w:r>
        <w:rPr>
          <w:color w:val="auto"/>
          <w:highlight w:val="none"/>
        </w:rPr>
        <w:t>左右。</w:t>
      </w:r>
    </w:p>
    <w:p>
      <w:pPr>
        <w:pStyle w:val="56"/>
        <w:ind w:firstLine="480"/>
        <w:rPr>
          <w:rFonts w:hint="eastAsia" w:eastAsia="仿宋_GB2312"/>
          <w:color w:val="auto"/>
          <w:highlight w:val="none"/>
          <w:lang w:eastAsia="zh-CN"/>
        </w:rPr>
      </w:pPr>
      <w:r>
        <w:rPr>
          <w:rFonts w:hint="eastAsia"/>
          <w:color w:val="auto"/>
          <w:highlight w:val="none"/>
          <w:lang w:eastAsia="zh-CN"/>
        </w:rPr>
        <w:t>经过现场踏勘，</w:t>
      </w:r>
      <w:r>
        <w:rPr>
          <w:color w:val="auto"/>
          <w:highlight w:val="none"/>
        </w:rPr>
        <w:t>项目区</w:t>
      </w:r>
      <w:r>
        <w:rPr>
          <w:rFonts w:hint="eastAsia"/>
          <w:color w:val="auto"/>
          <w:highlight w:val="none"/>
          <w:lang w:eastAsia="zh-CN"/>
        </w:rPr>
        <w:t>地表砂砾石含量较低，全面整地后可满足植物生长，</w:t>
      </w:r>
      <w:r>
        <w:rPr>
          <w:color w:val="auto"/>
          <w:highlight w:val="none"/>
        </w:rPr>
        <w:t>绿化时</w:t>
      </w:r>
      <w:r>
        <w:rPr>
          <w:rFonts w:hint="eastAsia"/>
          <w:color w:val="auto"/>
          <w:highlight w:val="none"/>
          <w:lang w:eastAsia="zh-CN"/>
        </w:rPr>
        <w:t>无</w:t>
      </w:r>
      <w:r>
        <w:rPr>
          <w:color w:val="auto"/>
          <w:highlight w:val="none"/>
        </w:rPr>
        <w:t>需外购种植土</w:t>
      </w:r>
      <w:r>
        <w:rPr>
          <w:rFonts w:hint="eastAsia"/>
          <w:color w:val="auto"/>
          <w:highlight w:val="none"/>
          <w:lang w:eastAsia="zh-CN"/>
        </w:rPr>
        <w:t>。</w:t>
      </w:r>
    </w:p>
    <w:p>
      <w:pPr>
        <w:pStyle w:val="69"/>
        <w:rPr>
          <w:color w:val="auto"/>
          <w:highlight w:val="none"/>
        </w:rPr>
      </w:pPr>
      <w:r>
        <w:rPr>
          <w:color w:val="auto"/>
          <w:highlight w:val="none"/>
        </w:rPr>
        <w:t>2.7.6 其他</w:t>
      </w:r>
    </w:p>
    <w:p>
      <w:pPr>
        <w:pStyle w:val="56"/>
        <w:ind w:firstLine="480"/>
        <w:rPr>
          <w:color w:val="auto"/>
          <w:highlight w:val="none"/>
        </w:rPr>
      </w:pPr>
      <w:r>
        <w:rPr>
          <w:color w:val="auto"/>
          <w:highlight w:val="none"/>
        </w:rPr>
        <w:t>项目区不涉及饮用水源保护区、水功能一级区的保护区和保留区、自然保护区、世界文化和自然遗产地、风景名胜区、地质公园、森林公园、重要湿地等。</w:t>
      </w:r>
    </w:p>
    <w:p>
      <w:pPr>
        <w:rPr>
          <w:color w:val="auto"/>
          <w:highlight w:val="none"/>
        </w:rPr>
      </w:pPr>
      <w:bookmarkStart w:id="86" w:name="_Toc417412319"/>
      <w:r>
        <w:rPr>
          <w:color w:val="auto"/>
          <w:highlight w:val="none"/>
        </w:rPr>
        <w:br w:type="page"/>
      </w:r>
    </w:p>
    <w:p>
      <w:pPr>
        <w:pStyle w:val="65"/>
        <w:rPr>
          <w:color w:val="auto"/>
          <w:highlight w:val="none"/>
        </w:rPr>
      </w:pPr>
      <w:bookmarkStart w:id="87" w:name="_Toc19791"/>
      <w:r>
        <w:rPr>
          <w:color w:val="auto"/>
          <w:highlight w:val="none"/>
        </w:rPr>
        <w:t>3 项目水土保持评价</w:t>
      </w:r>
      <w:bookmarkEnd w:id="86"/>
      <w:bookmarkEnd w:id="87"/>
    </w:p>
    <w:p>
      <w:pPr>
        <w:pStyle w:val="66"/>
        <w:rPr>
          <w:color w:val="auto"/>
          <w:highlight w:val="none"/>
        </w:rPr>
      </w:pPr>
      <w:bookmarkStart w:id="88" w:name="_Toc417412320"/>
      <w:bookmarkStart w:id="89" w:name="_Toc17992"/>
      <w:r>
        <w:rPr>
          <w:color w:val="auto"/>
          <w:highlight w:val="none"/>
        </w:rPr>
        <w:t>3.1 主体工程选址（线）水土保持评价</w:t>
      </w:r>
      <w:bookmarkEnd w:id="88"/>
      <w:bookmarkEnd w:id="89"/>
    </w:p>
    <w:p>
      <w:pPr>
        <w:pStyle w:val="56"/>
        <w:ind w:firstLine="480"/>
        <w:rPr>
          <w:color w:val="auto"/>
          <w:highlight w:val="none"/>
        </w:rPr>
      </w:pPr>
      <w:r>
        <w:rPr>
          <w:rFonts w:hint="default" w:ascii="Times New Roman" w:hAnsi="Times New Roman" w:eastAsia="仿宋_GB2312" w:cs="Times New Roman"/>
          <w:color w:val="auto"/>
          <w:highlight w:val="none"/>
        </w:rPr>
        <w:t>本工程</w:t>
      </w:r>
      <w:r>
        <w:rPr>
          <w:rFonts w:hint="default" w:ascii="Times New Roman" w:hAnsi="Times New Roman" w:cs="Times New Roman"/>
          <w:color w:val="auto"/>
          <w:highlight w:val="none"/>
          <w:lang w:eastAsia="zh-CN"/>
        </w:rPr>
        <w:t>已开工建设，属于未批先建项目，属于新建</w:t>
      </w:r>
      <w:r>
        <w:rPr>
          <w:rFonts w:hint="default" w:ascii="Times New Roman" w:hAnsi="Times New Roman" w:cs="Times New Roman"/>
          <w:color w:val="auto"/>
          <w:highlight w:val="none"/>
        </w:rPr>
        <w:t>项目</w:t>
      </w:r>
      <w:r>
        <w:rPr>
          <w:color w:val="auto"/>
          <w:highlight w:val="none"/>
        </w:rPr>
        <w:t>，目前</w:t>
      </w:r>
      <w:r>
        <w:rPr>
          <w:rFonts w:hint="eastAsia"/>
          <w:color w:val="auto"/>
          <w:highlight w:val="none"/>
          <w:lang w:eastAsia="zh-CN"/>
        </w:rPr>
        <w:t>部分</w:t>
      </w:r>
      <w:r>
        <w:rPr>
          <w:color w:val="auto"/>
          <w:highlight w:val="none"/>
        </w:rPr>
        <w:t>建筑物</w:t>
      </w:r>
      <w:r>
        <w:rPr>
          <w:rFonts w:hint="eastAsia"/>
          <w:color w:val="auto"/>
          <w:highlight w:val="none"/>
          <w:lang w:eastAsia="zh-CN"/>
        </w:rPr>
        <w:t>结构</w:t>
      </w:r>
      <w:r>
        <w:rPr>
          <w:color w:val="auto"/>
          <w:highlight w:val="none"/>
        </w:rPr>
        <w:t>已完成，</w:t>
      </w:r>
      <w:r>
        <w:rPr>
          <w:rFonts w:hint="eastAsia"/>
          <w:color w:val="auto"/>
          <w:highlight w:val="none"/>
          <w:lang w:eastAsia="zh-CN"/>
        </w:rPr>
        <w:t>部分建筑物正在进行开挖基础工作，</w:t>
      </w:r>
      <w:r>
        <w:rPr>
          <w:color w:val="auto"/>
          <w:highlight w:val="none"/>
        </w:rPr>
        <w:t>属于补报项目，按《中华人民共和国水土保持法》相关规定，《生产建设项目水土保持技术标准》（GB50433-2018）3.2.1及4.3.12节规定及水利部《关于严格开发建设项目水土保持方案审查审批工作的通知》（水保[2007]184号）中有关限制性条件，逐条分析复核，见表3.1-1，3.1-2，3.1-3。</w:t>
      </w:r>
    </w:p>
    <w:p>
      <w:pPr>
        <w:pStyle w:val="75"/>
        <w:rPr>
          <w:color w:val="auto"/>
          <w:highlight w:val="none"/>
        </w:rPr>
      </w:pPr>
      <w:r>
        <w:rPr>
          <w:color w:val="auto"/>
          <w:highlight w:val="none"/>
        </w:rPr>
        <w:t>表3.1-1    《中华人民共和国水土保持法》相符性分析表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4787"/>
        <w:gridCol w:w="3"/>
        <w:gridCol w:w="2971"/>
        <w:gridCol w:w="5"/>
        <w:gridCol w:w="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32" w:type="pct"/>
            <w:tcBorders>
              <w:top w:val="single" w:color="auto" w:sz="12"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序号</w:t>
            </w:r>
          </w:p>
        </w:tc>
        <w:tc>
          <w:tcPr>
            <w:tcW w:w="2643" w:type="pct"/>
            <w:gridSpan w:val="2"/>
            <w:tcBorders>
              <w:top w:val="single" w:color="auto" w:sz="12" w:space="0"/>
              <w:left w:val="single" w:color="auto" w:sz="4" w:space="0"/>
              <w:bottom w:val="single" w:color="auto" w:sz="4" w:space="0"/>
              <w:right w:val="single" w:color="auto" w:sz="4" w:space="0"/>
            </w:tcBorders>
            <w:vAlign w:val="center"/>
          </w:tcPr>
          <w:p>
            <w:pPr>
              <w:pStyle w:val="84"/>
              <w:rPr>
                <w:color w:val="auto"/>
                <w:highlight w:val="none"/>
              </w:rPr>
            </w:pPr>
            <w:r>
              <w:rPr>
                <w:color w:val="auto"/>
                <w:highlight w:val="none"/>
              </w:rPr>
              <w:t>《中华人民共和国水土保持法》相符性分析表</w:t>
            </w:r>
          </w:p>
        </w:tc>
        <w:tc>
          <w:tcPr>
            <w:tcW w:w="1642" w:type="pct"/>
            <w:gridSpan w:val="2"/>
            <w:tcBorders>
              <w:top w:val="single" w:color="auto" w:sz="12" w:space="0"/>
              <w:left w:val="single" w:color="auto" w:sz="4" w:space="0"/>
              <w:bottom w:val="single" w:color="auto" w:sz="4" w:space="0"/>
              <w:right w:val="single" w:color="auto" w:sz="4" w:space="0"/>
            </w:tcBorders>
            <w:vAlign w:val="center"/>
          </w:tcPr>
          <w:p>
            <w:pPr>
              <w:pStyle w:val="84"/>
              <w:rPr>
                <w:color w:val="auto"/>
                <w:highlight w:val="none"/>
              </w:rPr>
            </w:pPr>
            <w:r>
              <w:rPr>
                <w:color w:val="auto"/>
                <w:highlight w:val="none"/>
              </w:rPr>
              <w:t>本项目的情况</w:t>
            </w:r>
          </w:p>
        </w:tc>
        <w:tc>
          <w:tcPr>
            <w:tcW w:w="481" w:type="pct"/>
            <w:tcBorders>
              <w:top w:val="single" w:color="auto" w:sz="12"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232" w:type="pct"/>
            <w:tcBorders>
              <w:top w:val="single" w:color="auto" w:sz="4"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1</w:t>
            </w:r>
          </w:p>
        </w:tc>
        <w:tc>
          <w:tcPr>
            <w:tcW w:w="2643" w:type="pct"/>
            <w:gridSpan w:val="2"/>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第十七条 禁止在崩塌、滑坡危险区和泥石流易发区从事取土、挖砂、采石等可能造成水土流失的活动。崩塌、滑坡危险区和泥石流易发区的范围，由县级以上地方人民政府划定并公告。崩塌、滑坡危险区和泥石流易发区的划定，应当与地质灾害防治规划确定的地质灾害易发区、重点防治区相衔接。</w:t>
            </w:r>
          </w:p>
        </w:tc>
        <w:tc>
          <w:tcPr>
            <w:tcW w:w="1642" w:type="pct"/>
            <w:gridSpan w:val="2"/>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项目区不位于当地政府划定的在崩塌、滑坡危险区和泥石流易发区，同时本项目未在当地政府划定的在崩塌、滑坡危险区和泥石流易发区等区域取土、挖沙。</w:t>
            </w:r>
          </w:p>
        </w:tc>
        <w:tc>
          <w:tcPr>
            <w:tcW w:w="481" w:type="pct"/>
            <w:tcBorders>
              <w:top w:val="single" w:color="auto" w:sz="4"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符合本条规定要求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32" w:type="pct"/>
            <w:tcBorders>
              <w:top w:val="single" w:color="auto" w:sz="4"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2</w:t>
            </w:r>
          </w:p>
        </w:tc>
        <w:tc>
          <w:tcPr>
            <w:tcW w:w="2643" w:type="pct"/>
            <w:gridSpan w:val="2"/>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第十八条 水土流失严重、生态脆弱的地区，应当限制或者禁止可能造成水土流失的生产建设活动，严格保护植物、沙壳、结皮、地衣等。</w:t>
            </w:r>
          </w:p>
        </w:tc>
        <w:tc>
          <w:tcPr>
            <w:tcW w:w="1642" w:type="pct"/>
            <w:gridSpan w:val="2"/>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项目区不属于水土流失严重、生态脆弱地区。</w:t>
            </w:r>
          </w:p>
        </w:tc>
        <w:tc>
          <w:tcPr>
            <w:tcW w:w="481" w:type="pct"/>
            <w:tcBorders>
              <w:top w:val="single" w:color="auto" w:sz="4"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符合本条规定要求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32" w:type="pct"/>
            <w:tcBorders>
              <w:top w:val="single" w:color="auto" w:sz="4"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3</w:t>
            </w:r>
          </w:p>
        </w:tc>
        <w:tc>
          <w:tcPr>
            <w:tcW w:w="2643" w:type="pct"/>
            <w:gridSpan w:val="2"/>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第二十四条 生产建设项目选址、选线应当避让水土流失重点预防区和重点治理区；无法避让的，应当提高防治标准，优化施工工艺，减少地表扰动和植被损坏范围，有效控制可能造成的水土流失。</w:t>
            </w:r>
          </w:p>
        </w:tc>
        <w:tc>
          <w:tcPr>
            <w:tcW w:w="1642" w:type="pct"/>
            <w:gridSpan w:val="2"/>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项目区属于省级水土流失重点预防区和重点治理区，已采取一级标准，并且主体施工期间已优化施工工艺，已最大程度减少对周边扰动。</w:t>
            </w:r>
          </w:p>
        </w:tc>
        <w:tc>
          <w:tcPr>
            <w:tcW w:w="481" w:type="pct"/>
            <w:tcBorders>
              <w:top w:val="single" w:color="auto" w:sz="4"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符合本条规定要求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232" w:type="pct"/>
            <w:tcBorders>
              <w:top w:val="single" w:color="auto" w:sz="4" w:space="0"/>
              <w:left w:val="single" w:color="auto" w:sz="12" w:space="0"/>
              <w:bottom w:val="single" w:color="auto" w:sz="4" w:space="0"/>
              <w:right w:val="single" w:color="auto" w:sz="4" w:space="0"/>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c>
          <w:tcPr>
            <w:tcW w:w="2641" w:type="pct"/>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第二十五条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没有能力编制水土保持方案的，应当委托具备相应技术条件的机构编制。</w:t>
            </w:r>
          </w:p>
        </w:tc>
        <w:tc>
          <w:tcPr>
            <w:tcW w:w="1641" w:type="pct"/>
            <w:gridSpan w:val="2"/>
            <w:tcBorders>
              <w:top w:val="single" w:color="auto" w:sz="4" w:space="0"/>
              <w:left w:val="single" w:color="auto" w:sz="4" w:space="0"/>
              <w:bottom w:val="single" w:color="auto" w:sz="4" w:space="0"/>
              <w:right w:val="single" w:color="auto" w:sz="4" w:space="0"/>
            </w:tcBorders>
            <w:vAlign w:val="center"/>
          </w:tcPr>
          <w:p>
            <w:pPr>
              <w:pStyle w:val="84"/>
              <w:ind w:firstLine="0" w:firstLineChars="0"/>
              <w:jc w:val="left"/>
              <w:rPr>
                <w:rFonts w:hint="default" w:ascii="Times New Roman" w:hAnsi="Times New Roman" w:eastAsia="仿宋_GB2312" w:cs="Times New Roman"/>
                <w:color w:val="auto"/>
                <w:highlight w:val="none"/>
              </w:rPr>
            </w:pPr>
            <w:r>
              <w:rPr>
                <w:rFonts w:hint="default" w:ascii="Times New Roman" w:hAnsi="Times New Roman" w:cs="Times New Roman"/>
                <w:color w:val="auto"/>
                <w:highlight w:val="none"/>
              </w:rPr>
              <w:t>项目已开工，补做水土保持方案</w:t>
            </w:r>
          </w:p>
        </w:tc>
        <w:tc>
          <w:tcPr>
            <w:tcW w:w="483" w:type="pct"/>
            <w:gridSpan w:val="2"/>
            <w:tcBorders>
              <w:top w:val="single" w:color="auto" w:sz="4" w:space="0"/>
              <w:left w:val="single" w:color="auto" w:sz="4" w:space="0"/>
              <w:bottom w:val="single" w:color="auto" w:sz="4" w:space="0"/>
              <w:right w:val="single" w:color="auto" w:sz="12" w:space="0"/>
            </w:tcBorders>
            <w:vAlign w:val="center"/>
          </w:tcPr>
          <w:p>
            <w:pPr>
              <w:pStyle w:val="84"/>
              <w:ind w:firstLine="0" w:firstLineChars="0"/>
              <w:rPr>
                <w:rFonts w:hint="default" w:ascii="Times New Roman" w:hAnsi="Times New Roman" w:eastAsia="仿宋_GB2312" w:cs="Times New Roman"/>
                <w:color w:val="auto"/>
                <w:highlight w:val="none"/>
              </w:rPr>
            </w:pPr>
            <w:r>
              <w:rPr>
                <w:rFonts w:hint="default" w:ascii="Times New Roman" w:hAnsi="Times New Roman" w:cs="Times New Roman"/>
                <w:color w:val="auto"/>
                <w:highlight w:val="none"/>
                <w:lang w:eastAsia="zh-CN"/>
              </w:rPr>
              <w:t>整改后符合要求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4" w:hRule="atLeast"/>
          <w:jc w:val="center"/>
        </w:trPr>
        <w:tc>
          <w:tcPr>
            <w:tcW w:w="232" w:type="pct"/>
            <w:noWrap w:val="0"/>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2641" w:type="pct"/>
            <w:noWrap w:val="0"/>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第二十七条 依法应当编制水土保持方案的生产建设项目中的水土保持设施，应当与主体工程同时设计、同时施工、同时投产使用；生产建设项目竣工验收，应当验收水土保持设施；水土保持设施未验收或验收不合格的，生产建设项目不得投产使用</w:t>
            </w:r>
          </w:p>
        </w:tc>
        <w:tc>
          <w:tcPr>
            <w:tcW w:w="1641" w:type="pct"/>
            <w:gridSpan w:val="2"/>
            <w:noWrap w:val="0"/>
            <w:vAlign w:val="center"/>
          </w:tcPr>
          <w:p>
            <w:pPr>
              <w:pStyle w:val="8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项目已开工，</w:t>
            </w:r>
            <w:r>
              <w:rPr>
                <w:rFonts w:hint="eastAsia"/>
                <w:color w:val="auto"/>
                <w:highlight w:val="none"/>
                <w:lang w:eastAsia="zh-CN"/>
              </w:rPr>
              <w:t>伊宁县</w:t>
            </w:r>
            <w:r>
              <w:rPr>
                <w:color w:val="auto"/>
                <w:highlight w:val="none"/>
              </w:rPr>
              <w:t>水利局</w:t>
            </w:r>
            <w:r>
              <w:rPr>
                <w:rFonts w:hint="default" w:ascii="Times New Roman" w:hAnsi="Times New Roman" w:cs="Times New Roman"/>
                <w:color w:val="auto"/>
                <w:highlight w:val="none"/>
              </w:rPr>
              <w:t>要求限期整改，我们将在限期内完成本水保方案</w:t>
            </w:r>
            <w:r>
              <w:rPr>
                <w:rFonts w:hint="default" w:ascii="Times New Roman" w:hAnsi="Times New Roman" w:cs="Times New Roman"/>
                <w:color w:val="auto"/>
                <w:highlight w:val="none"/>
                <w:lang w:eastAsia="zh-CN"/>
              </w:rPr>
              <w:t>报告表</w:t>
            </w:r>
            <w:r>
              <w:rPr>
                <w:rFonts w:hint="default" w:ascii="Times New Roman" w:hAnsi="Times New Roman" w:cs="Times New Roman"/>
                <w:color w:val="auto"/>
                <w:highlight w:val="none"/>
              </w:rPr>
              <w:t>编制工作。</w:t>
            </w:r>
          </w:p>
        </w:tc>
        <w:tc>
          <w:tcPr>
            <w:tcW w:w="483" w:type="pct"/>
            <w:gridSpan w:val="2"/>
            <w:noWrap w:val="0"/>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整改后符合要求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32" w:type="pct"/>
            <w:tcBorders>
              <w:top w:val="single" w:color="auto" w:sz="4" w:space="0"/>
              <w:left w:val="single" w:color="auto" w:sz="12" w:space="0"/>
              <w:bottom w:val="single" w:color="auto" w:sz="4" w:space="0"/>
              <w:right w:val="single" w:color="auto" w:sz="4" w:space="0"/>
            </w:tcBorders>
            <w:vAlign w:val="center"/>
          </w:tcPr>
          <w:p>
            <w:pPr>
              <w:pStyle w:val="84"/>
              <w:rPr>
                <w:rFonts w:hint="eastAsia" w:eastAsia="仿宋_GB2312"/>
                <w:color w:val="auto"/>
                <w:highlight w:val="none"/>
                <w:lang w:eastAsia="zh-CN"/>
              </w:rPr>
            </w:pPr>
            <w:r>
              <w:rPr>
                <w:rFonts w:hint="eastAsia"/>
                <w:color w:val="auto"/>
                <w:highlight w:val="none"/>
                <w:lang w:val="en-US" w:eastAsia="zh-CN"/>
              </w:rPr>
              <w:t>6</w:t>
            </w:r>
          </w:p>
        </w:tc>
        <w:tc>
          <w:tcPr>
            <w:tcW w:w="2643" w:type="pct"/>
            <w:gridSpan w:val="2"/>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第二十八条 依法应当编制水土保持方案的生产建设项目，其生产建设活动中排弃的砂、石、土、矸石、尾矿、废渣等应当综合利用；不能综合利用，确需废弃的，应当堆放在水土保持方案确定的专门存放地，并采取措施保证不产生新的危害。</w:t>
            </w:r>
          </w:p>
        </w:tc>
        <w:tc>
          <w:tcPr>
            <w:tcW w:w="1642" w:type="pct"/>
            <w:gridSpan w:val="2"/>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项目建设过程中</w:t>
            </w:r>
            <w:r>
              <w:rPr>
                <w:rFonts w:hint="eastAsia"/>
                <w:color w:val="auto"/>
                <w:highlight w:val="none"/>
                <w:lang w:eastAsia="zh-CN"/>
              </w:rPr>
              <w:t>产生的</w:t>
            </w:r>
            <w:r>
              <w:rPr>
                <w:color w:val="auto"/>
                <w:highlight w:val="none"/>
              </w:rPr>
              <w:t>挖方。全部回填利用，无弃渣。</w:t>
            </w:r>
          </w:p>
        </w:tc>
        <w:tc>
          <w:tcPr>
            <w:tcW w:w="481" w:type="pct"/>
            <w:tcBorders>
              <w:top w:val="single" w:color="auto" w:sz="4"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符合本条规定要求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232" w:type="pct"/>
            <w:tcBorders>
              <w:top w:val="single" w:color="auto" w:sz="4" w:space="0"/>
              <w:left w:val="single" w:color="auto" w:sz="12" w:space="0"/>
              <w:bottom w:val="single" w:color="auto" w:sz="4" w:space="0"/>
              <w:right w:val="single" w:color="auto" w:sz="4" w:space="0"/>
            </w:tcBorders>
            <w:vAlign w:val="center"/>
          </w:tcPr>
          <w:p>
            <w:pPr>
              <w:pStyle w:val="84"/>
              <w:rPr>
                <w:rFonts w:hint="eastAsia" w:eastAsia="仿宋_GB2312"/>
                <w:color w:val="auto"/>
                <w:highlight w:val="none"/>
                <w:lang w:eastAsia="zh-CN"/>
              </w:rPr>
            </w:pPr>
            <w:r>
              <w:rPr>
                <w:rFonts w:hint="eastAsia"/>
                <w:color w:val="auto"/>
                <w:highlight w:val="none"/>
                <w:lang w:val="en-US" w:eastAsia="zh-CN"/>
              </w:rPr>
              <w:t>7</w:t>
            </w:r>
          </w:p>
        </w:tc>
        <w:tc>
          <w:tcPr>
            <w:tcW w:w="2643" w:type="pct"/>
            <w:gridSpan w:val="2"/>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第三十二条 在山区、丘陵区、风沙区以及水土保持规划确定的容易发生水土流失的其他区域开办生产建设项目或者从事其他生产建设活动，损坏水土保持设施、地貌植被，不能恢复原有水土保持功能的，应当缴纳水土流失补偿费，专项用于水土流失预防和治理。</w:t>
            </w:r>
          </w:p>
        </w:tc>
        <w:tc>
          <w:tcPr>
            <w:tcW w:w="1642" w:type="pct"/>
            <w:gridSpan w:val="2"/>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本项目</w:t>
            </w:r>
            <w:r>
              <w:rPr>
                <w:rFonts w:hint="eastAsia"/>
                <w:color w:val="auto"/>
                <w:highlight w:val="none"/>
                <w:lang w:eastAsia="zh-CN"/>
              </w:rPr>
              <w:t>为</w:t>
            </w:r>
            <w:r>
              <w:rPr>
                <w:rFonts w:hint="eastAsia"/>
                <w:color w:val="auto"/>
                <w:highlight w:val="none"/>
              </w:rPr>
              <w:t>建设保障性安居工程项目</w:t>
            </w:r>
            <w:r>
              <w:rPr>
                <w:rFonts w:hint="eastAsia"/>
                <w:color w:val="auto"/>
                <w:highlight w:val="none"/>
                <w:lang w:eastAsia="zh-CN"/>
              </w:rPr>
              <w:t>，</w:t>
            </w:r>
            <w:r>
              <w:rPr>
                <w:color w:val="auto"/>
                <w:highlight w:val="none"/>
              </w:rPr>
              <w:t>应</w:t>
            </w:r>
            <w:r>
              <w:rPr>
                <w:rFonts w:hint="eastAsia"/>
                <w:color w:val="auto"/>
                <w:highlight w:val="none"/>
                <w:lang w:eastAsia="zh-CN"/>
              </w:rPr>
              <w:t>免征</w:t>
            </w:r>
            <w:r>
              <w:rPr>
                <w:color w:val="auto"/>
                <w:highlight w:val="none"/>
              </w:rPr>
              <w:t>水土保持补偿费</w:t>
            </w:r>
          </w:p>
        </w:tc>
        <w:tc>
          <w:tcPr>
            <w:tcW w:w="481" w:type="pct"/>
            <w:tcBorders>
              <w:top w:val="single" w:color="auto" w:sz="4"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符合本条规定要求</w:t>
            </w:r>
          </w:p>
        </w:tc>
      </w:tr>
    </w:tbl>
    <w:p>
      <w:pPr>
        <w:pStyle w:val="75"/>
        <w:rPr>
          <w:color w:val="auto"/>
          <w:highlight w:val="none"/>
        </w:rPr>
      </w:pPr>
      <w:r>
        <w:rPr>
          <w:color w:val="auto"/>
          <w:highlight w:val="none"/>
        </w:rPr>
        <w:t>表3.1-2   水保【2007】184号文相符性分析表</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4543"/>
        <w:gridCol w:w="3122"/>
        <w:gridCol w:w="8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trPr>
        <w:tc>
          <w:tcPr>
            <w:tcW w:w="295" w:type="pct"/>
            <w:tcBorders>
              <w:top w:val="single" w:color="auto" w:sz="12"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序号</w:t>
            </w:r>
          </w:p>
        </w:tc>
        <w:tc>
          <w:tcPr>
            <w:tcW w:w="2507" w:type="pct"/>
            <w:tcBorders>
              <w:top w:val="single" w:color="auto" w:sz="12" w:space="0"/>
              <w:left w:val="single" w:color="auto" w:sz="4" w:space="0"/>
              <w:bottom w:val="single" w:color="auto" w:sz="4" w:space="0"/>
              <w:right w:val="single" w:color="auto" w:sz="4" w:space="0"/>
            </w:tcBorders>
            <w:vAlign w:val="center"/>
          </w:tcPr>
          <w:p>
            <w:pPr>
              <w:pStyle w:val="84"/>
              <w:rPr>
                <w:color w:val="auto"/>
                <w:highlight w:val="none"/>
              </w:rPr>
            </w:pPr>
            <w:r>
              <w:rPr>
                <w:color w:val="auto"/>
                <w:highlight w:val="none"/>
              </w:rPr>
              <w:t>184号文有关规定</w:t>
            </w:r>
          </w:p>
        </w:tc>
        <w:tc>
          <w:tcPr>
            <w:tcW w:w="1723" w:type="pct"/>
            <w:tcBorders>
              <w:top w:val="single" w:color="auto" w:sz="12" w:space="0"/>
              <w:left w:val="single" w:color="auto" w:sz="4" w:space="0"/>
              <w:bottom w:val="single" w:color="auto" w:sz="4" w:space="0"/>
              <w:right w:val="single" w:color="auto" w:sz="4" w:space="0"/>
            </w:tcBorders>
            <w:vAlign w:val="center"/>
          </w:tcPr>
          <w:p>
            <w:pPr>
              <w:pStyle w:val="84"/>
              <w:rPr>
                <w:color w:val="auto"/>
                <w:highlight w:val="none"/>
              </w:rPr>
            </w:pPr>
            <w:r>
              <w:rPr>
                <w:color w:val="auto"/>
                <w:highlight w:val="none"/>
              </w:rPr>
              <w:t>本项目的情况</w:t>
            </w:r>
          </w:p>
        </w:tc>
        <w:tc>
          <w:tcPr>
            <w:tcW w:w="475" w:type="pct"/>
            <w:tcBorders>
              <w:top w:val="single" w:color="auto" w:sz="12"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95" w:type="pct"/>
            <w:tcBorders>
              <w:top w:val="single" w:color="auto" w:sz="4"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1</w:t>
            </w:r>
          </w:p>
        </w:tc>
        <w:tc>
          <w:tcPr>
            <w:tcW w:w="2507"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《促进产业结构调整暂行规定》、国家发展和改革委员会发布的《产业结构调整指导目录》（2013年修正）限制类和淘汰类产业开发建设项目。</w:t>
            </w:r>
          </w:p>
        </w:tc>
        <w:tc>
          <w:tcPr>
            <w:tcW w:w="1723"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本项目不属于限制类和淘汰类产业开发建设项目。</w:t>
            </w:r>
          </w:p>
        </w:tc>
        <w:tc>
          <w:tcPr>
            <w:tcW w:w="475" w:type="pct"/>
            <w:tcBorders>
              <w:top w:val="single" w:color="auto" w:sz="4"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符合</w:t>
            </w:r>
          </w:p>
          <w:p>
            <w:pPr>
              <w:pStyle w:val="84"/>
              <w:rPr>
                <w:color w:val="auto"/>
                <w:highlight w:val="none"/>
              </w:rPr>
            </w:pPr>
            <w:r>
              <w:rPr>
                <w:color w:val="auto"/>
                <w:highlight w:val="none"/>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95" w:type="pct"/>
            <w:tcBorders>
              <w:top w:val="single" w:color="auto" w:sz="4"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2</w:t>
            </w:r>
          </w:p>
        </w:tc>
        <w:tc>
          <w:tcPr>
            <w:tcW w:w="2507"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《国民经济和社会发展第十三个五年规划纲要》确定的禁止开发区域内不符合主体功能定位的开发建设项目。</w:t>
            </w:r>
          </w:p>
        </w:tc>
        <w:tc>
          <w:tcPr>
            <w:tcW w:w="1723"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本项目建设区未处于“十三五规划纲要”中确定的限制开发区域和禁止开发区域。</w:t>
            </w:r>
          </w:p>
        </w:tc>
        <w:tc>
          <w:tcPr>
            <w:tcW w:w="475" w:type="pct"/>
            <w:tcBorders>
              <w:top w:val="single" w:color="auto" w:sz="4"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符合</w:t>
            </w:r>
          </w:p>
          <w:p>
            <w:pPr>
              <w:pStyle w:val="84"/>
              <w:rPr>
                <w:color w:val="auto"/>
                <w:highlight w:val="none"/>
              </w:rPr>
            </w:pPr>
            <w:r>
              <w:rPr>
                <w:color w:val="auto"/>
                <w:highlight w:val="none"/>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95" w:type="pct"/>
            <w:tcBorders>
              <w:top w:val="single" w:color="auto" w:sz="4"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3</w:t>
            </w:r>
          </w:p>
        </w:tc>
        <w:tc>
          <w:tcPr>
            <w:tcW w:w="2507"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违反《水土保持法》第十四条，在25度以上陡坡地实施的农林开发项目。</w:t>
            </w:r>
          </w:p>
        </w:tc>
        <w:tc>
          <w:tcPr>
            <w:tcW w:w="1723"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工程不属于农林开发项目，同时项目区较为平坦</w:t>
            </w:r>
          </w:p>
        </w:tc>
        <w:tc>
          <w:tcPr>
            <w:tcW w:w="475" w:type="pct"/>
            <w:tcBorders>
              <w:top w:val="single" w:color="auto" w:sz="4"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符合</w:t>
            </w:r>
          </w:p>
          <w:p>
            <w:pPr>
              <w:pStyle w:val="84"/>
              <w:rPr>
                <w:color w:val="auto"/>
                <w:highlight w:val="none"/>
              </w:rPr>
            </w:pPr>
            <w:r>
              <w:rPr>
                <w:color w:val="auto"/>
                <w:highlight w:val="none"/>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95" w:type="pct"/>
            <w:tcBorders>
              <w:top w:val="single" w:color="auto" w:sz="4"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4</w:t>
            </w:r>
          </w:p>
        </w:tc>
        <w:tc>
          <w:tcPr>
            <w:tcW w:w="2507"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违反《水土保持法》第二十条，在县级以上地方人民政府公告的崩塌滑坡危险区和泥石流易发区内取土、挖砂、取石的开发建设项目。</w:t>
            </w:r>
          </w:p>
        </w:tc>
        <w:tc>
          <w:tcPr>
            <w:tcW w:w="1723"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工程未在县级以上地方人民政府公告的崩塌滑坡危险区和泥石流易发区取土、挖沙取石。</w:t>
            </w:r>
          </w:p>
        </w:tc>
        <w:tc>
          <w:tcPr>
            <w:tcW w:w="475" w:type="pct"/>
            <w:tcBorders>
              <w:top w:val="single" w:color="auto" w:sz="4"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符合</w:t>
            </w:r>
          </w:p>
          <w:p>
            <w:pPr>
              <w:pStyle w:val="84"/>
              <w:rPr>
                <w:color w:val="auto"/>
                <w:highlight w:val="none"/>
              </w:rPr>
            </w:pPr>
            <w:r>
              <w:rPr>
                <w:color w:val="auto"/>
                <w:highlight w:val="none"/>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95" w:type="pct"/>
            <w:tcBorders>
              <w:top w:val="single" w:color="auto" w:sz="4"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5</w:t>
            </w:r>
          </w:p>
        </w:tc>
        <w:tc>
          <w:tcPr>
            <w:tcW w:w="2507"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违反《中华人民共和国水法》第十九条，不符合流域综合规划的水工程。</w:t>
            </w:r>
          </w:p>
        </w:tc>
        <w:tc>
          <w:tcPr>
            <w:tcW w:w="1723" w:type="pct"/>
            <w:tcBorders>
              <w:top w:val="single" w:color="auto" w:sz="4" w:space="0"/>
              <w:left w:val="single" w:color="auto" w:sz="4" w:space="0"/>
              <w:bottom w:val="single" w:color="auto" w:sz="4" w:space="0"/>
              <w:right w:val="single" w:color="auto" w:sz="4" w:space="0"/>
            </w:tcBorders>
            <w:vAlign w:val="center"/>
          </w:tcPr>
          <w:p>
            <w:pPr>
              <w:pStyle w:val="84"/>
              <w:rPr>
                <w:color w:val="auto"/>
                <w:highlight w:val="none"/>
              </w:rPr>
            </w:pPr>
            <w:r>
              <w:rPr>
                <w:color w:val="auto"/>
                <w:highlight w:val="none"/>
              </w:rPr>
              <w:t>不涉及</w:t>
            </w:r>
          </w:p>
        </w:tc>
        <w:tc>
          <w:tcPr>
            <w:tcW w:w="475" w:type="pct"/>
            <w:tcBorders>
              <w:top w:val="single" w:color="auto" w:sz="4"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符合</w:t>
            </w:r>
          </w:p>
          <w:p>
            <w:pPr>
              <w:pStyle w:val="84"/>
              <w:rPr>
                <w:color w:val="auto"/>
                <w:highlight w:val="none"/>
              </w:rPr>
            </w:pPr>
            <w:r>
              <w:rPr>
                <w:color w:val="auto"/>
                <w:highlight w:val="none"/>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95" w:type="pct"/>
            <w:tcBorders>
              <w:top w:val="single" w:color="auto" w:sz="4"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6</w:t>
            </w:r>
          </w:p>
        </w:tc>
        <w:tc>
          <w:tcPr>
            <w:tcW w:w="2507"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根据国家产业结构调整的有关规定精神，国家发展和改革主管部门同意后方可开展前期工作，但未能提供相应文件依据的开发建设项目。</w:t>
            </w:r>
          </w:p>
        </w:tc>
        <w:tc>
          <w:tcPr>
            <w:tcW w:w="1723"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本项目已获得建设用地批准书以及备案证。</w:t>
            </w:r>
          </w:p>
        </w:tc>
        <w:tc>
          <w:tcPr>
            <w:tcW w:w="475" w:type="pct"/>
            <w:tcBorders>
              <w:top w:val="single" w:color="auto" w:sz="4"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基本</w:t>
            </w:r>
          </w:p>
          <w:p>
            <w:pPr>
              <w:pStyle w:val="84"/>
              <w:rPr>
                <w:color w:val="auto"/>
                <w:highlight w:val="none"/>
              </w:rPr>
            </w:pPr>
            <w:r>
              <w:rPr>
                <w:color w:val="auto"/>
                <w:highlight w:val="none"/>
              </w:rPr>
              <w:t>符合</w:t>
            </w:r>
          </w:p>
          <w:p>
            <w:pPr>
              <w:pStyle w:val="84"/>
              <w:rPr>
                <w:color w:val="auto"/>
                <w:highlight w:val="none"/>
              </w:rPr>
            </w:pPr>
            <w:r>
              <w:rPr>
                <w:color w:val="auto"/>
                <w:highlight w:val="none"/>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95" w:type="pct"/>
            <w:tcBorders>
              <w:top w:val="single" w:color="auto" w:sz="4"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7</w:t>
            </w:r>
          </w:p>
        </w:tc>
        <w:tc>
          <w:tcPr>
            <w:tcW w:w="2507"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分期建设的开发建设项目，其前期工程存在未编报水土保持方案、水土保持方案未落实和水土保持设施未按期验收的。</w:t>
            </w:r>
          </w:p>
        </w:tc>
        <w:tc>
          <w:tcPr>
            <w:tcW w:w="1723" w:type="pct"/>
            <w:tcBorders>
              <w:top w:val="single" w:color="auto" w:sz="4" w:space="0"/>
              <w:left w:val="single" w:color="auto" w:sz="4" w:space="0"/>
              <w:bottom w:val="single" w:color="auto" w:sz="4" w:space="0"/>
              <w:right w:val="single" w:color="auto" w:sz="4" w:space="0"/>
            </w:tcBorders>
            <w:vAlign w:val="center"/>
          </w:tcPr>
          <w:p>
            <w:pPr>
              <w:pStyle w:val="84"/>
              <w:jc w:val="center"/>
              <w:rPr>
                <w:rFonts w:hint="eastAsia" w:eastAsia="仿宋_GB2312"/>
                <w:color w:val="auto"/>
                <w:highlight w:val="none"/>
                <w:lang w:eastAsia="zh-CN"/>
              </w:rPr>
            </w:pPr>
            <w:r>
              <w:rPr>
                <w:rFonts w:hint="eastAsia"/>
                <w:color w:val="auto"/>
                <w:highlight w:val="none"/>
                <w:lang w:eastAsia="zh-CN"/>
              </w:rPr>
              <w:t>不涉及</w:t>
            </w:r>
          </w:p>
        </w:tc>
        <w:tc>
          <w:tcPr>
            <w:tcW w:w="475" w:type="pct"/>
            <w:tcBorders>
              <w:top w:val="single" w:color="auto" w:sz="4"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符合</w:t>
            </w:r>
          </w:p>
          <w:p>
            <w:pPr>
              <w:pStyle w:val="84"/>
              <w:rPr>
                <w:color w:val="auto"/>
                <w:highlight w:val="none"/>
              </w:rPr>
            </w:pPr>
            <w:r>
              <w:rPr>
                <w:color w:val="auto"/>
                <w:highlight w:val="none"/>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95" w:type="pct"/>
            <w:tcBorders>
              <w:top w:val="single" w:color="auto" w:sz="4"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8</w:t>
            </w:r>
          </w:p>
        </w:tc>
        <w:tc>
          <w:tcPr>
            <w:tcW w:w="2507"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同一投资主体所属的开发建设项目，在建及生产运行的工程中存在未编报水土保持方案、水土保持方案未落实和水土保持设施未按期验收的。</w:t>
            </w:r>
          </w:p>
        </w:tc>
        <w:tc>
          <w:tcPr>
            <w:tcW w:w="1723" w:type="pct"/>
            <w:tcBorders>
              <w:top w:val="single" w:color="auto" w:sz="4" w:space="0"/>
              <w:left w:val="single" w:color="auto" w:sz="4" w:space="0"/>
              <w:bottom w:val="single" w:color="auto" w:sz="4" w:space="0"/>
              <w:right w:val="single" w:color="auto" w:sz="4" w:space="0"/>
            </w:tcBorders>
            <w:vAlign w:val="center"/>
          </w:tcPr>
          <w:p>
            <w:pPr>
              <w:pStyle w:val="84"/>
              <w:jc w:val="center"/>
              <w:rPr>
                <w:color w:val="auto"/>
                <w:highlight w:val="none"/>
              </w:rPr>
            </w:pPr>
            <w:r>
              <w:rPr>
                <w:rFonts w:hint="eastAsia"/>
                <w:color w:val="auto"/>
                <w:highlight w:val="none"/>
                <w:lang w:eastAsia="zh-CN"/>
              </w:rPr>
              <w:t>不涉及</w:t>
            </w:r>
          </w:p>
        </w:tc>
        <w:tc>
          <w:tcPr>
            <w:tcW w:w="475" w:type="pct"/>
            <w:tcBorders>
              <w:top w:val="single" w:color="auto" w:sz="4" w:space="0"/>
              <w:left w:val="single" w:color="auto" w:sz="4" w:space="0"/>
              <w:bottom w:val="single" w:color="auto" w:sz="4" w:space="0"/>
              <w:right w:val="single" w:color="auto" w:sz="12" w:space="0"/>
            </w:tcBorders>
            <w:vAlign w:val="center"/>
          </w:tcPr>
          <w:p>
            <w:pPr>
              <w:pStyle w:val="84"/>
              <w:jc w:val="center"/>
              <w:rPr>
                <w:color w:val="auto"/>
                <w:highlight w:val="none"/>
              </w:rPr>
            </w:pPr>
            <w:r>
              <w:rPr>
                <w:color w:val="auto"/>
                <w:highlight w:val="none"/>
              </w:rPr>
              <w:t>符合</w:t>
            </w:r>
          </w:p>
          <w:p>
            <w:pPr>
              <w:pStyle w:val="84"/>
              <w:rPr>
                <w:color w:val="auto"/>
                <w:highlight w:val="none"/>
              </w:rPr>
            </w:pPr>
            <w:r>
              <w:rPr>
                <w:color w:val="auto"/>
                <w:highlight w:val="none"/>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95" w:type="pct"/>
            <w:tcBorders>
              <w:top w:val="single" w:color="auto" w:sz="4" w:space="0"/>
              <w:left w:val="single" w:color="auto" w:sz="12" w:space="0"/>
              <w:bottom w:val="single" w:color="auto" w:sz="4" w:space="0"/>
              <w:right w:val="single" w:color="auto" w:sz="4" w:space="0"/>
            </w:tcBorders>
            <w:vAlign w:val="center"/>
          </w:tcPr>
          <w:p>
            <w:pPr>
              <w:pStyle w:val="84"/>
              <w:rPr>
                <w:color w:val="auto"/>
                <w:highlight w:val="none"/>
              </w:rPr>
            </w:pPr>
            <w:r>
              <w:rPr>
                <w:color w:val="auto"/>
                <w:highlight w:val="none"/>
              </w:rPr>
              <w:t>9</w:t>
            </w:r>
          </w:p>
        </w:tc>
        <w:tc>
          <w:tcPr>
            <w:tcW w:w="2507" w:type="pct"/>
            <w:tcBorders>
              <w:top w:val="single" w:color="auto" w:sz="4" w:space="0"/>
              <w:left w:val="single" w:color="auto" w:sz="4" w:space="0"/>
              <w:bottom w:val="single" w:color="auto" w:sz="4" w:space="0"/>
              <w:right w:val="single" w:color="auto" w:sz="4" w:space="0"/>
            </w:tcBorders>
            <w:vAlign w:val="center"/>
          </w:tcPr>
          <w:p>
            <w:pPr>
              <w:pStyle w:val="84"/>
              <w:jc w:val="left"/>
              <w:rPr>
                <w:color w:val="auto"/>
                <w:highlight w:val="none"/>
              </w:rPr>
            </w:pPr>
            <w:r>
              <w:rPr>
                <w:color w:val="auto"/>
                <w:highlight w:val="none"/>
              </w:rPr>
              <w:t>处于重要江河、湖泊以及跨省（自治区、直辖市）的其他江河、湖泊的水功能一级区的保护区和保留区内可能严重影响水质的开发建设项目，以及对水功能二级区的饮用水源区水质有影响的开发建设项目。</w:t>
            </w:r>
          </w:p>
        </w:tc>
        <w:tc>
          <w:tcPr>
            <w:tcW w:w="1723" w:type="pct"/>
            <w:tcBorders>
              <w:top w:val="single" w:color="auto" w:sz="4" w:space="0"/>
              <w:left w:val="single" w:color="auto" w:sz="4" w:space="0"/>
              <w:bottom w:val="single" w:color="auto" w:sz="4" w:space="0"/>
              <w:right w:val="single" w:color="auto" w:sz="4" w:space="0"/>
            </w:tcBorders>
            <w:vAlign w:val="center"/>
          </w:tcPr>
          <w:p>
            <w:pPr>
              <w:pStyle w:val="84"/>
              <w:rPr>
                <w:color w:val="auto"/>
                <w:highlight w:val="none"/>
              </w:rPr>
            </w:pPr>
            <w:r>
              <w:rPr>
                <w:color w:val="auto"/>
                <w:highlight w:val="none"/>
              </w:rPr>
              <w:t>不涉及</w:t>
            </w:r>
          </w:p>
        </w:tc>
        <w:tc>
          <w:tcPr>
            <w:tcW w:w="475" w:type="pct"/>
            <w:tcBorders>
              <w:top w:val="single" w:color="auto" w:sz="4" w:space="0"/>
              <w:left w:val="single" w:color="auto" w:sz="4" w:space="0"/>
              <w:bottom w:val="single" w:color="auto" w:sz="4" w:space="0"/>
              <w:right w:val="single" w:color="auto" w:sz="12" w:space="0"/>
            </w:tcBorders>
            <w:vAlign w:val="center"/>
          </w:tcPr>
          <w:p>
            <w:pPr>
              <w:pStyle w:val="84"/>
              <w:rPr>
                <w:color w:val="auto"/>
                <w:highlight w:val="none"/>
              </w:rPr>
            </w:pPr>
            <w:r>
              <w:rPr>
                <w:color w:val="auto"/>
                <w:highlight w:val="none"/>
              </w:rPr>
              <w:t>符合</w:t>
            </w:r>
          </w:p>
          <w:p>
            <w:pPr>
              <w:pStyle w:val="84"/>
              <w:rPr>
                <w:color w:val="auto"/>
                <w:highlight w:val="none"/>
              </w:rPr>
            </w:pPr>
            <w:r>
              <w:rPr>
                <w:color w:val="auto"/>
                <w:highlight w:val="none"/>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95" w:type="pct"/>
            <w:tcBorders>
              <w:top w:val="single" w:color="auto" w:sz="4" w:space="0"/>
              <w:left w:val="single" w:color="auto" w:sz="12" w:space="0"/>
              <w:bottom w:val="single" w:color="auto" w:sz="12" w:space="0"/>
              <w:right w:val="single" w:color="auto" w:sz="4" w:space="0"/>
            </w:tcBorders>
            <w:vAlign w:val="center"/>
          </w:tcPr>
          <w:p>
            <w:pPr>
              <w:pStyle w:val="84"/>
              <w:rPr>
                <w:color w:val="auto"/>
                <w:highlight w:val="none"/>
              </w:rPr>
            </w:pPr>
            <w:r>
              <w:rPr>
                <w:color w:val="auto"/>
                <w:highlight w:val="none"/>
              </w:rPr>
              <w:t>10</w:t>
            </w:r>
          </w:p>
        </w:tc>
        <w:tc>
          <w:tcPr>
            <w:tcW w:w="2507" w:type="pct"/>
            <w:tcBorders>
              <w:top w:val="single" w:color="auto" w:sz="4" w:space="0"/>
              <w:left w:val="single" w:color="auto" w:sz="4" w:space="0"/>
              <w:bottom w:val="single" w:color="auto" w:sz="12" w:space="0"/>
              <w:right w:val="single" w:color="auto" w:sz="4" w:space="0"/>
            </w:tcBorders>
            <w:vAlign w:val="center"/>
          </w:tcPr>
          <w:p>
            <w:pPr>
              <w:pStyle w:val="84"/>
              <w:jc w:val="left"/>
              <w:rPr>
                <w:snapToGrid w:val="0"/>
                <w:color w:val="auto"/>
                <w:highlight w:val="none"/>
              </w:rPr>
            </w:pPr>
            <w:r>
              <w:rPr>
                <w:snapToGrid w:val="0"/>
                <w:color w:val="auto"/>
                <w:highlight w:val="none"/>
              </w:rPr>
              <w:t>在华北、西北等水资源严重短缺的地区，未通过建设项目水资源论证的开发建设项目。</w:t>
            </w:r>
          </w:p>
        </w:tc>
        <w:tc>
          <w:tcPr>
            <w:tcW w:w="1723" w:type="pct"/>
            <w:tcBorders>
              <w:top w:val="single" w:color="auto" w:sz="4" w:space="0"/>
              <w:left w:val="single" w:color="auto" w:sz="4" w:space="0"/>
              <w:bottom w:val="single" w:color="auto" w:sz="12" w:space="0"/>
              <w:right w:val="single" w:color="auto" w:sz="4" w:space="0"/>
            </w:tcBorders>
            <w:vAlign w:val="center"/>
          </w:tcPr>
          <w:p>
            <w:pPr>
              <w:pStyle w:val="84"/>
              <w:jc w:val="left"/>
              <w:rPr>
                <w:snapToGrid w:val="0"/>
                <w:color w:val="auto"/>
                <w:highlight w:val="none"/>
              </w:rPr>
            </w:pPr>
            <w:r>
              <w:rPr>
                <w:color w:val="auto"/>
                <w:highlight w:val="none"/>
              </w:rPr>
              <w:t>本工程不属于此类项目</w:t>
            </w:r>
          </w:p>
        </w:tc>
        <w:tc>
          <w:tcPr>
            <w:tcW w:w="475" w:type="pct"/>
            <w:tcBorders>
              <w:top w:val="single" w:color="auto" w:sz="4" w:space="0"/>
              <w:left w:val="single" w:color="auto" w:sz="4" w:space="0"/>
              <w:bottom w:val="single" w:color="auto" w:sz="12" w:space="0"/>
              <w:right w:val="single" w:color="auto" w:sz="12" w:space="0"/>
            </w:tcBorders>
            <w:vAlign w:val="center"/>
          </w:tcPr>
          <w:p>
            <w:pPr>
              <w:pStyle w:val="84"/>
              <w:rPr>
                <w:color w:val="auto"/>
                <w:highlight w:val="none"/>
              </w:rPr>
            </w:pPr>
            <w:r>
              <w:rPr>
                <w:color w:val="auto"/>
                <w:highlight w:val="none"/>
              </w:rPr>
              <w:t>符合</w:t>
            </w:r>
          </w:p>
          <w:p>
            <w:pPr>
              <w:pStyle w:val="84"/>
              <w:rPr>
                <w:snapToGrid w:val="0"/>
                <w:color w:val="auto"/>
                <w:highlight w:val="none"/>
              </w:rPr>
            </w:pPr>
            <w:r>
              <w:rPr>
                <w:color w:val="auto"/>
                <w:highlight w:val="none"/>
              </w:rPr>
              <w:t>要求</w:t>
            </w:r>
          </w:p>
        </w:tc>
      </w:tr>
    </w:tbl>
    <w:p>
      <w:pPr>
        <w:pStyle w:val="75"/>
        <w:spacing w:before="120" w:beforeLines="50"/>
        <w:rPr>
          <w:color w:val="auto"/>
          <w:highlight w:val="none"/>
        </w:rPr>
      </w:pPr>
      <w:r>
        <w:rPr>
          <w:color w:val="auto"/>
          <w:highlight w:val="none"/>
        </w:rPr>
        <w:t>表3.1-3   生产及建设项目水土保持技术标准(GB50433-2018)的水土保持约束性分析</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2"/>
        <w:gridCol w:w="4392"/>
        <w:gridCol w:w="3542"/>
        <w:gridCol w:w="7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rPr>
        <w:tc>
          <w:tcPr>
            <w:tcW w:w="233" w:type="pct"/>
            <w:tcBorders>
              <w:top w:val="single" w:color="auto" w:sz="12" w:space="0"/>
              <w:left w:val="single" w:color="auto" w:sz="12" w:space="0"/>
              <w:bottom w:val="single" w:color="auto" w:sz="6" w:space="0"/>
              <w:right w:val="single" w:color="auto" w:sz="6" w:space="0"/>
            </w:tcBorders>
            <w:vAlign w:val="center"/>
          </w:tcPr>
          <w:p>
            <w:pPr>
              <w:pStyle w:val="84"/>
              <w:rPr>
                <w:color w:val="auto"/>
                <w:highlight w:val="none"/>
              </w:rPr>
            </w:pPr>
            <w:r>
              <w:rPr>
                <w:color w:val="auto"/>
                <w:highlight w:val="none"/>
              </w:rPr>
              <w:t>序号</w:t>
            </w:r>
          </w:p>
        </w:tc>
        <w:tc>
          <w:tcPr>
            <w:tcW w:w="2424" w:type="pct"/>
            <w:tcBorders>
              <w:top w:val="single" w:color="auto" w:sz="12" w:space="0"/>
              <w:left w:val="single" w:color="auto" w:sz="6" w:space="0"/>
              <w:bottom w:val="single" w:color="auto" w:sz="6" w:space="0"/>
              <w:right w:val="single" w:color="auto" w:sz="6" w:space="0"/>
            </w:tcBorders>
            <w:vAlign w:val="center"/>
          </w:tcPr>
          <w:p>
            <w:pPr>
              <w:pStyle w:val="84"/>
              <w:rPr>
                <w:color w:val="auto"/>
                <w:highlight w:val="none"/>
              </w:rPr>
            </w:pPr>
            <w:r>
              <w:rPr>
                <w:color w:val="auto"/>
                <w:highlight w:val="none"/>
              </w:rPr>
              <w:t>基本规定</w:t>
            </w:r>
          </w:p>
        </w:tc>
        <w:tc>
          <w:tcPr>
            <w:tcW w:w="1955" w:type="pct"/>
            <w:tcBorders>
              <w:top w:val="single" w:color="auto" w:sz="12" w:space="0"/>
              <w:left w:val="single" w:color="auto" w:sz="6" w:space="0"/>
              <w:bottom w:val="single" w:color="auto" w:sz="6" w:space="0"/>
              <w:right w:val="single" w:color="auto" w:sz="6" w:space="0"/>
            </w:tcBorders>
            <w:vAlign w:val="center"/>
          </w:tcPr>
          <w:p>
            <w:pPr>
              <w:pStyle w:val="84"/>
              <w:rPr>
                <w:color w:val="auto"/>
                <w:highlight w:val="none"/>
              </w:rPr>
            </w:pPr>
            <w:r>
              <w:rPr>
                <w:color w:val="auto"/>
                <w:highlight w:val="none"/>
              </w:rPr>
              <w:t>本项目实施情况</w:t>
            </w:r>
          </w:p>
        </w:tc>
        <w:tc>
          <w:tcPr>
            <w:tcW w:w="388" w:type="pct"/>
            <w:tcBorders>
              <w:top w:val="single" w:color="auto" w:sz="12" w:space="0"/>
              <w:left w:val="single" w:color="auto" w:sz="6" w:space="0"/>
              <w:bottom w:val="single" w:color="auto" w:sz="6" w:space="0"/>
              <w:right w:val="single" w:color="auto" w:sz="12" w:space="0"/>
            </w:tcBorders>
            <w:vAlign w:val="center"/>
          </w:tcPr>
          <w:p>
            <w:pPr>
              <w:pStyle w:val="84"/>
              <w:rPr>
                <w:color w:val="auto"/>
                <w:highlight w:val="none"/>
              </w:rPr>
            </w:pPr>
            <w:r>
              <w:rPr>
                <w:color w:val="auto"/>
                <w:highlight w:val="none"/>
              </w:rPr>
              <w:t>是否满足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233" w:type="pct"/>
            <w:tcBorders>
              <w:top w:val="single" w:color="auto" w:sz="6" w:space="0"/>
              <w:left w:val="single" w:color="auto" w:sz="12" w:space="0"/>
              <w:bottom w:val="single" w:color="auto" w:sz="6" w:space="0"/>
              <w:right w:val="single" w:color="auto" w:sz="6" w:space="0"/>
            </w:tcBorders>
            <w:vAlign w:val="center"/>
          </w:tcPr>
          <w:p>
            <w:pPr>
              <w:pStyle w:val="84"/>
              <w:rPr>
                <w:color w:val="auto"/>
                <w:highlight w:val="none"/>
              </w:rPr>
            </w:pPr>
            <w:r>
              <w:rPr>
                <w:color w:val="auto"/>
                <w:highlight w:val="none"/>
              </w:rPr>
              <w:t>1</w:t>
            </w:r>
          </w:p>
        </w:tc>
        <w:tc>
          <w:tcPr>
            <w:tcW w:w="2424" w:type="pct"/>
            <w:tcBorders>
              <w:top w:val="single" w:color="auto" w:sz="6" w:space="0"/>
              <w:left w:val="single" w:color="auto" w:sz="6" w:space="0"/>
              <w:bottom w:val="single" w:color="auto" w:sz="6" w:space="0"/>
              <w:right w:val="single" w:color="auto" w:sz="6" w:space="0"/>
            </w:tcBorders>
            <w:vAlign w:val="center"/>
          </w:tcPr>
          <w:p>
            <w:pPr>
              <w:pStyle w:val="84"/>
              <w:jc w:val="left"/>
              <w:rPr>
                <w:color w:val="auto"/>
                <w:highlight w:val="none"/>
              </w:rPr>
            </w:pPr>
            <w:r>
              <w:rPr>
                <w:color w:val="auto"/>
                <w:highlight w:val="none"/>
              </w:rPr>
              <w:t>主体工程选址（线）应避让水土流失重点预防区和重点治理区；</w:t>
            </w:r>
          </w:p>
        </w:tc>
        <w:tc>
          <w:tcPr>
            <w:tcW w:w="1955" w:type="pct"/>
            <w:tcBorders>
              <w:top w:val="single" w:color="auto" w:sz="6" w:space="0"/>
              <w:left w:val="single" w:color="auto" w:sz="6" w:space="0"/>
              <w:bottom w:val="single" w:color="auto" w:sz="6" w:space="0"/>
              <w:right w:val="single" w:color="auto" w:sz="6" w:space="0"/>
            </w:tcBorders>
            <w:vAlign w:val="center"/>
          </w:tcPr>
          <w:p>
            <w:pPr>
              <w:pStyle w:val="84"/>
              <w:jc w:val="left"/>
              <w:rPr>
                <w:color w:val="auto"/>
                <w:highlight w:val="none"/>
              </w:rPr>
            </w:pPr>
            <w:r>
              <w:rPr>
                <w:color w:val="auto"/>
                <w:highlight w:val="none"/>
              </w:rPr>
              <w:t>项目区不属于国家级水土流失重点预防区和重点治理区，但属于省级水土流失重点治理区</w:t>
            </w:r>
            <w:r>
              <w:rPr>
                <w:rFonts w:hint="eastAsia"/>
                <w:color w:val="auto"/>
                <w:highlight w:val="none"/>
                <w:lang w:eastAsia="zh-CN"/>
              </w:rPr>
              <w:t>和</w:t>
            </w:r>
            <w:r>
              <w:rPr>
                <w:color w:val="auto"/>
                <w:highlight w:val="none"/>
              </w:rPr>
              <w:t>重点预防区，已采取一级标准，并且主体施工期间已优化施工工艺，已最大程度减少对周边扰动。</w:t>
            </w:r>
          </w:p>
        </w:tc>
        <w:tc>
          <w:tcPr>
            <w:tcW w:w="388" w:type="pct"/>
            <w:tcBorders>
              <w:top w:val="single" w:color="auto" w:sz="6" w:space="0"/>
              <w:left w:val="single" w:color="auto" w:sz="6" w:space="0"/>
              <w:bottom w:val="single" w:color="auto" w:sz="6" w:space="0"/>
              <w:right w:val="single" w:color="auto" w:sz="12" w:space="0"/>
            </w:tcBorders>
            <w:vAlign w:val="center"/>
          </w:tcPr>
          <w:p>
            <w:pPr>
              <w:pStyle w:val="84"/>
              <w:rPr>
                <w:color w:val="auto"/>
                <w:highlight w:val="none"/>
              </w:rPr>
            </w:pPr>
            <w:r>
              <w:rPr>
                <w:color w:val="auto"/>
                <w:highlight w:val="none"/>
              </w:rPr>
              <w:t>基本满足规范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trPr>
        <w:tc>
          <w:tcPr>
            <w:tcW w:w="233" w:type="pct"/>
            <w:tcBorders>
              <w:top w:val="single" w:color="auto" w:sz="6" w:space="0"/>
              <w:left w:val="single" w:color="auto" w:sz="12" w:space="0"/>
              <w:bottom w:val="single" w:color="auto" w:sz="6" w:space="0"/>
              <w:right w:val="single" w:color="auto" w:sz="6" w:space="0"/>
            </w:tcBorders>
            <w:vAlign w:val="center"/>
          </w:tcPr>
          <w:p>
            <w:pPr>
              <w:pStyle w:val="84"/>
              <w:rPr>
                <w:color w:val="auto"/>
                <w:highlight w:val="none"/>
              </w:rPr>
            </w:pPr>
            <w:r>
              <w:rPr>
                <w:color w:val="auto"/>
                <w:highlight w:val="none"/>
              </w:rPr>
              <w:t>2</w:t>
            </w:r>
          </w:p>
        </w:tc>
        <w:tc>
          <w:tcPr>
            <w:tcW w:w="2424" w:type="pct"/>
            <w:tcBorders>
              <w:top w:val="single" w:color="auto" w:sz="6" w:space="0"/>
              <w:left w:val="single" w:color="auto" w:sz="6" w:space="0"/>
              <w:bottom w:val="single" w:color="auto" w:sz="6" w:space="0"/>
              <w:right w:val="single" w:color="auto" w:sz="6" w:space="0"/>
            </w:tcBorders>
            <w:vAlign w:val="center"/>
          </w:tcPr>
          <w:p>
            <w:pPr>
              <w:pStyle w:val="84"/>
              <w:jc w:val="left"/>
              <w:rPr>
                <w:color w:val="auto"/>
                <w:highlight w:val="none"/>
              </w:rPr>
            </w:pPr>
            <w:r>
              <w:rPr>
                <w:color w:val="auto"/>
                <w:highlight w:val="none"/>
              </w:rPr>
              <w:t xml:space="preserve">主体工程选址（线）应避让河流两岸、湖泊和水库周边的植物保护带； </w:t>
            </w:r>
          </w:p>
        </w:tc>
        <w:tc>
          <w:tcPr>
            <w:tcW w:w="1955" w:type="pct"/>
            <w:tcBorders>
              <w:top w:val="single" w:color="auto" w:sz="6" w:space="0"/>
              <w:left w:val="single" w:color="auto" w:sz="6" w:space="0"/>
              <w:bottom w:val="single" w:color="auto" w:sz="6" w:space="0"/>
              <w:right w:val="single" w:color="auto" w:sz="6" w:space="0"/>
            </w:tcBorders>
            <w:vAlign w:val="center"/>
          </w:tcPr>
          <w:p>
            <w:pPr>
              <w:pStyle w:val="84"/>
              <w:rPr>
                <w:color w:val="auto"/>
                <w:highlight w:val="none"/>
              </w:rPr>
            </w:pPr>
            <w:r>
              <w:rPr>
                <w:color w:val="auto"/>
                <w:highlight w:val="none"/>
              </w:rPr>
              <w:t>不涉及</w:t>
            </w:r>
          </w:p>
        </w:tc>
        <w:tc>
          <w:tcPr>
            <w:tcW w:w="388" w:type="pct"/>
            <w:tcBorders>
              <w:top w:val="single" w:color="auto" w:sz="6" w:space="0"/>
              <w:left w:val="single" w:color="auto" w:sz="6" w:space="0"/>
              <w:bottom w:val="single" w:color="auto" w:sz="6" w:space="0"/>
              <w:right w:val="single" w:color="auto" w:sz="12" w:space="0"/>
            </w:tcBorders>
            <w:vAlign w:val="center"/>
          </w:tcPr>
          <w:p>
            <w:pPr>
              <w:pStyle w:val="84"/>
              <w:rPr>
                <w:color w:val="auto"/>
                <w:highlight w:val="none"/>
              </w:rPr>
            </w:pPr>
            <w:r>
              <w:rPr>
                <w:color w:val="auto"/>
                <w:highlight w:val="none"/>
              </w:rPr>
              <w:t>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233" w:type="pct"/>
            <w:tcBorders>
              <w:top w:val="single" w:color="auto" w:sz="6" w:space="0"/>
              <w:left w:val="single" w:color="auto" w:sz="12" w:space="0"/>
              <w:bottom w:val="single" w:color="auto" w:sz="6" w:space="0"/>
              <w:right w:val="single" w:color="auto" w:sz="6" w:space="0"/>
            </w:tcBorders>
            <w:vAlign w:val="center"/>
          </w:tcPr>
          <w:p>
            <w:pPr>
              <w:pStyle w:val="84"/>
              <w:rPr>
                <w:color w:val="auto"/>
                <w:highlight w:val="none"/>
              </w:rPr>
            </w:pPr>
            <w:r>
              <w:rPr>
                <w:color w:val="auto"/>
                <w:highlight w:val="none"/>
              </w:rPr>
              <w:t>3</w:t>
            </w:r>
          </w:p>
        </w:tc>
        <w:tc>
          <w:tcPr>
            <w:tcW w:w="2424" w:type="pct"/>
            <w:tcBorders>
              <w:top w:val="single" w:color="auto" w:sz="6" w:space="0"/>
              <w:left w:val="single" w:color="auto" w:sz="6" w:space="0"/>
              <w:bottom w:val="single" w:color="auto" w:sz="6" w:space="0"/>
              <w:right w:val="single" w:color="auto" w:sz="6" w:space="0"/>
            </w:tcBorders>
            <w:vAlign w:val="center"/>
          </w:tcPr>
          <w:p>
            <w:pPr>
              <w:pStyle w:val="84"/>
              <w:jc w:val="left"/>
              <w:rPr>
                <w:color w:val="auto"/>
                <w:highlight w:val="none"/>
              </w:rPr>
            </w:pPr>
            <w:r>
              <w:rPr>
                <w:color w:val="auto"/>
                <w:highlight w:val="none"/>
              </w:rPr>
              <w:t>主体工程选址（线）应避让全国水土保持监测网络中的水土保持监测站点、重点实验区、不得占用国家确定的水土保持长期定位观测站。</w:t>
            </w:r>
          </w:p>
        </w:tc>
        <w:tc>
          <w:tcPr>
            <w:tcW w:w="1955" w:type="pct"/>
            <w:tcBorders>
              <w:top w:val="single" w:color="auto" w:sz="6" w:space="0"/>
              <w:left w:val="single" w:color="auto" w:sz="6" w:space="0"/>
              <w:bottom w:val="single" w:color="auto" w:sz="6" w:space="0"/>
              <w:right w:val="single" w:color="auto" w:sz="6" w:space="0"/>
            </w:tcBorders>
            <w:vAlign w:val="center"/>
          </w:tcPr>
          <w:p>
            <w:pPr>
              <w:pStyle w:val="84"/>
              <w:jc w:val="left"/>
              <w:rPr>
                <w:color w:val="auto"/>
                <w:highlight w:val="none"/>
              </w:rPr>
            </w:pPr>
            <w:r>
              <w:rPr>
                <w:color w:val="auto"/>
                <w:highlight w:val="none"/>
              </w:rPr>
              <w:t>项目区不涉及上述区域</w:t>
            </w:r>
          </w:p>
        </w:tc>
        <w:tc>
          <w:tcPr>
            <w:tcW w:w="388" w:type="pct"/>
            <w:tcBorders>
              <w:top w:val="single" w:color="auto" w:sz="6" w:space="0"/>
              <w:left w:val="single" w:color="auto" w:sz="6" w:space="0"/>
              <w:bottom w:val="single" w:color="auto" w:sz="6" w:space="0"/>
              <w:right w:val="single" w:color="auto" w:sz="12" w:space="0"/>
            </w:tcBorders>
            <w:vAlign w:val="center"/>
          </w:tcPr>
          <w:p>
            <w:pPr>
              <w:pStyle w:val="84"/>
              <w:rPr>
                <w:color w:val="auto"/>
                <w:highlight w:val="none"/>
              </w:rPr>
            </w:pPr>
            <w:r>
              <w:rPr>
                <w:color w:val="auto"/>
                <w:highlight w:val="none"/>
              </w:rPr>
              <w:t>满足规范</w:t>
            </w:r>
          </w:p>
        </w:tc>
      </w:tr>
    </w:tbl>
    <w:p>
      <w:pPr>
        <w:pStyle w:val="56"/>
        <w:ind w:firstLine="480"/>
        <w:rPr>
          <w:color w:val="auto"/>
          <w:highlight w:val="none"/>
        </w:rPr>
      </w:pPr>
      <w:r>
        <w:rPr>
          <w:color w:val="auto"/>
          <w:highlight w:val="none"/>
        </w:rPr>
        <w:t>根据以上分析，按照主体建设方案，通过对项目区水土流失与水土保持调查，对照《中华人民共和国水土保持法》、《生产建设项目水土保持技术标准》（GB50433-2018）和水保[2007]184号文对主体工程的约束性规定，项目区未涉及饮用水源保护区、自然保护区、世界文化和自然遗产地、风景名胜区、地质公园、森林公园、重要湿地，主体工程选址不涉及泥石流易发区、崩塌滑坡危险区以及易引发严重水土流失和生态恶化的地区；不占用全国水土保持网络中的水土保持监测点、重点试验区，不占用国家确定的水土保持长期定位观测站；不在重要江河、湖泊以及跨省（自治区、直辖市）的湖泊的水功能一级区的保护区和保留区，以及水功能二级区的饮用水源区；不涉及饮用水源保护区、自然保护区等环境敏感区。</w:t>
      </w:r>
    </w:p>
    <w:p>
      <w:pPr>
        <w:pStyle w:val="56"/>
        <w:ind w:firstLine="480"/>
        <w:rPr>
          <w:color w:val="auto"/>
          <w:highlight w:val="none"/>
        </w:rPr>
      </w:pPr>
      <w:r>
        <w:rPr>
          <w:color w:val="auto"/>
          <w:highlight w:val="none"/>
        </w:rPr>
        <w:t>综上所述，对照《中华人民共和国水土保持法》、《关于严格开发建设项目水土保持方案审查审批工作的通知》水保[2007]184号文及《生产建设项目水土保持技术标准》对主体工程的制约性分析认为，该项目符合水土保持的要求，不存在水土保持制约因素，项目建设具有可行性。</w:t>
      </w:r>
    </w:p>
    <w:p>
      <w:pPr>
        <w:pStyle w:val="66"/>
        <w:rPr>
          <w:color w:val="auto"/>
          <w:highlight w:val="none"/>
        </w:rPr>
      </w:pPr>
      <w:bookmarkStart w:id="90" w:name="_Toc30497"/>
      <w:r>
        <w:rPr>
          <w:color w:val="auto"/>
          <w:highlight w:val="none"/>
        </w:rPr>
        <w:t>3.2 建设方案与布局水土保持评价</w:t>
      </w:r>
      <w:bookmarkEnd w:id="90"/>
    </w:p>
    <w:p>
      <w:pPr>
        <w:pStyle w:val="69"/>
        <w:rPr>
          <w:color w:val="auto"/>
          <w:szCs w:val="22"/>
          <w:highlight w:val="none"/>
        </w:rPr>
      </w:pPr>
      <w:r>
        <w:rPr>
          <w:color w:val="auto"/>
          <w:highlight w:val="none"/>
        </w:rPr>
        <w:t>3.2.1 建设方案评价</w:t>
      </w:r>
    </w:p>
    <w:p>
      <w:pPr>
        <w:pStyle w:val="56"/>
        <w:ind w:firstLine="480"/>
        <w:rPr>
          <w:color w:val="auto"/>
          <w:highlight w:val="none"/>
        </w:rPr>
      </w:pPr>
      <w:r>
        <w:rPr>
          <w:color w:val="auto"/>
          <w:highlight w:val="none"/>
        </w:rPr>
        <w:t>项目区整体较为平整，主体设计项目区施工期间达到平整要求后建设各建构筑物及道路等，不存在高填深挖情况，且利用场地内土方顺坡平整场地，有利于减少土石方的动迁，最大程度利用挖方，无永久弃方。主体设计在周边空地实施绿化，美化场区环境，改善区域环境。同时本项目位于平原区，在城区范围内，不涉及洪水汇水影响。项目用地按功能区划分为建构筑物区和绿化区，各功能区均用环形道路分隔开，并根据需要和要求设有通道，便于行人和车辆出入。主体整体布局较为紧凑，最大程度利用减少周边现有设施，减少扰动地表面积，有利于水土保持。</w:t>
      </w:r>
    </w:p>
    <w:p>
      <w:pPr>
        <w:pStyle w:val="56"/>
        <w:ind w:firstLine="480"/>
        <w:rPr>
          <w:color w:val="auto"/>
          <w:highlight w:val="none"/>
        </w:rPr>
      </w:pPr>
      <w:r>
        <w:rPr>
          <w:color w:val="auto"/>
          <w:highlight w:val="none"/>
        </w:rPr>
        <w:t>综上所述，项目区整体布局紧凑，各建构筑物布置合理，项目区内部空地均得到有效利用，主体工程符合《生产建设项目水土保持技术标准》(GB-50433-2018)中规定的工程选址、建设方案及布局要求。</w:t>
      </w:r>
    </w:p>
    <w:p>
      <w:pPr>
        <w:pStyle w:val="69"/>
        <w:rPr>
          <w:color w:val="auto"/>
          <w:highlight w:val="none"/>
        </w:rPr>
      </w:pPr>
      <w:bookmarkStart w:id="91" w:name="_Toc407014535"/>
      <w:bookmarkStart w:id="92" w:name="_Toc417412321"/>
      <w:r>
        <w:rPr>
          <w:color w:val="auto"/>
          <w:highlight w:val="none"/>
        </w:rPr>
        <w:t>3.2.2 工程占地评价</w:t>
      </w:r>
      <w:bookmarkEnd w:id="91"/>
      <w:bookmarkEnd w:id="92"/>
    </w:p>
    <w:p>
      <w:pPr>
        <w:pStyle w:val="56"/>
        <w:ind w:firstLine="480"/>
        <w:rPr>
          <w:color w:val="auto"/>
          <w:highlight w:val="none"/>
        </w:rPr>
      </w:pPr>
      <w:bookmarkStart w:id="93" w:name="_Toc417412322"/>
      <w:bookmarkStart w:id="94" w:name="_Toc407014536"/>
      <w:r>
        <w:rPr>
          <w:color w:val="auto"/>
          <w:highlight w:val="none"/>
        </w:rPr>
        <w:t>（1）在施工过程中，项目区永久征地范围内道路采取永临结合的布置方式，施工期间分区域集中布设，能够有效减少施工扰动面积；项目区建设土石方均回填利用，无借方无弃方，建设后期采取场地平整，减少了项目建设周边的影响。工程设计遵循施工方便，工程布置选择便捷，力求减少扰动面积。</w:t>
      </w:r>
    </w:p>
    <w:p>
      <w:pPr>
        <w:pStyle w:val="56"/>
        <w:ind w:firstLine="480"/>
        <w:rPr>
          <w:color w:val="auto"/>
          <w:highlight w:val="none"/>
        </w:rPr>
      </w:pPr>
      <w:r>
        <w:rPr>
          <w:color w:val="auto"/>
          <w:highlight w:val="none"/>
        </w:rPr>
        <w:t>（2）工程建设占用的住宅用地植被覆盖率较低，周边土地贫瘠，土壤条件较差，生产力水平低，不会对当地居民的生产生活造成明显影响，也不会对当地的生态环境和自然植被造成明显破坏。因此占地符合中华人民共和国国家标准《生产建设项目水土保持技术标准》(GB 50433-2018)的相关规定，不占用基本农田、园地等生产力较高的土地，有利于保护水土资源，符合水土保持要求。</w:t>
      </w:r>
    </w:p>
    <w:p>
      <w:pPr>
        <w:pStyle w:val="56"/>
        <w:ind w:firstLine="480"/>
        <w:rPr>
          <w:rFonts w:hint="default" w:ascii="Times New Roman" w:hAnsi="Times New Roman" w:eastAsia="仿宋_GB2312" w:cs="Times New Roman"/>
          <w:color w:val="auto"/>
          <w:highlight w:val="none"/>
        </w:rPr>
      </w:pPr>
      <w:r>
        <w:rPr>
          <w:color w:val="auto"/>
          <w:highlight w:val="none"/>
        </w:rPr>
        <w:t>（3）项目建设总占地面积</w:t>
      </w:r>
      <w:r>
        <w:rPr>
          <w:rFonts w:hint="eastAsia"/>
          <w:color w:val="auto"/>
          <w:highlight w:val="none"/>
          <w:lang w:val="en-US" w:eastAsia="zh-CN"/>
        </w:rPr>
        <w:t>2.96</w:t>
      </w:r>
      <w:r>
        <w:rPr>
          <w:color w:val="auto"/>
          <w:highlight w:val="none"/>
        </w:rPr>
        <w:t>hm²，</w:t>
      </w:r>
      <w:r>
        <w:rPr>
          <w:rFonts w:hint="eastAsia"/>
          <w:color w:val="auto"/>
          <w:highlight w:val="none"/>
          <w:lang w:eastAsia="zh-CN"/>
        </w:rPr>
        <w:t>均为</w:t>
      </w:r>
      <w:r>
        <w:rPr>
          <w:color w:val="auto"/>
          <w:highlight w:val="none"/>
        </w:rPr>
        <w:t>永久占地。</w:t>
      </w:r>
      <w:r>
        <w:rPr>
          <w:rFonts w:hint="default" w:ascii="Times New Roman" w:hAnsi="Times New Roman" w:eastAsia="仿宋_GB2312" w:cs="Times New Roman"/>
          <w:color w:val="auto"/>
          <w:highlight w:val="none"/>
        </w:rPr>
        <w:t>永久占地为建构筑物、绿化以及道路硬化占地，管线工程区和</w:t>
      </w:r>
      <w:r>
        <w:rPr>
          <w:rFonts w:hint="eastAsia" w:cs="Times New Roman"/>
          <w:color w:val="auto"/>
          <w:highlight w:val="none"/>
          <w:lang w:eastAsia="zh-CN"/>
        </w:rPr>
        <w:t>施工生产区</w:t>
      </w:r>
      <w:r>
        <w:rPr>
          <w:rFonts w:hint="default" w:ascii="Times New Roman" w:hAnsi="Times New Roman" w:eastAsia="仿宋_GB2312" w:cs="Times New Roman"/>
          <w:color w:val="auto"/>
          <w:highlight w:val="none"/>
        </w:rPr>
        <w:t>为重复占地。总体上，工程施工区在保证工程正常施工用地的前提下，尽量利用现有设施建设场内道路，避免了新增临时占用土地数量，减少了扰动原地貌，可在一定程度上减少水土流失。同时管线施工期间最大程度的利用周边现有设施，减少施工扰动范围，将施工占地控制在红线范围内，有利于水土保持。因此，主体工程在占地性质上是基本合理的。</w:t>
      </w:r>
    </w:p>
    <w:p>
      <w:pPr>
        <w:pStyle w:val="56"/>
        <w:ind w:firstLine="480"/>
        <w:rPr>
          <w:color w:val="auto"/>
          <w:highlight w:val="none"/>
        </w:rPr>
      </w:pPr>
      <w:r>
        <w:rPr>
          <w:color w:val="auto"/>
          <w:highlight w:val="none"/>
        </w:rPr>
        <w:t>综上所述，主体工程在占地类型、面积和占地性质等方面对水土保持未形成制约性因素，符合水土保持要求。</w:t>
      </w:r>
    </w:p>
    <w:p>
      <w:pPr>
        <w:pStyle w:val="69"/>
        <w:rPr>
          <w:color w:val="auto"/>
          <w:highlight w:val="none"/>
        </w:rPr>
      </w:pPr>
      <w:r>
        <w:rPr>
          <w:color w:val="auto"/>
          <w:highlight w:val="none"/>
        </w:rPr>
        <w:t>3.2.3 土石方平衡评价</w:t>
      </w:r>
      <w:bookmarkEnd w:id="93"/>
      <w:bookmarkEnd w:id="94"/>
    </w:p>
    <w:p>
      <w:pPr>
        <w:pStyle w:val="56"/>
        <w:ind w:firstLine="480"/>
        <w:rPr>
          <w:color w:val="auto"/>
          <w:highlight w:val="none"/>
        </w:rPr>
      </w:pPr>
      <w:r>
        <w:rPr>
          <w:color w:val="auto"/>
          <w:highlight w:val="none"/>
        </w:rPr>
        <w:t>根据主体资料，本工程总挖方2.1</w:t>
      </w:r>
      <w:r>
        <w:rPr>
          <w:rFonts w:hint="eastAsia"/>
          <w:color w:val="auto"/>
          <w:highlight w:val="none"/>
          <w:lang w:val="en-US" w:eastAsia="zh-CN"/>
        </w:rPr>
        <w:t>8</w:t>
      </w:r>
      <w:r>
        <w:rPr>
          <w:color w:val="auto"/>
          <w:highlight w:val="none"/>
        </w:rPr>
        <w:t>万m³，填方2.1</w:t>
      </w:r>
      <w:r>
        <w:rPr>
          <w:rFonts w:hint="eastAsia"/>
          <w:color w:val="auto"/>
          <w:highlight w:val="none"/>
          <w:lang w:val="en-US" w:eastAsia="zh-CN"/>
        </w:rPr>
        <w:t>8</w:t>
      </w:r>
      <w:r>
        <w:rPr>
          <w:color w:val="auto"/>
          <w:highlight w:val="none"/>
        </w:rPr>
        <w:t>万m³，无借方，无弃方。涉及土方主要为建构筑物基础和管沟开挖回填。建构筑物基础开挖土方临时堆置在开挖基础周边，后期回填利用。管沟开挖土方临时堆置在管沟开挖一侧，后期管线铺设完成后回填利用。同时为减少工程建设产生的土石方，主体最优布设相应的各类管线，部分管线采取同沟布设，最大程度减少工程重复扰动以及减少土石方开挖量。</w:t>
      </w:r>
    </w:p>
    <w:p>
      <w:pPr>
        <w:pStyle w:val="56"/>
        <w:ind w:firstLine="480"/>
        <w:rPr>
          <w:color w:val="auto"/>
          <w:highlight w:val="none"/>
        </w:rPr>
      </w:pPr>
      <w:r>
        <w:rPr>
          <w:color w:val="auto"/>
          <w:highlight w:val="none"/>
        </w:rPr>
        <w:t>综上所述，本项目土石方来源及去向明确，土石方利用和调配合理、有序；土石方组成符合要求，运距合理。</w:t>
      </w:r>
      <w:r>
        <w:rPr>
          <w:bCs/>
          <w:color w:val="auto"/>
          <w:highlight w:val="none"/>
        </w:rPr>
        <w:t>工程开挖土方全部得到了合理处置，满足水土保持的要求。</w:t>
      </w:r>
    </w:p>
    <w:p>
      <w:pPr>
        <w:pStyle w:val="69"/>
        <w:rPr>
          <w:color w:val="auto"/>
          <w:highlight w:val="none"/>
        </w:rPr>
      </w:pPr>
      <w:r>
        <w:rPr>
          <w:color w:val="auto"/>
          <w:highlight w:val="none"/>
        </w:rPr>
        <w:t>3.2.4 取土（石、砂）场设置评价</w:t>
      </w:r>
    </w:p>
    <w:p>
      <w:pPr>
        <w:pStyle w:val="56"/>
        <w:ind w:firstLine="480"/>
        <w:rPr>
          <w:color w:val="auto"/>
          <w:highlight w:val="none"/>
        </w:rPr>
      </w:pPr>
      <w:r>
        <w:rPr>
          <w:color w:val="auto"/>
          <w:highlight w:val="none"/>
        </w:rPr>
        <w:t>本项目建设所需的混凝土砂砾石拌合料从当地商品料场购买，其水土保持责任由砂砾石料厂承担，不设置专用料场。</w:t>
      </w:r>
    </w:p>
    <w:p>
      <w:pPr>
        <w:pStyle w:val="69"/>
        <w:rPr>
          <w:color w:val="auto"/>
          <w:highlight w:val="none"/>
        </w:rPr>
      </w:pPr>
      <w:r>
        <w:rPr>
          <w:color w:val="auto"/>
          <w:highlight w:val="none"/>
        </w:rPr>
        <w:t>3.2.5 弃渣（石、渣、灰、矸石、尾矿）场设置评价</w:t>
      </w:r>
    </w:p>
    <w:p>
      <w:pPr>
        <w:pStyle w:val="56"/>
        <w:ind w:firstLine="480"/>
        <w:rPr>
          <w:color w:val="auto"/>
          <w:highlight w:val="none"/>
        </w:rPr>
      </w:pPr>
      <w:r>
        <w:rPr>
          <w:color w:val="auto"/>
          <w:highlight w:val="none"/>
        </w:rPr>
        <w:t>本工程建设期间挖方均用于后期回填，无永久弃方，因此无永久弃渣场。</w:t>
      </w:r>
    </w:p>
    <w:p>
      <w:pPr>
        <w:pStyle w:val="69"/>
        <w:rPr>
          <w:color w:val="auto"/>
          <w:highlight w:val="none"/>
        </w:rPr>
      </w:pPr>
      <w:r>
        <w:rPr>
          <w:color w:val="auto"/>
          <w:highlight w:val="none"/>
        </w:rPr>
        <w:t>3.2.6 施工方法与工艺评价</w:t>
      </w:r>
    </w:p>
    <w:p>
      <w:pPr>
        <w:pStyle w:val="56"/>
        <w:ind w:firstLine="480"/>
        <w:rPr>
          <w:color w:val="auto"/>
          <w:highlight w:val="none"/>
        </w:rPr>
      </w:pPr>
      <w:r>
        <w:rPr>
          <w:color w:val="auto"/>
          <w:highlight w:val="none"/>
        </w:rPr>
        <w:t>（1）建构筑物施工工艺</w:t>
      </w:r>
    </w:p>
    <w:p>
      <w:pPr>
        <w:pStyle w:val="56"/>
        <w:ind w:firstLine="480"/>
        <w:rPr>
          <w:color w:val="auto"/>
          <w:highlight w:val="none"/>
        </w:rPr>
      </w:pPr>
      <w:r>
        <w:rPr>
          <w:color w:val="auto"/>
          <w:highlight w:val="none"/>
        </w:rPr>
        <w:t>根据勘查，建构筑物施工以机械为主，配合少量人工。建筑物基础采用机械开挖，速度较快，可减少扰动时间。地下工程边坡开挖较浅，边坡稳定，施工方法合理。</w:t>
      </w:r>
    </w:p>
    <w:p>
      <w:pPr>
        <w:pStyle w:val="56"/>
        <w:ind w:firstLine="480"/>
        <w:rPr>
          <w:color w:val="auto"/>
          <w:highlight w:val="none"/>
        </w:rPr>
      </w:pPr>
      <w:r>
        <w:rPr>
          <w:color w:val="auto"/>
          <w:highlight w:val="none"/>
        </w:rPr>
        <w:t>（2）绿化区</w:t>
      </w:r>
    </w:p>
    <w:p>
      <w:pPr>
        <w:pStyle w:val="56"/>
        <w:ind w:firstLine="480"/>
        <w:rPr>
          <w:color w:val="auto"/>
          <w:highlight w:val="none"/>
        </w:rPr>
      </w:pPr>
      <w:r>
        <w:rPr>
          <w:color w:val="auto"/>
          <w:highlight w:val="none"/>
        </w:rPr>
        <w:t>绿地建设一般在工程后期进行，用不同的园林植物群落配置，通过全面整地、扩穴、施肥后先植乔、灌木，形成绿化图案骨架和形态后再铺种草皮。</w:t>
      </w:r>
    </w:p>
    <w:p>
      <w:pPr>
        <w:pStyle w:val="56"/>
        <w:ind w:firstLine="480"/>
        <w:rPr>
          <w:color w:val="auto"/>
          <w:highlight w:val="none"/>
        </w:rPr>
      </w:pPr>
      <w:r>
        <w:rPr>
          <w:color w:val="auto"/>
          <w:highlight w:val="none"/>
        </w:rPr>
        <w:t>（3）道路及硬化区施工工艺</w:t>
      </w:r>
    </w:p>
    <w:p>
      <w:pPr>
        <w:pStyle w:val="56"/>
        <w:ind w:firstLine="480"/>
        <w:rPr>
          <w:color w:val="auto"/>
          <w:highlight w:val="none"/>
        </w:rPr>
      </w:pPr>
      <w:r>
        <w:rPr>
          <w:color w:val="auto"/>
          <w:highlight w:val="none"/>
        </w:rPr>
        <w:t>路基施工为常规施工，以机械施工为主，并以人工辅助。施工中，运输车辆运土，推土机摊铺，振动碾分层碾压，工艺合理，施工便捷，步骤紧凑，速度较快，堆填、平整、碾压步骤合理、连贯，减少土壤流失。施工期间道路硬化前在风季容易造成水土流失，故应注意防尘。</w:t>
      </w:r>
    </w:p>
    <w:p>
      <w:pPr>
        <w:pStyle w:val="56"/>
        <w:ind w:firstLine="480"/>
        <w:rPr>
          <w:color w:val="auto"/>
          <w:highlight w:val="none"/>
        </w:rPr>
      </w:pPr>
      <w:r>
        <w:rPr>
          <w:color w:val="auto"/>
          <w:highlight w:val="none"/>
        </w:rPr>
        <w:t>（4）管线工程区施工工艺</w:t>
      </w:r>
    </w:p>
    <w:p>
      <w:pPr>
        <w:pStyle w:val="56"/>
        <w:ind w:firstLine="480"/>
        <w:rPr>
          <w:color w:val="auto"/>
          <w:highlight w:val="none"/>
        </w:rPr>
      </w:pPr>
      <w:r>
        <w:rPr>
          <w:color w:val="auto"/>
          <w:highlight w:val="none"/>
        </w:rPr>
        <w:t>管沟施工现场按照设计图纸放线并开挖基坑、基槽，以机械开挖为主，同时辅以人工开挖，载重汽车运送施工材料。</w:t>
      </w:r>
    </w:p>
    <w:p>
      <w:pPr>
        <w:pStyle w:val="56"/>
        <w:ind w:firstLine="480"/>
        <w:rPr>
          <w:color w:val="auto"/>
          <w:highlight w:val="none"/>
        </w:rPr>
      </w:pPr>
      <w:r>
        <w:rPr>
          <w:color w:val="auto"/>
          <w:highlight w:val="none"/>
        </w:rPr>
        <w:t>综上所述，各区均为常规施工，施工机械化程度高，施工速度快，施工布置合理，施工时序有利于项目水土流失的防治，能够进一步减少施工过程中的水土流失，使项目施工组织符合水土保持要求。</w:t>
      </w:r>
    </w:p>
    <w:p>
      <w:pPr>
        <w:pStyle w:val="69"/>
        <w:rPr>
          <w:color w:val="auto"/>
          <w:highlight w:val="none"/>
        </w:rPr>
      </w:pPr>
      <w:r>
        <w:rPr>
          <w:color w:val="auto"/>
          <w:highlight w:val="none"/>
        </w:rPr>
        <w:t>3.2.7 主体工程设计中具有水土保持功能工程的评价</w:t>
      </w:r>
    </w:p>
    <w:p>
      <w:pPr>
        <w:pStyle w:val="56"/>
        <w:ind w:firstLine="480"/>
        <w:rPr>
          <w:color w:val="auto"/>
          <w:highlight w:val="none"/>
        </w:rPr>
      </w:pPr>
      <w:r>
        <w:rPr>
          <w:color w:val="auto"/>
          <w:highlight w:val="none"/>
        </w:rPr>
        <w:t>为保证本项目施工的安全，主体工程设计了各种具有水土保持功能的措施：建构筑物区的</w:t>
      </w:r>
      <w:r>
        <w:rPr>
          <w:rFonts w:hint="eastAsia"/>
          <w:color w:val="auto"/>
          <w:highlight w:val="none"/>
          <w:lang w:eastAsia="zh-CN"/>
        </w:rPr>
        <w:t>彩钢板围栏</w:t>
      </w:r>
      <w:r>
        <w:rPr>
          <w:color w:val="auto"/>
          <w:highlight w:val="none"/>
        </w:rPr>
        <w:t>，绿化区的土地平整、景观绿化和配套微喷灌溉设施，道路及硬化区的土地平整，管线工程区的土地平整以及施工生产区的土地平整，对工程建设施工期间及后期能够形成了一定的防护系统。现对主体工程设计的具有水土保持功能的措施进行分析评价。</w:t>
      </w:r>
    </w:p>
    <w:p>
      <w:pPr>
        <w:pStyle w:val="72"/>
        <w:rPr>
          <w:color w:val="auto"/>
          <w:highlight w:val="none"/>
        </w:rPr>
      </w:pPr>
      <w:r>
        <w:rPr>
          <w:color w:val="auto"/>
          <w:highlight w:val="none"/>
        </w:rPr>
        <w:t>3.2.7.1 建构筑物区</w:t>
      </w:r>
    </w:p>
    <w:p>
      <w:pPr>
        <w:ind w:firstLine="480"/>
        <w:rPr>
          <w:rFonts w:eastAsia="仿宋_GB2312"/>
          <w:color w:val="auto"/>
          <w:highlight w:val="none"/>
        </w:rPr>
      </w:pPr>
      <w:r>
        <w:rPr>
          <w:rFonts w:eastAsia="仿宋_GB2312"/>
          <w:color w:val="auto"/>
          <w:highlight w:val="none"/>
        </w:rPr>
        <w:t>根据主体资料，建构筑物区施工期建构</w:t>
      </w:r>
      <w:r>
        <w:rPr>
          <w:rFonts w:hint="eastAsia" w:eastAsia="仿宋_GB2312"/>
          <w:color w:val="auto"/>
          <w:highlight w:val="none"/>
          <w:lang w:eastAsia="zh-CN"/>
        </w:rPr>
        <w:t>对</w:t>
      </w:r>
      <w:r>
        <w:rPr>
          <w:rFonts w:eastAsia="仿宋_GB2312"/>
          <w:color w:val="auto"/>
          <w:highlight w:val="none"/>
        </w:rPr>
        <w:t>占地边界周围布置</w:t>
      </w:r>
      <w:r>
        <w:rPr>
          <w:rFonts w:hint="eastAsia" w:eastAsia="仿宋_GB2312"/>
          <w:color w:val="auto"/>
          <w:highlight w:val="none"/>
          <w:lang w:eastAsia="zh-CN"/>
        </w:rPr>
        <w:t>彩钢板围栏</w:t>
      </w:r>
      <w:r>
        <w:rPr>
          <w:rFonts w:eastAsia="仿宋_GB2312"/>
          <w:color w:val="auto"/>
          <w:highlight w:val="none"/>
        </w:rPr>
        <w:t>。</w:t>
      </w:r>
    </w:p>
    <w:p>
      <w:pPr>
        <w:numPr>
          <w:ilvl w:val="0"/>
          <w:numId w:val="7"/>
        </w:numPr>
        <w:pBdr>
          <w:top w:val="none" w:color="auto" w:sz="0" w:space="0"/>
          <w:left w:val="none" w:color="auto" w:sz="0" w:space="0"/>
          <w:bottom w:val="none" w:color="auto" w:sz="0" w:space="0"/>
          <w:right w:val="none" w:color="auto" w:sz="0" w:space="0"/>
          <w:between w:val="none" w:color="auto" w:sz="0" w:space="0"/>
        </w:pBdr>
        <w:ind w:firstLine="480"/>
        <w:rPr>
          <w:rFonts w:eastAsia="仿宋_GB2312"/>
          <w:color w:val="auto"/>
          <w:highlight w:val="none"/>
        </w:rPr>
      </w:pPr>
      <w:r>
        <w:rPr>
          <w:rFonts w:hint="eastAsia" w:eastAsia="仿宋_GB2312"/>
          <w:color w:val="auto"/>
          <w:highlight w:val="none"/>
          <w:lang w:eastAsia="zh-CN"/>
        </w:rPr>
        <w:t>彩钢板围栏</w:t>
      </w:r>
      <w:r>
        <w:rPr>
          <w:rFonts w:eastAsia="仿宋_GB2312"/>
          <w:color w:val="auto"/>
          <w:highlight w:val="none"/>
        </w:rPr>
        <w:t>（主体已列</w:t>
      </w:r>
      <w:r>
        <w:rPr>
          <w:rFonts w:hint="eastAsia" w:eastAsia="仿宋_GB2312"/>
          <w:color w:val="auto"/>
          <w:highlight w:val="none"/>
          <w:lang w:eastAsia="zh-CN"/>
        </w:rPr>
        <w:t>已实施</w:t>
      </w:r>
      <w:r>
        <w:rPr>
          <w:rFonts w:eastAsia="仿宋_GB2312"/>
          <w:color w:val="auto"/>
          <w:highlight w:val="none"/>
        </w:rPr>
        <w:t>）：施工期间，在项目建构筑物区占地边界周围布置彩钢板围栏</w:t>
      </w:r>
      <w:r>
        <w:rPr>
          <w:rFonts w:hint="eastAsia" w:eastAsia="仿宋_GB2312"/>
          <w:color w:val="auto"/>
          <w:highlight w:val="none"/>
          <w:lang w:eastAsia="zh-CN"/>
        </w:rPr>
        <w:t>，长度</w:t>
      </w:r>
      <w:r>
        <w:rPr>
          <w:rFonts w:eastAsia="仿宋_GB2312"/>
          <w:color w:val="auto"/>
          <w:highlight w:val="none"/>
        </w:rPr>
        <w:t>共</w:t>
      </w:r>
      <w:r>
        <w:rPr>
          <w:rFonts w:hint="eastAsia" w:eastAsia="仿宋_GB2312"/>
          <w:color w:val="auto"/>
          <w:highlight w:val="none"/>
          <w:lang w:val="en-US" w:eastAsia="zh-CN"/>
        </w:rPr>
        <w:t>800</w:t>
      </w:r>
      <w:r>
        <w:rPr>
          <w:rFonts w:eastAsia="仿宋_GB2312"/>
          <w:color w:val="auto"/>
          <w:highlight w:val="none"/>
        </w:rPr>
        <w:t>m，</w:t>
      </w:r>
      <w:r>
        <w:rPr>
          <w:rFonts w:hint="eastAsia" w:eastAsia="仿宋_GB2312"/>
          <w:color w:val="auto"/>
          <w:highlight w:val="none"/>
          <w:lang w:eastAsia="zh-CN"/>
        </w:rPr>
        <w:t>彩钢板围栏</w:t>
      </w:r>
      <w:r>
        <w:rPr>
          <w:rFonts w:eastAsia="仿宋_GB2312"/>
          <w:color w:val="auto"/>
          <w:highlight w:val="none"/>
        </w:rPr>
        <w:t>，能够有效减少水土流失，具有水土保持功能。</w:t>
      </w:r>
    </w:p>
    <w:p>
      <w:pPr>
        <w:ind w:left="0" w:leftChars="0" w:firstLine="0" w:firstLineChars="0"/>
        <w:jc w:val="center"/>
        <w:rPr>
          <w:rFonts w:hint="eastAsia" w:ascii="Times New Roman" w:hAnsi="Times New Roman" w:eastAsia="仿宋_GB2312" w:cs="Times New Roman"/>
          <w:b/>
          <w:color w:val="auto"/>
          <w:highlight w:val="none"/>
          <w:lang w:eastAsia="zh-CN"/>
        </w:rPr>
      </w:pPr>
      <w:r>
        <w:rPr>
          <w:rFonts w:hint="eastAsia" w:ascii="Times New Roman" w:hAnsi="Times New Roman" w:eastAsia="仿宋_GB2312" w:cs="Times New Roman"/>
          <w:b/>
          <w:color w:val="auto"/>
          <w:highlight w:val="none"/>
          <w:lang w:eastAsia="zh-CN"/>
        </w:rPr>
        <w:drawing>
          <wp:inline distT="0" distB="0" distL="114300" distR="114300">
            <wp:extent cx="2626995" cy="1970405"/>
            <wp:effectExtent l="0" t="0" r="1905" b="10795"/>
            <wp:docPr id="14" name="图片 14" descr="2b03e14d5470ad2bcc293dd094e3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b03e14d5470ad2bcc293dd094e31b3"/>
                    <pic:cNvPicPr>
                      <a:picLocks noChangeAspect="1"/>
                    </pic:cNvPicPr>
                  </pic:nvPicPr>
                  <pic:blipFill>
                    <a:blip r:embed="rId38"/>
                    <a:stretch>
                      <a:fillRect/>
                    </a:stretch>
                  </pic:blipFill>
                  <pic:spPr>
                    <a:xfrm>
                      <a:off x="0" y="0"/>
                      <a:ext cx="2626995" cy="1970405"/>
                    </a:xfrm>
                    <a:prstGeom prst="rect">
                      <a:avLst/>
                    </a:prstGeom>
                  </pic:spPr>
                </pic:pic>
              </a:graphicData>
            </a:graphic>
          </wp:inline>
        </w:drawing>
      </w:r>
    </w:p>
    <w:p>
      <w:pPr>
        <w:ind w:firstLine="482"/>
        <w:jc w:val="center"/>
        <w:rPr>
          <w:color w:val="auto"/>
          <w:highlight w:val="none"/>
        </w:rPr>
      </w:pPr>
      <w:r>
        <w:rPr>
          <w:rFonts w:hint="default" w:ascii="Times New Roman" w:hAnsi="Times New Roman" w:eastAsia="仿宋_GB2312" w:cs="Times New Roman"/>
          <w:b/>
          <w:color w:val="auto"/>
          <w:highlight w:val="none"/>
        </w:rPr>
        <w:t>图</w:t>
      </w:r>
      <w:r>
        <w:rPr>
          <w:rFonts w:hint="eastAsia" w:ascii="Times New Roman" w:hAnsi="Times New Roman" w:eastAsia="仿宋_GB2312" w:cs="Times New Roman"/>
          <w:b/>
          <w:color w:val="auto"/>
          <w:highlight w:val="none"/>
          <w:lang w:val="en-US" w:eastAsia="zh-CN"/>
        </w:rPr>
        <w:t>3.2.7</w:t>
      </w:r>
      <w:r>
        <w:rPr>
          <w:rFonts w:hint="default" w:ascii="Times New Roman" w:hAnsi="Times New Roman" w:eastAsia="仿宋_GB2312" w:cs="Times New Roman"/>
          <w:b/>
          <w:color w:val="auto"/>
          <w:highlight w:val="none"/>
        </w:rPr>
        <w:t xml:space="preserve">-1  </w:t>
      </w:r>
      <w:r>
        <w:rPr>
          <w:rFonts w:hint="eastAsia" w:eastAsia="仿宋_GB2312" w:cs="Times New Roman"/>
          <w:b/>
          <w:color w:val="auto"/>
          <w:highlight w:val="none"/>
          <w:lang w:eastAsia="zh-CN"/>
        </w:rPr>
        <w:t>彩钢板</w:t>
      </w:r>
      <w:r>
        <w:rPr>
          <w:rFonts w:hint="eastAsia" w:ascii="Times New Roman" w:hAnsi="Times New Roman" w:eastAsia="仿宋_GB2312" w:cs="Times New Roman"/>
          <w:b/>
          <w:color w:val="auto"/>
          <w:highlight w:val="none"/>
          <w:lang w:eastAsia="zh-CN"/>
        </w:rPr>
        <w:t>围挡</w:t>
      </w:r>
      <w:r>
        <w:rPr>
          <w:rFonts w:hint="default" w:ascii="Times New Roman" w:hAnsi="Times New Roman" w:eastAsia="仿宋_GB2312" w:cs="Times New Roman"/>
          <w:b/>
          <w:color w:val="auto"/>
          <w:highlight w:val="none"/>
        </w:rPr>
        <w:t>图</w:t>
      </w:r>
    </w:p>
    <w:p>
      <w:pPr>
        <w:pStyle w:val="56"/>
        <w:pBdr>
          <w:top w:val="none" w:color="auto" w:sz="0" w:space="0"/>
          <w:left w:val="none" w:color="auto" w:sz="0" w:space="0"/>
          <w:bottom w:val="none" w:color="auto" w:sz="0" w:space="0"/>
          <w:right w:val="none" w:color="auto" w:sz="0" w:space="0"/>
          <w:between w:val="none" w:color="auto" w:sz="0" w:space="0"/>
        </w:pBdr>
        <w:ind w:firstLine="480"/>
        <w:rPr>
          <w:color w:val="auto"/>
          <w:highlight w:val="none"/>
        </w:rPr>
      </w:pPr>
      <w:r>
        <w:rPr>
          <w:color w:val="auto"/>
          <w:highlight w:val="none"/>
        </w:rPr>
        <w:t>分析评价：目前建构筑物区</w:t>
      </w:r>
      <w:r>
        <w:rPr>
          <w:rFonts w:hint="eastAsia"/>
          <w:color w:val="auto"/>
          <w:highlight w:val="none"/>
          <w:lang w:eastAsia="zh-CN"/>
        </w:rPr>
        <w:t>住宅楼结构已完成，商业楼</w:t>
      </w:r>
      <w:r>
        <w:rPr>
          <w:color w:val="auto"/>
          <w:highlight w:val="none"/>
        </w:rPr>
        <w:t>基础</w:t>
      </w:r>
      <w:r>
        <w:rPr>
          <w:rFonts w:hint="eastAsia"/>
          <w:color w:val="auto"/>
          <w:highlight w:val="none"/>
          <w:lang w:eastAsia="zh-CN"/>
        </w:rPr>
        <w:t>正在开挖作业</w:t>
      </w:r>
      <w:r>
        <w:rPr>
          <w:color w:val="auto"/>
          <w:highlight w:val="none"/>
        </w:rPr>
        <w:t>，根据现场踏勘情况</w:t>
      </w:r>
      <w:r>
        <w:rPr>
          <w:rFonts w:hint="eastAsia"/>
          <w:color w:val="auto"/>
          <w:highlight w:val="none"/>
          <w:lang w:eastAsia="zh-CN"/>
        </w:rPr>
        <w:t>，</w:t>
      </w:r>
      <w:r>
        <w:rPr>
          <w:color w:val="auto"/>
          <w:highlight w:val="none"/>
        </w:rPr>
        <w:t>基坑开挖堆土未采取苫盖，不能够满足防治目标要求，因此本方案新增防尘网苫盖。</w:t>
      </w:r>
    </w:p>
    <w:p>
      <w:pPr>
        <w:pStyle w:val="72"/>
        <w:rPr>
          <w:color w:val="auto"/>
          <w:highlight w:val="none"/>
        </w:rPr>
      </w:pPr>
      <w:r>
        <w:rPr>
          <w:color w:val="auto"/>
          <w:highlight w:val="none"/>
        </w:rPr>
        <w:t>3.2.7.2 绿化区</w:t>
      </w:r>
    </w:p>
    <w:p>
      <w:pPr>
        <w:pStyle w:val="56"/>
        <w:ind w:firstLine="480"/>
        <w:rPr>
          <w:color w:val="auto"/>
          <w:highlight w:val="none"/>
        </w:rPr>
      </w:pPr>
      <w:r>
        <w:rPr>
          <w:color w:val="auto"/>
          <w:highlight w:val="none"/>
        </w:rPr>
        <w:t>根据主体资料，绿化区主体设计后期对其采取土地平整、景观绿化，采取栽植乔灌木、种植草坪，同时设置相应的配套灌溉设施。</w:t>
      </w:r>
    </w:p>
    <w:p>
      <w:pPr>
        <w:pStyle w:val="56"/>
        <w:ind w:firstLine="480"/>
        <w:rPr>
          <w:color w:val="auto"/>
          <w:highlight w:val="none"/>
        </w:rPr>
      </w:pPr>
      <w:r>
        <w:rPr>
          <w:color w:val="auto"/>
          <w:highlight w:val="none"/>
        </w:rPr>
        <w:t>（1）土地平整（主体已列</w:t>
      </w:r>
      <w:r>
        <w:rPr>
          <w:rFonts w:hint="eastAsia"/>
          <w:color w:val="auto"/>
          <w:highlight w:val="none"/>
          <w:lang w:eastAsia="zh-CN"/>
        </w:rPr>
        <w:t>未实施</w:t>
      </w:r>
      <w:r>
        <w:rPr>
          <w:color w:val="auto"/>
          <w:highlight w:val="none"/>
        </w:rPr>
        <w:t>）：项目建设完成后，主体对绿化区周边区域采取土地平整，清理建筑垃圾及堆置的建筑材料，平整面积共</w:t>
      </w:r>
      <w:r>
        <w:rPr>
          <w:rFonts w:hint="eastAsia"/>
          <w:color w:val="auto"/>
          <w:highlight w:val="none"/>
          <w:lang w:val="en-US" w:eastAsia="zh-CN"/>
        </w:rPr>
        <w:t>1.20</w:t>
      </w:r>
      <w:r>
        <w:rPr>
          <w:color w:val="auto"/>
          <w:highlight w:val="none"/>
        </w:rPr>
        <w:t>hm²，土地平整具有水土保持功能，能够有效减少水土流失，具有水土保持功能。</w:t>
      </w:r>
    </w:p>
    <w:p>
      <w:pPr>
        <w:pStyle w:val="56"/>
        <w:ind w:firstLine="480"/>
        <w:rPr>
          <w:color w:val="auto"/>
          <w:highlight w:val="none"/>
        </w:rPr>
      </w:pPr>
      <w:r>
        <w:rPr>
          <w:color w:val="auto"/>
          <w:highlight w:val="none"/>
        </w:rPr>
        <w:t>（2）景观绿化及配套灌溉设施（主体已列</w:t>
      </w:r>
      <w:r>
        <w:rPr>
          <w:rFonts w:hint="eastAsia"/>
          <w:color w:val="auto"/>
          <w:highlight w:val="none"/>
          <w:lang w:eastAsia="zh-CN"/>
        </w:rPr>
        <w:t>未实施</w:t>
      </w:r>
      <w:r>
        <w:rPr>
          <w:color w:val="auto"/>
          <w:highlight w:val="none"/>
        </w:rPr>
        <w:t>）：主体设计在建构筑物周边及道路沿线设置景观绿化，采取栽植乔灌木、种植草坪绿化，绿化面积共计</w:t>
      </w:r>
      <w:r>
        <w:rPr>
          <w:rFonts w:hint="eastAsia"/>
          <w:color w:val="auto"/>
          <w:highlight w:val="none"/>
          <w:lang w:val="en-US" w:eastAsia="zh-CN"/>
        </w:rPr>
        <w:t>1.20</w:t>
      </w:r>
      <w:r>
        <w:rPr>
          <w:color w:val="auto"/>
          <w:highlight w:val="none"/>
        </w:rPr>
        <w:t>hm</w:t>
      </w:r>
      <w:r>
        <w:rPr>
          <w:rFonts w:eastAsia="宋体"/>
          <w:color w:val="auto"/>
          <w:highlight w:val="none"/>
        </w:rPr>
        <w:t>²</w:t>
      </w:r>
      <w:r>
        <w:rPr>
          <w:color w:val="auto"/>
          <w:highlight w:val="none"/>
        </w:rPr>
        <w:t>，并设置配套微喷灌溉设施，灌溉面积</w:t>
      </w:r>
      <w:r>
        <w:rPr>
          <w:rFonts w:hint="eastAsia"/>
          <w:color w:val="auto"/>
          <w:highlight w:val="none"/>
          <w:lang w:val="en-US" w:eastAsia="zh-CN"/>
        </w:rPr>
        <w:t>1.20</w:t>
      </w:r>
      <w:r>
        <w:rPr>
          <w:color w:val="auto"/>
          <w:highlight w:val="none"/>
        </w:rPr>
        <w:t>hm</w:t>
      </w:r>
      <w:r>
        <w:rPr>
          <w:rFonts w:eastAsia="宋体"/>
          <w:color w:val="auto"/>
          <w:highlight w:val="none"/>
        </w:rPr>
        <w:t>²</w:t>
      </w:r>
      <w:r>
        <w:rPr>
          <w:color w:val="auto"/>
          <w:highlight w:val="none"/>
        </w:rPr>
        <w:t>。主体工程设计的景观绿化措施不仅可以起到美化环境、减轻并防治污染、净化和改善大气的环境质量等作用，还可以改善地温和气温，改善小气候。植物体通过根系对土壤的固着作用，以及植物枝叶和地被植物的有关作用能达到涵养水源的目的，并能阻止或减少地表径流，降低和防止雨水冲刷地表，避免水土流失，具有水土保持功能。</w:t>
      </w:r>
    </w:p>
    <w:p>
      <w:pPr>
        <w:pStyle w:val="56"/>
        <w:ind w:firstLine="480"/>
        <w:rPr>
          <w:rFonts w:hint="eastAsia" w:eastAsia="仿宋_GB2312"/>
          <w:color w:val="auto"/>
          <w:highlight w:val="none"/>
          <w:lang w:eastAsia="zh-CN"/>
        </w:rPr>
      </w:pPr>
      <w:r>
        <w:rPr>
          <w:color w:val="auto"/>
          <w:highlight w:val="none"/>
        </w:rPr>
        <w:t>分析评价：目前绿化未实施，根据现场踏勘及施工工艺分析，主体未采取换填种植土，表层土腐殖质含量低，无法保证采取植物措施后的成活率，因此本方案新增全面整地措施</w:t>
      </w:r>
      <w:r>
        <w:rPr>
          <w:rFonts w:hint="eastAsia"/>
          <w:color w:val="auto"/>
          <w:highlight w:val="none"/>
          <w:lang w:eastAsia="zh-CN"/>
        </w:rPr>
        <w:t>，经过现场踏勘，</w:t>
      </w:r>
      <w:r>
        <w:rPr>
          <w:color w:val="auto"/>
          <w:highlight w:val="none"/>
        </w:rPr>
        <w:t>项目区</w:t>
      </w:r>
      <w:r>
        <w:rPr>
          <w:rFonts w:hint="eastAsia"/>
          <w:color w:val="auto"/>
          <w:highlight w:val="none"/>
          <w:lang w:eastAsia="zh-CN"/>
        </w:rPr>
        <w:t>地表砂砾石含量较低，全面整地后可满足植物生长，</w:t>
      </w:r>
      <w:r>
        <w:rPr>
          <w:color w:val="auto"/>
          <w:highlight w:val="none"/>
        </w:rPr>
        <w:t>绿化时</w:t>
      </w:r>
      <w:r>
        <w:rPr>
          <w:rFonts w:hint="eastAsia"/>
          <w:color w:val="auto"/>
          <w:highlight w:val="none"/>
          <w:lang w:eastAsia="zh-CN"/>
        </w:rPr>
        <w:t>无</w:t>
      </w:r>
      <w:r>
        <w:rPr>
          <w:color w:val="auto"/>
          <w:highlight w:val="none"/>
        </w:rPr>
        <w:t>需外购种植土</w:t>
      </w:r>
      <w:r>
        <w:rPr>
          <w:rFonts w:hint="eastAsia"/>
          <w:color w:val="auto"/>
          <w:highlight w:val="none"/>
          <w:lang w:eastAsia="zh-CN"/>
        </w:rPr>
        <w:t>。</w:t>
      </w:r>
    </w:p>
    <w:p>
      <w:pPr>
        <w:pStyle w:val="72"/>
        <w:rPr>
          <w:color w:val="auto"/>
          <w:highlight w:val="none"/>
        </w:rPr>
      </w:pPr>
      <w:r>
        <w:rPr>
          <w:color w:val="auto"/>
          <w:highlight w:val="none"/>
        </w:rPr>
        <w:t>3.2.7.3 道路及硬化区</w:t>
      </w:r>
    </w:p>
    <w:p>
      <w:pPr>
        <w:pStyle w:val="56"/>
        <w:ind w:firstLine="480"/>
        <w:rPr>
          <w:color w:val="auto"/>
          <w:highlight w:val="none"/>
        </w:rPr>
      </w:pPr>
      <w:r>
        <w:rPr>
          <w:color w:val="auto"/>
          <w:highlight w:val="none"/>
        </w:rPr>
        <w:t>根据主体资料及现场踏勘，道路及硬化区施工后期对界外扰动区域采取土地平整、区域内道路地面硬化。</w:t>
      </w:r>
    </w:p>
    <w:p>
      <w:pPr>
        <w:pStyle w:val="56"/>
        <w:ind w:firstLine="480"/>
        <w:rPr>
          <w:color w:val="auto"/>
          <w:highlight w:val="none"/>
        </w:rPr>
      </w:pPr>
      <w:r>
        <w:rPr>
          <w:color w:val="auto"/>
          <w:highlight w:val="none"/>
        </w:rPr>
        <w:t>（1）土地平整（主体已列</w:t>
      </w:r>
      <w:r>
        <w:rPr>
          <w:rFonts w:hint="eastAsia"/>
          <w:color w:val="auto"/>
          <w:highlight w:val="none"/>
          <w:lang w:eastAsia="zh-CN"/>
        </w:rPr>
        <w:t>未实施</w:t>
      </w:r>
      <w:r>
        <w:rPr>
          <w:color w:val="auto"/>
          <w:highlight w:val="none"/>
        </w:rPr>
        <w:t>）：道路基础建设回填后，主体对道路及硬化区界外扰动区域实施土地平整，清理建筑垃圾及堆置的建筑材料，平整面积共</w:t>
      </w:r>
      <w:r>
        <w:rPr>
          <w:rFonts w:hint="eastAsia"/>
          <w:color w:val="auto"/>
          <w:highlight w:val="none"/>
          <w:lang w:val="en-US" w:eastAsia="zh-CN"/>
        </w:rPr>
        <w:t>1.02</w:t>
      </w:r>
      <w:r>
        <w:rPr>
          <w:color w:val="auto"/>
          <w:highlight w:val="none"/>
        </w:rPr>
        <w:t>hm²，土地平整具有水土保持功能，能够有效减少水土流失，具有水土保持功能。</w:t>
      </w:r>
    </w:p>
    <w:p>
      <w:pPr>
        <w:pStyle w:val="56"/>
        <w:ind w:firstLine="480"/>
        <w:rPr>
          <w:color w:val="auto"/>
          <w:highlight w:val="none"/>
        </w:rPr>
      </w:pPr>
      <w:r>
        <w:rPr>
          <w:color w:val="auto"/>
          <w:highlight w:val="none"/>
        </w:rPr>
        <w:t>（2）地面硬化（主体已列</w:t>
      </w:r>
      <w:r>
        <w:rPr>
          <w:rFonts w:hint="eastAsia"/>
          <w:color w:val="auto"/>
          <w:highlight w:val="none"/>
          <w:lang w:eastAsia="zh-CN"/>
        </w:rPr>
        <w:t>未实施</w:t>
      </w:r>
      <w:r>
        <w:rPr>
          <w:color w:val="auto"/>
          <w:highlight w:val="none"/>
        </w:rPr>
        <w:t>）：主体设计在施工结束后对道路及硬化区永久占地占地范围内均采取混凝土硬化，地面硬化可有效防止水土流失，具有水土保持功能。</w:t>
      </w:r>
    </w:p>
    <w:p>
      <w:pPr>
        <w:pStyle w:val="56"/>
        <w:ind w:firstLine="480"/>
        <w:rPr>
          <w:color w:val="auto"/>
          <w:highlight w:val="none"/>
        </w:rPr>
      </w:pPr>
      <w:r>
        <w:rPr>
          <w:color w:val="auto"/>
          <w:highlight w:val="none"/>
        </w:rPr>
        <w:t>分析评价：目前道路及硬化区仍作为施工临时道路，在施工车辆碾压后仍未采取平整及硬化处理，根据现场踏勘及分析主体资料，主体未考虑施工期间车辆碾压造成的扬尘等，因此本方案新增洒水措施。</w:t>
      </w:r>
    </w:p>
    <w:p>
      <w:pPr>
        <w:pStyle w:val="72"/>
        <w:rPr>
          <w:color w:val="auto"/>
          <w:highlight w:val="none"/>
        </w:rPr>
      </w:pPr>
      <w:r>
        <w:rPr>
          <w:color w:val="auto"/>
          <w:highlight w:val="none"/>
        </w:rPr>
        <w:t>3.2.7.4 管线工程区</w:t>
      </w:r>
    </w:p>
    <w:p>
      <w:pPr>
        <w:pStyle w:val="56"/>
        <w:ind w:firstLine="480"/>
        <w:rPr>
          <w:color w:val="auto"/>
          <w:highlight w:val="none"/>
        </w:rPr>
      </w:pPr>
      <w:r>
        <w:rPr>
          <w:color w:val="auto"/>
          <w:highlight w:val="none"/>
        </w:rPr>
        <w:t>根据主体资料及现场踏勘情况，主体对管线工程区扰动区域设计采取平整措施。</w:t>
      </w:r>
    </w:p>
    <w:p>
      <w:pPr>
        <w:pStyle w:val="56"/>
        <w:ind w:firstLine="480"/>
        <w:rPr>
          <w:color w:val="auto"/>
          <w:highlight w:val="none"/>
        </w:rPr>
      </w:pPr>
      <w:r>
        <w:rPr>
          <w:color w:val="auto"/>
          <w:highlight w:val="none"/>
        </w:rPr>
        <w:t>（1）土地平整（主体已列</w:t>
      </w:r>
      <w:r>
        <w:rPr>
          <w:rFonts w:hint="eastAsia"/>
          <w:color w:val="auto"/>
          <w:highlight w:val="none"/>
          <w:lang w:eastAsia="zh-CN"/>
        </w:rPr>
        <w:t>未实施</w:t>
      </w:r>
      <w:r>
        <w:rPr>
          <w:color w:val="auto"/>
          <w:highlight w:val="none"/>
        </w:rPr>
        <w:t>）：管线铺设完成后，主体对管线工程区扰动区域实施土地平整，清理建筑垃圾及堆置的建筑材料，平整面积共0.</w:t>
      </w:r>
      <w:r>
        <w:rPr>
          <w:rFonts w:hint="eastAsia"/>
          <w:color w:val="auto"/>
          <w:highlight w:val="none"/>
          <w:lang w:val="en-US" w:eastAsia="zh-CN"/>
        </w:rPr>
        <w:t>50</w:t>
      </w:r>
      <w:r>
        <w:rPr>
          <w:color w:val="auto"/>
          <w:highlight w:val="none"/>
        </w:rPr>
        <w:t>hm²，土地平整具有水土保持功能，能够有效减少水土流失，具有水土保持功能。</w:t>
      </w:r>
    </w:p>
    <w:p>
      <w:pPr>
        <w:pStyle w:val="56"/>
        <w:ind w:firstLine="480"/>
        <w:rPr>
          <w:color w:val="auto"/>
          <w:highlight w:val="none"/>
        </w:rPr>
      </w:pPr>
      <w:r>
        <w:rPr>
          <w:color w:val="auto"/>
          <w:highlight w:val="none"/>
        </w:rPr>
        <w:t>分析评价：目前管线工程区</w:t>
      </w:r>
      <w:r>
        <w:rPr>
          <w:color w:val="auto"/>
          <w:szCs w:val="26"/>
          <w:highlight w:val="none"/>
        </w:rPr>
        <w:t>未施工，</w:t>
      </w:r>
      <w:r>
        <w:rPr>
          <w:color w:val="auto"/>
          <w:highlight w:val="none"/>
        </w:rPr>
        <w:t>根据现场踏勘及分析主体资料，主体未考虑施工期间开挖堆土防护，因此本方案新增防尘网苫盖措施。</w:t>
      </w:r>
    </w:p>
    <w:p>
      <w:pPr>
        <w:pStyle w:val="72"/>
        <w:rPr>
          <w:color w:val="auto"/>
          <w:highlight w:val="none"/>
        </w:rPr>
      </w:pPr>
      <w:r>
        <w:rPr>
          <w:color w:val="auto"/>
          <w:highlight w:val="none"/>
        </w:rPr>
        <w:t>3.2.7.5 施工生产区</w:t>
      </w:r>
    </w:p>
    <w:p>
      <w:pPr>
        <w:pStyle w:val="56"/>
        <w:ind w:firstLine="480"/>
        <w:rPr>
          <w:color w:val="auto"/>
          <w:highlight w:val="none"/>
        </w:rPr>
      </w:pPr>
      <w:r>
        <w:rPr>
          <w:color w:val="auto"/>
          <w:highlight w:val="none"/>
        </w:rPr>
        <w:t>根据主体资料及现场踏勘情况，主体对施工生产区扰动区域设计采取平整措施。</w:t>
      </w:r>
    </w:p>
    <w:p>
      <w:pPr>
        <w:pStyle w:val="56"/>
        <w:ind w:firstLine="480"/>
        <w:rPr>
          <w:color w:val="auto"/>
          <w:highlight w:val="none"/>
        </w:rPr>
      </w:pPr>
      <w:r>
        <w:rPr>
          <w:color w:val="auto"/>
          <w:highlight w:val="none"/>
        </w:rPr>
        <w:t>（1）土地平整（主体已列</w:t>
      </w:r>
      <w:r>
        <w:rPr>
          <w:rFonts w:hint="eastAsia"/>
          <w:color w:val="auto"/>
          <w:highlight w:val="none"/>
          <w:lang w:eastAsia="zh-CN"/>
        </w:rPr>
        <w:t>未实施</w:t>
      </w:r>
      <w:r>
        <w:rPr>
          <w:color w:val="auto"/>
          <w:highlight w:val="none"/>
        </w:rPr>
        <w:t>）：项目建设完成后，主体对施工生产区扰动区域实施土地平整，清理建筑垃圾及堆置的建筑材料，平整面积共0.3</w:t>
      </w:r>
      <w:r>
        <w:rPr>
          <w:rFonts w:hint="eastAsia"/>
          <w:color w:val="auto"/>
          <w:highlight w:val="none"/>
          <w:lang w:val="en-US" w:eastAsia="zh-CN"/>
        </w:rPr>
        <w:t>0</w:t>
      </w:r>
      <w:r>
        <w:rPr>
          <w:color w:val="auto"/>
          <w:highlight w:val="none"/>
        </w:rPr>
        <w:t>hm²，土地平整具有水土保持功能，能够有效减少水土流失，具有水土保持功能。</w:t>
      </w:r>
    </w:p>
    <w:p>
      <w:pPr>
        <w:pStyle w:val="56"/>
        <w:ind w:firstLine="480"/>
        <w:rPr>
          <w:rFonts w:hint="eastAsia" w:eastAsia="仿宋_GB2312"/>
          <w:color w:val="auto"/>
          <w:highlight w:val="none"/>
          <w:lang w:eastAsia="zh-CN"/>
        </w:rPr>
      </w:pPr>
      <w:r>
        <w:rPr>
          <w:color w:val="auto"/>
          <w:highlight w:val="none"/>
        </w:rPr>
        <w:t>分析评价：目前施工生产区正在建设中，</w:t>
      </w:r>
      <w:r>
        <w:rPr>
          <w:color w:val="auto"/>
          <w:szCs w:val="26"/>
          <w:highlight w:val="none"/>
        </w:rPr>
        <w:t>考虑主体未考虑限制施工扰动边界措施，因此本方案新增彩钢板围栏措施</w:t>
      </w:r>
      <w:r>
        <w:rPr>
          <w:color w:val="auto"/>
          <w:highlight w:val="none"/>
        </w:rPr>
        <w:t>。</w:t>
      </w:r>
    </w:p>
    <w:p>
      <w:pPr>
        <w:pStyle w:val="66"/>
        <w:rPr>
          <w:color w:val="auto"/>
          <w:highlight w:val="none"/>
        </w:rPr>
      </w:pPr>
      <w:bookmarkStart w:id="95" w:name="_Toc25915"/>
      <w:r>
        <w:rPr>
          <w:color w:val="auto"/>
          <w:highlight w:val="none"/>
        </w:rPr>
        <w:t>3.3 主体工程设计中水土保持措施界定</w:t>
      </w:r>
      <w:bookmarkEnd w:id="95"/>
    </w:p>
    <w:p>
      <w:pPr>
        <w:pStyle w:val="69"/>
        <w:rPr>
          <w:color w:val="auto"/>
          <w:highlight w:val="none"/>
        </w:rPr>
      </w:pPr>
      <w:r>
        <w:rPr>
          <w:color w:val="auto"/>
          <w:highlight w:val="none"/>
        </w:rPr>
        <w:t>3.3.1 界定原则</w:t>
      </w:r>
    </w:p>
    <w:p>
      <w:pPr>
        <w:pStyle w:val="56"/>
        <w:ind w:firstLine="480"/>
        <w:rPr>
          <w:color w:val="auto"/>
          <w:highlight w:val="none"/>
        </w:rPr>
      </w:pPr>
      <w:r>
        <w:rPr>
          <w:color w:val="auto"/>
          <w:highlight w:val="none"/>
        </w:rPr>
        <w:t>主体工程设计中，界定水土保持工程措施的原则主要有以下几点：</w:t>
      </w:r>
    </w:p>
    <w:p>
      <w:pPr>
        <w:pStyle w:val="56"/>
        <w:ind w:firstLine="480"/>
        <w:rPr>
          <w:color w:val="auto"/>
          <w:highlight w:val="none"/>
        </w:rPr>
      </w:pPr>
      <w:r>
        <w:rPr>
          <w:color w:val="auto"/>
          <w:highlight w:val="none"/>
        </w:rPr>
        <w:t>（1）以防治水土流失为主要目标的防护工程，应界定为水土保持工程。以主体工程设计功能为主、同时兼有水土保持功能的工程，不纳入水土流失防治措施体系，仅对其进行水土保持分析与评价；当不能满足水土保持要求时，可要求主体设计修改完善、也可提出补充措施（纳入水土流失防</w:t>
      </w:r>
      <w:r>
        <w:rPr>
          <w:rFonts w:hint="eastAsia"/>
          <w:color w:val="auto"/>
          <w:highlight w:val="none"/>
          <w:lang w:eastAsia="zh-CN"/>
        </w:rPr>
        <w:t>治</w:t>
      </w:r>
      <w:r>
        <w:rPr>
          <w:color w:val="auto"/>
          <w:highlight w:val="none"/>
        </w:rPr>
        <w:t>措施体系）。</w:t>
      </w:r>
    </w:p>
    <w:p>
      <w:pPr>
        <w:pStyle w:val="56"/>
        <w:ind w:firstLine="480"/>
        <w:rPr>
          <w:color w:val="auto"/>
          <w:highlight w:val="none"/>
        </w:rPr>
      </w:pPr>
      <w:r>
        <w:rPr>
          <w:color w:val="auto"/>
          <w:highlight w:val="none"/>
        </w:rPr>
        <w:t>（2）对建设过程中的临时征地、临时占地，因施工结束后需归还当地群众或政府，水土流失防治责任将发生转移，须通过水土保持验收予以确认，各项防护措施均应界定为水土保持工程，纳入水土流失防治措施体系。</w:t>
      </w:r>
    </w:p>
    <w:p>
      <w:pPr>
        <w:pStyle w:val="56"/>
        <w:ind w:firstLine="480"/>
        <w:rPr>
          <w:color w:val="auto"/>
          <w:highlight w:val="none"/>
        </w:rPr>
      </w:pPr>
      <w:r>
        <w:rPr>
          <w:color w:val="auto"/>
          <w:highlight w:val="none"/>
        </w:rPr>
        <w:t>（3）对永久占地区内主体设计功能和水土保持功能难以直观区分的防护措施，可按破坏性试验的原则进行排除：假定没有这项防护措施，主体设计功能仍旧可以发挥作用，但会产生较大的水土流失，该项防护措施应界定为水土保持工程，纳入水土流失防治措施体系。</w:t>
      </w:r>
    </w:p>
    <w:p>
      <w:pPr>
        <w:pStyle w:val="69"/>
        <w:rPr>
          <w:color w:val="auto"/>
          <w:highlight w:val="none"/>
        </w:rPr>
      </w:pPr>
      <w:r>
        <w:rPr>
          <w:color w:val="auto"/>
          <w:highlight w:val="none"/>
        </w:rPr>
        <w:t>3.3.2 具有水土保持功能但不纳入水土保持投资的措施评价</w:t>
      </w:r>
    </w:p>
    <w:p>
      <w:pPr>
        <w:pStyle w:val="56"/>
        <w:ind w:firstLine="480"/>
        <w:rPr>
          <w:color w:val="auto"/>
          <w:highlight w:val="none"/>
        </w:rPr>
      </w:pPr>
      <w:r>
        <w:rPr>
          <w:color w:val="auto"/>
          <w:highlight w:val="none"/>
        </w:rPr>
        <w:t>（1）地面硬化</w:t>
      </w:r>
    </w:p>
    <w:p>
      <w:pPr>
        <w:pStyle w:val="56"/>
        <w:ind w:firstLine="480"/>
        <w:rPr>
          <w:color w:val="auto"/>
          <w:highlight w:val="none"/>
        </w:rPr>
      </w:pPr>
      <w:r>
        <w:rPr>
          <w:color w:val="auto"/>
          <w:highlight w:val="none"/>
        </w:rPr>
        <w:t>项目建设完工后，对道路路面进行了硬化处理，在项目运行期不再产生水土流失，对治理水土流失有积极的效果。但硬化主要为主体工程建设的一部分，主要为主体工程服务，因此，地面硬化不纳入水土保持措施。</w:t>
      </w:r>
    </w:p>
    <w:p>
      <w:pPr>
        <w:pStyle w:val="69"/>
        <w:rPr>
          <w:color w:val="auto"/>
          <w:highlight w:val="none"/>
        </w:rPr>
      </w:pPr>
      <w:r>
        <w:rPr>
          <w:color w:val="auto"/>
          <w:highlight w:val="none"/>
        </w:rPr>
        <w:t>3.3.3具有水土保持功能并纳入水土保持投资的措施评价</w:t>
      </w:r>
    </w:p>
    <w:p>
      <w:pPr>
        <w:pStyle w:val="56"/>
        <w:ind w:firstLine="480"/>
        <w:rPr>
          <w:color w:val="auto"/>
          <w:highlight w:val="none"/>
        </w:rPr>
      </w:pPr>
      <w:r>
        <w:rPr>
          <w:color w:val="auto"/>
          <w:highlight w:val="none"/>
        </w:rPr>
        <w:t>根据主体工程资料，主体工程设计了相关水土保持措施。通过从水土保持角度及预防和保护项目区生态环境、全面治理因项目建设引起的水土流失的角度看，主体工程设计的具有水土保持功能的措施有效的减轻了工程施工过程中的水土流失，能够有效防护项目区建设期的水土流失，但根据现场踏勘情况，主体设计了部分措施，但未考虑完全，尤其是道路及硬化区车辆碾压造成的扬尘、管线工程区的临时堆土防护等，因此本方案新增部分措施，与主体工程设计的各项措施形成较完善的防治措施体系，有效治理工程建设产生的水土流失。</w:t>
      </w:r>
    </w:p>
    <w:p>
      <w:pPr>
        <w:pStyle w:val="56"/>
        <w:ind w:firstLine="480"/>
        <w:rPr>
          <w:color w:val="auto"/>
          <w:highlight w:val="none"/>
        </w:rPr>
      </w:pPr>
      <w:r>
        <w:rPr>
          <w:color w:val="auto"/>
          <w:highlight w:val="none"/>
        </w:rPr>
        <w:t>主体工程已列及已实施的水土保持措施及投资，见表3.3-1；方案补充新增措施见表3.3-2。</w:t>
      </w:r>
    </w:p>
    <w:p>
      <w:pPr>
        <w:pStyle w:val="75"/>
        <w:rPr>
          <w:color w:val="auto"/>
          <w:highlight w:val="none"/>
        </w:rPr>
      </w:pPr>
      <w:r>
        <w:rPr>
          <w:color w:val="auto"/>
          <w:highlight w:val="none"/>
        </w:rPr>
        <w:t>表3.3-1    主体工程已列及已实施的具有水土保持功能的水土保持措施投资汇总表</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6"/>
        <w:gridCol w:w="1134"/>
        <w:gridCol w:w="1877"/>
        <w:gridCol w:w="861"/>
        <w:gridCol w:w="1007"/>
        <w:gridCol w:w="1256"/>
        <w:gridCol w:w="13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42" w:type="pct"/>
            <w:shd w:val="clear" w:color="auto" w:fill="auto"/>
            <w:vAlign w:val="center"/>
          </w:tcPr>
          <w:p>
            <w:pPr>
              <w:pStyle w:val="84"/>
              <w:bidi w:val="0"/>
              <w:rPr>
                <w:color w:val="auto"/>
                <w:highlight w:val="none"/>
              </w:rPr>
            </w:pPr>
            <w:r>
              <w:rPr>
                <w:color w:val="auto"/>
                <w:highlight w:val="none"/>
              </w:rPr>
              <w:t>防治分区</w:t>
            </w:r>
          </w:p>
        </w:tc>
        <w:tc>
          <w:tcPr>
            <w:tcW w:w="626" w:type="pct"/>
            <w:shd w:val="clear" w:color="auto" w:fill="auto"/>
            <w:vAlign w:val="center"/>
          </w:tcPr>
          <w:p>
            <w:pPr>
              <w:pStyle w:val="84"/>
              <w:bidi w:val="0"/>
              <w:rPr>
                <w:color w:val="auto"/>
                <w:highlight w:val="none"/>
              </w:rPr>
            </w:pPr>
            <w:r>
              <w:rPr>
                <w:color w:val="auto"/>
                <w:highlight w:val="none"/>
              </w:rPr>
              <w:t>措施类型</w:t>
            </w:r>
          </w:p>
        </w:tc>
        <w:tc>
          <w:tcPr>
            <w:tcW w:w="1036" w:type="pct"/>
            <w:shd w:val="clear" w:color="auto" w:fill="auto"/>
            <w:vAlign w:val="center"/>
          </w:tcPr>
          <w:p>
            <w:pPr>
              <w:pStyle w:val="84"/>
              <w:bidi w:val="0"/>
              <w:rPr>
                <w:color w:val="auto"/>
                <w:highlight w:val="none"/>
              </w:rPr>
            </w:pPr>
            <w:r>
              <w:rPr>
                <w:color w:val="auto"/>
                <w:highlight w:val="none"/>
              </w:rPr>
              <w:t>措施名称</w:t>
            </w:r>
          </w:p>
        </w:tc>
        <w:tc>
          <w:tcPr>
            <w:tcW w:w="475" w:type="pct"/>
            <w:shd w:val="clear" w:color="auto" w:fill="auto"/>
            <w:vAlign w:val="center"/>
          </w:tcPr>
          <w:p>
            <w:pPr>
              <w:pStyle w:val="84"/>
              <w:bidi w:val="0"/>
              <w:rPr>
                <w:color w:val="auto"/>
                <w:highlight w:val="none"/>
              </w:rPr>
            </w:pPr>
            <w:r>
              <w:rPr>
                <w:color w:val="auto"/>
                <w:highlight w:val="none"/>
              </w:rPr>
              <w:t>单位</w:t>
            </w:r>
          </w:p>
        </w:tc>
        <w:tc>
          <w:tcPr>
            <w:tcW w:w="556" w:type="pct"/>
            <w:shd w:val="clear" w:color="auto" w:fill="auto"/>
            <w:vAlign w:val="center"/>
          </w:tcPr>
          <w:p>
            <w:pPr>
              <w:pStyle w:val="84"/>
              <w:bidi w:val="0"/>
              <w:rPr>
                <w:color w:val="auto"/>
                <w:highlight w:val="none"/>
              </w:rPr>
            </w:pPr>
            <w:r>
              <w:rPr>
                <w:color w:val="auto"/>
                <w:highlight w:val="none"/>
              </w:rPr>
              <w:t>工程量</w:t>
            </w:r>
          </w:p>
        </w:tc>
        <w:tc>
          <w:tcPr>
            <w:tcW w:w="693" w:type="pct"/>
            <w:shd w:val="clear" w:color="auto" w:fill="auto"/>
            <w:vAlign w:val="center"/>
          </w:tcPr>
          <w:p>
            <w:pPr>
              <w:pStyle w:val="84"/>
              <w:bidi w:val="0"/>
              <w:rPr>
                <w:color w:val="auto"/>
                <w:highlight w:val="none"/>
              </w:rPr>
            </w:pPr>
            <w:r>
              <w:rPr>
                <w:color w:val="auto"/>
                <w:highlight w:val="none"/>
              </w:rPr>
              <w:t>单价（元）</w:t>
            </w:r>
          </w:p>
        </w:tc>
        <w:tc>
          <w:tcPr>
            <w:tcW w:w="772" w:type="pct"/>
            <w:shd w:val="clear" w:color="auto" w:fill="auto"/>
            <w:vAlign w:val="center"/>
          </w:tcPr>
          <w:p>
            <w:pPr>
              <w:pStyle w:val="84"/>
              <w:bidi w:val="0"/>
              <w:rPr>
                <w:color w:val="auto"/>
                <w:highlight w:val="none"/>
              </w:rPr>
            </w:pPr>
            <w:r>
              <w:rPr>
                <w:color w:val="auto"/>
                <w:highlight w:val="none"/>
              </w:rPr>
              <w:t>合计（万元）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42" w:type="pct"/>
            <w:shd w:val="clear" w:color="auto" w:fill="auto"/>
            <w:vAlign w:val="center"/>
          </w:tcPr>
          <w:p>
            <w:pPr>
              <w:pStyle w:val="84"/>
              <w:bidi w:val="0"/>
              <w:rPr>
                <w:color w:val="auto"/>
                <w:highlight w:val="none"/>
              </w:rPr>
            </w:pPr>
            <w:r>
              <w:rPr>
                <w:color w:val="auto"/>
                <w:highlight w:val="none"/>
              </w:rPr>
              <w:t>建构筑物区</w:t>
            </w:r>
          </w:p>
        </w:tc>
        <w:tc>
          <w:tcPr>
            <w:tcW w:w="626" w:type="pct"/>
            <w:shd w:val="clear" w:color="auto" w:fill="auto"/>
            <w:vAlign w:val="center"/>
          </w:tcPr>
          <w:p>
            <w:pPr>
              <w:pStyle w:val="84"/>
              <w:bidi w:val="0"/>
              <w:rPr>
                <w:color w:val="auto"/>
                <w:highlight w:val="none"/>
              </w:rPr>
            </w:pPr>
            <w:r>
              <w:rPr>
                <w:rFonts w:hint="eastAsia"/>
                <w:color w:val="auto"/>
                <w:highlight w:val="none"/>
                <w:lang w:eastAsia="zh-CN"/>
              </w:rPr>
              <w:t>临时</w:t>
            </w:r>
            <w:r>
              <w:rPr>
                <w:color w:val="auto"/>
                <w:highlight w:val="none"/>
              </w:rPr>
              <w:t>措施</w:t>
            </w:r>
          </w:p>
        </w:tc>
        <w:tc>
          <w:tcPr>
            <w:tcW w:w="1877" w:type="dxa"/>
            <w:shd w:val="clear" w:color="auto" w:fill="auto"/>
            <w:vAlign w:val="center"/>
          </w:tcPr>
          <w:p>
            <w:pPr>
              <w:pStyle w:val="84"/>
              <w:bidi w:val="0"/>
              <w:rPr>
                <w:color w:val="auto"/>
                <w:highlight w:val="none"/>
              </w:rPr>
            </w:pPr>
            <w:r>
              <w:rPr>
                <w:rFonts w:hint="eastAsia"/>
                <w:color w:val="auto"/>
                <w:highlight w:val="none"/>
                <w:lang w:val="en-US" w:eastAsia="zh-CN"/>
              </w:rPr>
              <w:t>彩钢板围栏</w:t>
            </w:r>
          </w:p>
        </w:tc>
        <w:tc>
          <w:tcPr>
            <w:tcW w:w="861" w:type="dxa"/>
            <w:shd w:val="clear" w:color="auto" w:fill="auto"/>
            <w:vAlign w:val="center"/>
          </w:tcPr>
          <w:p>
            <w:pPr>
              <w:pStyle w:val="84"/>
              <w:bidi w:val="0"/>
              <w:rPr>
                <w:color w:val="auto"/>
                <w:highlight w:val="none"/>
              </w:rPr>
            </w:pPr>
            <w:r>
              <w:rPr>
                <w:rFonts w:hint="default"/>
                <w:color w:val="auto"/>
                <w:highlight w:val="none"/>
                <w:lang w:val="en-US" w:eastAsia="zh-CN"/>
              </w:rPr>
              <w:t>m</w:t>
            </w:r>
          </w:p>
        </w:tc>
        <w:tc>
          <w:tcPr>
            <w:tcW w:w="1007" w:type="dxa"/>
            <w:shd w:val="clear" w:color="auto" w:fill="auto"/>
            <w:vAlign w:val="center"/>
          </w:tcPr>
          <w:p>
            <w:pPr>
              <w:pStyle w:val="84"/>
              <w:bidi w:val="0"/>
              <w:rPr>
                <w:color w:val="auto"/>
                <w:highlight w:val="none"/>
              </w:rPr>
            </w:pPr>
            <w:r>
              <w:rPr>
                <w:rFonts w:hint="default"/>
                <w:color w:val="auto"/>
                <w:highlight w:val="none"/>
                <w:lang w:val="en-US" w:eastAsia="zh-CN"/>
              </w:rPr>
              <w:t xml:space="preserve">800 </w:t>
            </w:r>
          </w:p>
        </w:tc>
        <w:tc>
          <w:tcPr>
            <w:tcW w:w="1256" w:type="dxa"/>
            <w:shd w:val="clear" w:color="auto" w:fill="auto"/>
            <w:vAlign w:val="center"/>
          </w:tcPr>
          <w:p>
            <w:pPr>
              <w:pStyle w:val="84"/>
              <w:bidi w:val="0"/>
              <w:rPr>
                <w:color w:val="auto"/>
                <w:highlight w:val="none"/>
              </w:rPr>
            </w:pPr>
            <w:r>
              <w:rPr>
                <w:rFonts w:hint="default"/>
                <w:color w:val="auto"/>
                <w:highlight w:val="none"/>
                <w:lang w:val="en-US" w:eastAsia="zh-CN"/>
              </w:rPr>
              <w:t xml:space="preserve">45.84 </w:t>
            </w:r>
          </w:p>
        </w:tc>
        <w:tc>
          <w:tcPr>
            <w:tcW w:w="1399" w:type="dxa"/>
            <w:shd w:val="clear" w:color="auto" w:fill="auto"/>
            <w:vAlign w:val="center"/>
          </w:tcPr>
          <w:p>
            <w:pPr>
              <w:pStyle w:val="84"/>
              <w:bidi w:val="0"/>
              <w:rPr>
                <w:color w:val="auto"/>
                <w:highlight w:val="none"/>
              </w:rPr>
            </w:pPr>
            <w:r>
              <w:rPr>
                <w:rFonts w:hint="default"/>
                <w:color w:val="auto"/>
                <w:highlight w:val="none"/>
                <w:lang w:val="en-US" w:eastAsia="zh-CN"/>
              </w:rPr>
              <w:t xml:space="preserve">3.67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42" w:type="pct"/>
            <w:vMerge w:val="restart"/>
            <w:shd w:val="clear" w:color="auto" w:fill="auto"/>
            <w:vAlign w:val="center"/>
          </w:tcPr>
          <w:p>
            <w:pPr>
              <w:pStyle w:val="84"/>
              <w:bidi w:val="0"/>
              <w:rPr>
                <w:color w:val="auto"/>
                <w:highlight w:val="none"/>
              </w:rPr>
            </w:pPr>
            <w:r>
              <w:rPr>
                <w:color w:val="auto"/>
                <w:highlight w:val="none"/>
              </w:rPr>
              <w:t>绿化区</w:t>
            </w:r>
          </w:p>
        </w:tc>
        <w:tc>
          <w:tcPr>
            <w:tcW w:w="626" w:type="pct"/>
            <w:shd w:val="clear" w:color="auto" w:fill="auto"/>
            <w:vAlign w:val="center"/>
          </w:tcPr>
          <w:p>
            <w:pPr>
              <w:pStyle w:val="84"/>
              <w:bidi w:val="0"/>
              <w:rPr>
                <w:color w:val="auto"/>
                <w:highlight w:val="none"/>
              </w:rPr>
            </w:pPr>
            <w:r>
              <w:rPr>
                <w:color w:val="auto"/>
                <w:highlight w:val="none"/>
              </w:rPr>
              <w:t>工程措施</w:t>
            </w:r>
          </w:p>
        </w:tc>
        <w:tc>
          <w:tcPr>
            <w:tcW w:w="1036" w:type="pct"/>
            <w:shd w:val="clear" w:color="auto" w:fill="auto"/>
            <w:vAlign w:val="center"/>
          </w:tcPr>
          <w:p>
            <w:pPr>
              <w:pStyle w:val="84"/>
              <w:bidi w:val="0"/>
              <w:rPr>
                <w:color w:val="auto"/>
                <w:highlight w:val="none"/>
              </w:rPr>
            </w:pPr>
            <w:r>
              <w:rPr>
                <w:color w:val="auto"/>
                <w:highlight w:val="none"/>
              </w:rPr>
              <w:t>土地平整</w:t>
            </w:r>
          </w:p>
        </w:tc>
        <w:tc>
          <w:tcPr>
            <w:tcW w:w="475" w:type="pct"/>
            <w:shd w:val="clear" w:color="auto" w:fill="auto"/>
            <w:vAlign w:val="center"/>
          </w:tcPr>
          <w:p>
            <w:pPr>
              <w:pStyle w:val="84"/>
              <w:bidi w:val="0"/>
              <w:rPr>
                <w:color w:val="auto"/>
                <w:highlight w:val="none"/>
              </w:rPr>
            </w:pPr>
            <w:r>
              <w:rPr>
                <w:color w:val="auto"/>
                <w:highlight w:val="none"/>
              </w:rPr>
              <w:t>hm²</w:t>
            </w:r>
          </w:p>
        </w:tc>
        <w:tc>
          <w:tcPr>
            <w:tcW w:w="556"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1.20</w:t>
            </w:r>
          </w:p>
        </w:tc>
        <w:tc>
          <w:tcPr>
            <w:tcW w:w="693" w:type="pct"/>
            <w:shd w:val="clear" w:color="auto" w:fill="auto"/>
            <w:vAlign w:val="center"/>
          </w:tcPr>
          <w:p>
            <w:pPr>
              <w:pStyle w:val="84"/>
              <w:bidi w:val="0"/>
              <w:rPr>
                <w:color w:val="auto"/>
                <w:highlight w:val="none"/>
              </w:rPr>
            </w:pPr>
            <w:r>
              <w:rPr>
                <w:color w:val="auto"/>
                <w:highlight w:val="none"/>
              </w:rPr>
              <w:t xml:space="preserve">12204.67 </w:t>
            </w:r>
          </w:p>
        </w:tc>
        <w:tc>
          <w:tcPr>
            <w:tcW w:w="772"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1.46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42" w:type="pct"/>
            <w:vMerge w:val="continue"/>
            <w:vAlign w:val="center"/>
          </w:tcPr>
          <w:p>
            <w:pPr>
              <w:pStyle w:val="84"/>
              <w:bidi w:val="0"/>
              <w:rPr>
                <w:color w:val="auto"/>
                <w:highlight w:val="none"/>
              </w:rPr>
            </w:pPr>
          </w:p>
        </w:tc>
        <w:tc>
          <w:tcPr>
            <w:tcW w:w="626" w:type="pct"/>
            <w:vMerge w:val="restart"/>
            <w:shd w:val="clear" w:color="auto" w:fill="auto"/>
            <w:vAlign w:val="center"/>
          </w:tcPr>
          <w:p>
            <w:pPr>
              <w:pStyle w:val="84"/>
              <w:bidi w:val="0"/>
              <w:rPr>
                <w:color w:val="auto"/>
                <w:highlight w:val="none"/>
              </w:rPr>
            </w:pPr>
            <w:r>
              <w:rPr>
                <w:color w:val="auto"/>
                <w:highlight w:val="none"/>
              </w:rPr>
              <w:t>植物措施</w:t>
            </w:r>
          </w:p>
        </w:tc>
        <w:tc>
          <w:tcPr>
            <w:tcW w:w="1036" w:type="pct"/>
            <w:shd w:val="clear" w:color="auto" w:fill="auto"/>
            <w:vAlign w:val="center"/>
          </w:tcPr>
          <w:p>
            <w:pPr>
              <w:pStyle w:val="84"/>
              <w:bidi w:val="0"/>
              <w:rPr>
                <w:color w:val="auto"/>
                <w:highlight w:val="none"/>
              </w:rPr>
            </w:pPr>
            <w:r>
              <w:rPr>
                <w:color w:val="auto"/>
                <w:highlight w:val="none"/>
              </w:rPr>
              <w:t>景观绿化</w:t>
            </w:r>
          </w:p>
        </w:tc>
        <w:tc>
          <w:tcPr>
            <w:tcW w:w="475" w:type="pct"/>
            <w:shd w:val="clear" w:color="auto" w:fill="auto"/>
            <w:vAlign w:val="center"/>
          </w:tcPr>
          <w:p>
            <w:pPr>
              <w:pStyle w:val="84"/>
              <w:bidi w:val="0"/>
              <w:rPr>
                <w:color w:val="auto"/>
                <w:highlight w:val="none"/>
              </w:rPr>
            </w:pPr>
            <w:r>
              <w:rPr>
                <w:color w:val="auto"/>
                <w:highlight w:val="none"/>
              </w:rPr>
              <w:t>hm²</w:t>
            </w:r>
          </w:p>
        </w:tc>
        <w:tc>
          <w:tcPr>
            <w:tcW w:w="1007" w:type="dxa"/>
            <w:shd w:val="clear" w:color="auto" w:fill="auto"/>
            <w:vAlign w:val="center"/>
          </w:tcPr>
          <w:p>
            <w:pPr>
              <w:pStyle w:val="84"/>
              <w:bidi w:val="0"/>
              <w:rPr>
                <w:color w:val="auto"/>
                <w:highlight w:val="none"/>
              </w:rPr>
            </w:pPr>
            <w:r>
              <w:rPr>
                <w:rFonts w:hint="default"/>
                <w:color w:val="auto"/>
                <w:highlight w:val="none"/>
                <w:lang w:val="en-US" w:eastAsia="zh-CN"/>
              </w:rPr>
              <w:t xml:space="preserve">1.20 </w:t>
            </w:r>
          </w:p>
        </w:tc>
        <w:tc>
          <w:tcPr>
            <w:tcW w:w="1256" w:type="dxa"/>
            <w:shd w:val="clear" w:color="auto" w:fill="auto"/>
            <w:vAlign w:val="center"/>
          </w:tcPr>
          <w:p>
            <w:pPr>
              <w:pStyle w:val="84"/>
              <w:bidi w:val="0"/>
              <w:rPr>
                <w:color w:val="auto"/>
                <w:highlight w:val="none"/>
              </w:rPr>
            </w:pPr>
            <w:r>
              <w:rPr>
                <w:rFonts w:hint="default"/>
                <w:color w:val="auto"/>
                <w:highlight w:val="none"/>
                <w:lang w:val="en-US" w:eastAsia="zh-CN"/>
              </w:rPr>
              <w:t xml:space="preserve">64756.45 </w:t>
            </w:r>
          </w:p>
        </w:tc>
        <w:tc>
          <w:tcPr>
            <w:tcW w:w="1399" w:type="dxa"/>
            <w:shd w:val="clear" w:color="auto" w:fill="auto"/>
            <w:vAlign w:val="center"/>
          </w:tcPr>
          <w:p>
            <w:pPr>
              <w:pStyle w:val="84"/>
              <w:bidi w:val="0"/>
              <w:rPr>
                <w:color w:val="auto"/>
                <w:highlight w:val="none"/>
              </w:rPr>
            </w:pPr>
            <w:r>
              <w:rPr>
                <w:rFonts w:hint="default"/>
                <w:color w:val="auto"/>
                <w:highlight w:val="none"/>
                <w:lang w:val="en-US" w:eastAsia="zh-CN"/>
              </w:rPr>
              <w:t xml:space="preserve">7.77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 w:hRule="exact"/>
        </w:trPr>
        <w:tc>
          <w:tcPr>
            <w:tcW w:w="842" w:type="pct"/>
            <w:vMerge w:val="continue"/>
            <w:vAlign w:val="center"/>
          </w:tcPr>
          <w:p>
            <w:pPr>
              <w:pStyle w:val="84"/>
              <w:bidi w:val="0"/>
              <w:rPr>
                <w:color w:val="auto"/>
                <w:highlight w:val="none"/>
              </w:rPr>
            </w:pPr>
          </w:p>
        </w:tc>
        <w:tc>
          <w:tcPr>
            <w:tcW w:w="626" w:type="pct"/>
            <w:vMerge w:val="continue"/>
            <w:vAlign w:val="center"/>
          </w:tcPr>
          <w:p>
            <w:pPr>
              <w:pStyle w:val="84"/>
              <w:bidi w:val="0"/>
              <w:rPr>
                <w:color w:val="auto"/>
                <w:highlight w:val="none"/>
              </w:rPr>
            </w:pPr>
          </w:p>
        </w:tc>
        <w:tc>
          <w:tcPr>
            <w:tcW w:w="1036" w:type="pct"/>
            <w:shd w:val="clear" w:color="auto" w:fill="auto"/>
            <w:vAlign w:val="center"/>
          </w:tcPr>
          <w:p>
            <w:pPr>
              <w:pStyle w:val="84"/>
              <w:bidi w:val="0"/>
              <w:rPr>
                <w:color w:val="auto"/>
                <w:highlight w:val="none"/>
              </w:rPr>
            </w:pPr>
            <w:r>
              <w:rPr>
                <w:color w:val="auto"/>
                <w:highlight w:val="none"/>
              </w:rPr>
              <w:t>配套微喷灌设施-控制灌溉面积</w:t>
            </w:r>
          </w:p>
        </w:tc>
        <w:tc>
          <w:tcPr>
            <w:tcW w:w="475" w:type="pct"/>
            <w:shd w:val="clear" w:color="auto" w:fill="auto"/>
            <w:vAlign w:val="center"/>
          </w:tcPr>
          <w:p>
            <w:pPr>
              <w:pStyle w:val="84"/>
              <w:bidi w:val="0"/>
              <w:rPr>
                <w:color w:val="auto"/>
                <w:highlight w:val="none"/>
              </w:rPr>
            </w:pPr>
            <w:r>
              <w:rPr>
                <w:color w:val="auto"/>
                <w:highlight w:val="none"/>
              </w:rPr>
              <w:t>hm²</w:t>
            </w:r>
          </w:p>
        </w:tc>
        <w:tc>
          <w:tcPr>
            <w:tcW w:w="1007" w:type="dxa"/>
            <w:shd w:val="clear" w:color="auto" w:fill="auto"/>
            <w:vAlign w:val="center"/>
          </w:tcPr>
          <w:p>
            <w:pPr>
              <w:pStyle w:val="84"/>
              <w:bidi w:val="0"/>
              <w:rPr>
                <w:color w:val="auto"/>
                <w:highlight w:val="none"/>
              </w:rPr>
            </w:pPr>
            <w:r>
              <w:rPr>
                <w:rFonts w:hint="default"/>
                <w:color w:val="auto"/>
                <w:highlight w:val="none"/>
                <w:lang w:val="en-US" w:eastAsia="zh-CN"/>
              </w:rPr>
              <w:t xml:space="preserve">1.20 </w:t>
            </w:r>
          </w:p>
        </w:tc>
        <w:tc>
          <w:tcPr>
            <w:tcW w:w="1256" w:type="dxa"/>
            <w:shd w:val="clear" w:color="auto" w:fill="auto"/>
            <w:vAlign w:val="center"/>
          </w:tcPr>
          <w:p>
            <w:pPr>
              <w:pStyle w:val="84"/>
              <w:bidi w:val="0"/>
              <w:rPr>
                <w:color w:val="auto"/>
                <w:highlight w:val="none"/>
              </w:rPr>
            </w:pPr>
            <w:r>
              <w:rPr>
                <w:rFonts w:hint="default"/>
                <w:color w:val="auto"/>
                <w:highlight w:val="none"/>
                <w:lang w:val="en-US" w:eastAsia="zh-CN"/>
              </w:rPr>
              <w:t xml:space="preserve">87524.26 </w:t>
            </w:r>
          </w:p>
        </w:tc>
        <w:tc>
          <w:tcPr>
            <w:tcW w:w="1399" w:type="dxa"/>
            <w:shd w:val="clear" w:color="auto" w:fill="auto"/>
            <w:vAlign w:val="center"/>
          </w:tcPr>
          <w:p>
            <w:pPr>
              <w:pStyle w:val="84"/>
              <w:bidi w:val="0"/>
              <w:rPr>
                <w:color w:val="auto"/>
                <w:highlight w:val="none"/>
              </w:rPr>
            </w:pPr>
            <w:r>
              <w:rPr>
                <w:rFonts w:hint="default"/>
                <w:color w:val="auto"/>
                <w:highlight w:val="none"/>
                <w:lang w:val="en-US" w:eastAsia="zh-CN"/>
              </w:rPr>
              <w:t xml:space="preserve">10.50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42" w:type="pct"/>
            <w:shd w:val="clear" w:color="auto" w:fill="auto"/>
            <w:vAlign w:val="center"/>
          </w:tcPr>
          <w:p>
            <w:pPr>
              <w:pStyle w:val="84"/>
              <w:bidi w:val="0"/>
              <w:rPr>
                <w:color w:val="auto"/>
                <w:highlight w:val="none"/>
              </w:rPr>
            </w:pPr>
            <w:r>
              <w:rPr>
                <w:color w:val="auto"/>
                <w:highlight w:val="none"/>
              </w:rPr>
              <w:t>道路及硬化区</w:t>
            </w:r>
          </w:p>
        </w:tc>
        <w:tc>
          <w:tcPr>
            <w:tcW w:w="626" w:type="pct"/>
            <w:shd w:val="clear" w:color="auto" w:fill="auto"/>
            <w:vAlign w:val="center"/>
          </w:tcPr>
          <w:p>
            <w:pPr>
              <w:pStyle w:val="84"/>
              <w:bidi w:val="0"/>
              <w:rPr>
                <w:color w:val="auto"/>
                <w:highlight w:val="none"/>
              </w:rPr>
            </w:pPr>
            <w:r>
              <w:rPr>
                <w:color w:val="auto"/>
                <w:highlight w:val="none"/>
              </w:rPr>
              <w:t>工程措施</w:t>
            </w:r>
          </w:p>
        </w:tc>
        <w:tc>
          <w:tcPr>
            <w:tcW w:w="1036" w:type="pct"/>
            <w:shd w:val="clear" w:color="auto" w:fill="auto"/>
            <w:vAlign w:val="center"/>
          </w:tcPr>
          <w:p>
            <w:pPr>
              <w:pStyle w:val="84"/>
              <w:bidi w:val="0"/>
              <w:rPr>
                <w:color w:val="auto"/>
                <w:highlight w:val="none"/>
              </w:rPr>
            </w:pPr>
            <w:r>
              <w:rPr>
                <w:color w:val="auto"/>
                <w:highlight w:val="none"/>
              </w:rPr>
              <w:t>土地平整</w:t>
            </w:r>
          </w:p>
        </w:tc>
        <w:tc>
          <w:tcPr>
            <w:tcW w:w="475" w:type="pct"/>
            <w:shd w:val="clear" w:color="auto" w:fill="auto"/>
            <w:vAlign w:val="center"/>
          </w:tcPr>
          <w:p>
            <w:pPr>
              <w:pStyle w:val="84"/>
              <w:bidi w:val="0"/>
              <w:rPr>
                <w:color w:val="auto"/>
                <w:highlight w:val="none"/>
              </w:rPr>
            </w:pPr>
            <w:r>
              <w:rPr>
                <w:color w:val="auto"/>
                <w:highlight w:val="none"/>
              </w:rPr>
              <w:t>hm²</w:t>
            </w:r>
          </w:p>
        </w:tc>
        <w:tc>
          <w:tcPr>
            <w:tcW w:w="556"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1.02</w:t>
            </w:r>
          </w:p>
        </w:tc>
        <w:tc>
          <w:tcPr>
            <w:tcW w:w="1256" w:type="dxa"/>
            <w:shd w:val="clear" w:color="auto" w:fill="auto"/>
            <w:vAlign w:val="center"/>
          </w:tcPr>
          <w:p>
            <w:pPr>
              <w:pStyle w:val="84"/>
              <w:bidi w:val="0"/>
              <w:rPr>
                <w:color w:val="auto"/>
                <w:highlight w:val="none"/>
              </w:rPr>
            </w:pPr>
            <w:r>
              <w:rPr>
                <w:rFonts w:hint="default"/>
                <w:color w:val="auto"/>
                <w:highlight w:val="none"/>
                <w:lang w:val="en-US" w:eastAsia="zh-CN"/>
              </w:rPr>
              <w:t xml:space="preserve">12204.67 </w:t>
            </w:r>
          </w:p>
        </w:tc>
        <w:tc>
          <w:tcPr>
            <w:tcW w:w="1399" w:type="dxa"/>
            <w:shd w:val="clear" w:color="auto" w:fill="auto"/>
            <w:vAlign w:val="center"/>
          </w:tcPr>
          <w:p>
            <w:pPr>
              <w:pStyle w:val="84"/>
              <w:bidi w:val="0"/>
              <w:rPr>
                <w:rFonts w:hint="default"/>
                <w:color w:val="auto"/>
                <w:highlight w:val="none"/>
                <w:lang w:val="en-US" w:eastAsia="zh-CN"/>
              </w:rPr>
            </w:pPr>
            <w:r>
              <w:rPr>
                <w:rFonts w:hint="default"/>
                <w:color w:val="auto"/>
                <w:highlight w:val="none"/>
                <w:lang w:val="en-US" w:eastAsia="zh-CN"/>
              </w:rPr>
              <w:t xml:space="preserve">1.25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42" w:type="pct"/>
            <w:shd w:val="clear" w:color="auto" w:fill="auto"/>
            <w:vAlign w:val="center"/>
          </w:tcPr>
          <w:p>
            <w:pPr>
              <w:pStyle w:val="84"/>
              <w:bidi w:val="0"/>
              <w:rPr>
                <w:color w:val="auto"/>
                <w:highlight w:val="none"/>
              </w:rPr>
            </w:pPr>
            <w:r>
              <w:rPr>
                <w:color w:val="auto"/>
                <w:highlight w:val="none"/>
              </w:rPr>
              <w:t>管线工程区</w:t>
            </w:r>
          </w:p>
        </w:tc>
        <w:tc>
          <w:tcPr>
            <w:tcW w:w="626" w:type="pct"/>
            <w:shd w:val="clear" w:color="auto" w:fill="auto"/>
            <w:vAlign w:val="center"/>
          </w:tcPr>
          <w:p>
            <w:pPr>
              <w:pStyle w:val="84"/>
              <w:bidi w:val="0"/>
              <w:rPr>
                <w:color w:val="auto"/>
                <w:highlight w:val="none"/>
              </w:rPr>
            </w:pPr>
            <w:r>
              <w:rPr>
                <w:color w:val="auto"/>
                <w:highlight w:val="none"/>
              </w:rPr>
              <w:t>工程措施</w:t>
            </w:r>
          </w:p>
        </w:tc>
        <w:tc>
          <w:tcPr>
            <w:tcW w:w="1036" w:type="pct"/>
            <w:shd w:val="clear" w:color="auto" w:fill="auto"/>
            <w:vAlign w:val="center"/>
          </w:tcPr>
          <w:p>
            <w:pPr>
              <w:pStyle w:val="84"/>
              <w:bidi w:val="0"/>
              <w:rPr>
                <w:color w:val="auto"/>
                <w:highlight w:val="none"/>
              </w:rPr>
            </w:pPr>
            <w:r>
              <w:rPr>
                <w:color w:val="auto"/>
                <w:highlight w:val="none"/>
              </w:rPr>
              <w:t>土地平整</w:t>
            </w:r>
          </w:p>
        </w:tc>
        <w:tc>
          <w:tcPr>
            <w:tcW w:w="475" w:type="pct"/>
            <w:shd w:val="clear" w:color="auto" w:fill="auto"/>
            <w:vAlign w:val="center"/>
          </w:tcPr>
          <w:p>
            <w:pPr>
              <w:pStyle w:val="84"/>
              <w:bidi w:val="0"/>
              <w:rPr>
                <w:color w:val="auto"/>
                <w:highlight w:val="none"/>
              </w:rPr>
            </w:pPr>
            <w:r>
              <w:rPr>
                <w:color w:val="auto"/>
                <w:highlight w:val="none"/>
              </w:rPr>
              <w:t>hm²</w:t>
            </w:r>
          </w:p>
        </w:tc>
        <w:tc>
          <w:tcPr>
            <w:tcW w:w="556" w:type="pct"/>
            <w:shd w:val="clear" w:color="auto" w:fill="auto"/>
            <w:vAlign w:val="center"/>
          </w:tcPr>
          <w:p>
            <w:pPr>
              <w:pStyle w:val="84"/>
              <w:bidi w:val="0"/>
              <w:rPr>
                <w:rFonts w:hint="default"/>
                <w:color w:val="auto"/>
                <w:highlight w:val="none"/>
                <w:lang w:val="en-US" w:eastAsia="zh-CN"/>
              </w:rPr>
            </w:pPr>
            <w:r>
              <w:rPr>
                <w:color w:val="auto"/>
                <w:highlight w:val="none"/>
              </w:rPr>
              <w:t>0.</w:t>
            </w:r>
            <w:r>
              <w:rPr>
                <w:rFonts w:hint="eastAsia"/>
                <w:color w:val="auto"/>
                <w:highlight w:val="none"/>
                <w:lang w:val="en-US" w:eastAsia="zh-CN"/>
              </w:rPr>
              <w:t>50</w:t>
            </w:r>
          </w:p>
        </w:tc>
        <w:tc>
          <w:tcPr>
            <w:tcW w:w="693" w:type="pct"/>
            <w:shd w:val="clear" w:color="auto" w:fill="auto"/>
            <w:vAlign w:val="center"/>
          </w:tcPr>
          <w:p>
            <w:pPr>
              <w:pStyle w:val="84"/>
              <w:bidi w:val="0"/>
              <w:rPr>
                <w:color w:val="auto"/>
                <w:highlight w:val="none"/>
              </w:rPr>
            </w:pPr>
            <w:r>
              <w:rPr>
                <w:color w:val="auto"/>
                <w:highlight w:val="none"/>
              </w:rPr>
              <w:t xml:space="preserve">12204.67 </w:t>
            </w:r>
          </w:p>
        </w:tc>
        <w:tc>
          <w:tcPr>
            <w:tcW w:w="772" w:type="pct"/>
            <w:shd w:val="clear" w:color="auto" w:fill="auto"/>
            <w:vAlign w:val="center"/>
          </w:tcPr>
          <w:p>
            <w:pPr>
              <w:pStyle w:val="84"/>
              <w:bidi w:val="0"/>
              <w:rPr>
                <w:rFonts w:hint="default"/>
                <w:color w:val="auto"/>
                <w:highlight w:val="none"/>
                <w:lang w:val="en-US" w:eastAsia="zh-CN"/>
              </w:rPr>
            </w:pPr>
            <w:r>
              <w:rPr>
                <w:color w:val="auto"/>
                <w:highlight w:val="none"/>
              </w:rPr>
              <w:t>0.</w:t>
            </w:r>
            <w:r>
              <w:rPr>
                <w:rFonts w:hint="eastAsia"/>
                <w:color w:val="auto"/>
                <w:highlight w:val="none"/>
                <w:lang w:val="en-US" w:eastAsia="zh-CN"/>
              </w:rPr>
              <w:t>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42" w:type="pct"/>
            <w:shd w:val="clear" w:color="auto" w:fill="auto"/>
            <w:vAlign w:val="center"/>
          </w:tcPr>
          <w:p>
            <w:pPr>
              <w:pStyle w:val="84"/>
              <w:bidi w:val="0"/>
              <w:rPr>
                <w:color w:val="auto"/>
                <w:highlight w:val="none"/>
              </w:rPr>
            </w:pPr>
            <w:r>
              <w:rPr>
                <w:color w:val="auto"/>
                <w:highlight w:val="none"/>
              </w:rPr>
              <w:t>施工生产区</w:t>
            </w:r>
          </w:p>
        </w:tc>
        <w:tc>
          <w:tcPr>
            <w:tcW w:w="626" w:type="pct"/>
            <w:shd w:val="clear" w:color="auto" w:fill="auto"/>
            <w:vAlign w:val="center"/>
          </w:tcPr>
          <w:p>
            <w:pPr>
              <w:pStyle w:val="84"/>
              <w:bidi w:val="0"/>
              <w:rPr>
                <w:color w:val="auto"/>
                <w:highlight w:val="none"/>
              </w:rPr>
            </w:pPr>
            <w:r>
              <w:rPr>
                <w:color w:val="auto"/>
                <w:highlight w:val="none"/>
              </w:rPr>
              <w:t>工程措施</w:t>
            </w:r>
          </w:p>
        </w:tc>
        <w:tc>
          <w:tcPr>
            <w:tcW w:w="1036" w:type="pct"/>
            <w:shd w:val="clear" w:color="auto" w:fill="auto"/>
            <w:vAlign w:val="center"/>
          </w:tcPr>
          <w:p>
            <w:pPr>
              <w:pStyle w:val="84"/>
              <w:bidi w:val="0"/>
              <w:rPr>
                <w:color w:val="auto"/>
                <w:highlight w:val="none"/>
              </w:rPr>
            </w:pPr>
            <w:r>
              <w:rPr>
                <w:color w:val="auto"/>
                <w:highlight w:val="none"/>
              </w:rPr>
              <w:t>土地平整</w:t>
            </w:r>
          </w:p>
        </w:tc>
        <w:tc>
          <w:tcPr>
            <w:tcW w:w="475" w:type="pct"/>
            <w:shd w:val="clear" w:color="auto" w:fill="auto"/>
            <w:vAlign w:val="center"/>
          </w:tcPr>
          <w:p>
            <w:pPr>
              <w:pStyle w:val="84"/>
              <w:bidi w:val="0"/>
              <w:rPr>
                <w:color w:val="auto"/>
                <w:highlight w:val="none"/>
              </w:rPr>
            </w:pPr>
            <w:r>
              <w:rPr>
                <w:color w:val="auto"/>
                <w:highlight w:val="none"/>
              </w:rPr>
              <w:t>hm²</w:t>
            </w:r>
          </w:p>
        </w:tc>
        <w:tc>
          <w:tcPr>
            <w:tcW w:w="556" w:type="pct"/>
            <w:shd w:val="clear" w:color="auto" w:fill="auto"/>
            <w:vAlign w:val="center"/>
          </w:tcPr>
          <w:p>
            <w:pPr>
              <w:pStyle w:val="84"/>
              <w:bidi w:val="0"/>
              <w:rPr>
                <w:color w:val="auto"/>
                <w:highlight w:val="none"/>
              </w:rPr>
            </w:pPr>
            <w:r>
              <w:rPr>
                <w:color w:val="auto"/>
                <w:highlight w:val="none"/>
              </w:rPr>
              <w:t>0.3</w:t>
            </w:r>
            <w:r>
              <w:rPr>
                <w:rFonts w:hint="eastAsia"/>
                <w:color w:val="auto"/>
                <w:highlight w:val="none"/>
                <w:lang w:val="en-US" w:eastAsia="zh-CN"/>
              </w:rPr>
              <w:t>0</w:t>
            </w:r>
            <w:r>
              <w:rPr>
                <w:color w:val="auto"/>
                <w:highlight w:val="none"/>
              </w:rPr>
              <w:t xml:space="preserve"> </w:t>
            </w:r>
          </w:p>
        </w:tc>
        <w:tc>
          <w:tcPr>
            <w:tcW w:w="693" w:type="pct"/>
            <w:shd w:val="clear" w:color="auto" w:fill="auto"/>
            <w:vAlign w:val="center"/>
          </w:tcPr>
          <w:p>
            <w:pPr>
              <w:pStyle w:val="84"/>
              <w:bidi w:val="0"/>
              <w:rPr>
                <w:color w:val="auto"/>
                <w:highlight w:val="none"/>
              </w:rPr>
            </w:pPr>
            <w:r>
              <w:rPr>
                <w:color w:val="auto"/>
                <w:highlight w:val="none"/>
              </w:rPr>
              <w:t xml:space="preserve">12204.67 </w:t>
            </w:r>
          </w:p>
        </w:tc>
        <w:tc>
          <w:tcPr>
            <w:tcW w:w="772" w:type="pct"/>
            <w:shd w:val="clear" w:color="auto" w:fill="auto"/>
            <w:vAlign w:val="center"/>
          </w:tcPr>
          <w:p>
            <w:pPr>
              <w:pStyle w:val="84"/>
              <w:bidi w:val="0"/>
              <w:rPr>
                <w:color w:val="auto"/>
                <w:highlight w:val="none"/>
              </w:rPr>
            </w:pPr>
            <w:r>
              <w:rPr>
                <w:color w:val="auto"/>
                <w:highlight w:val="none"/>
              </w:rPr>
              <w:t>0.</w:t>
            </w:r>
            <w:r>
              <w:rPr>
                <w:rFonts w:hint="eastAsia"/>
                <w:color w:val="auto"/>
                <w:highlight w:val="none"/>
                <w:lang w:val="en-US" w:eastAsia="zh-CN"/>
              </w:rPr>
              <w:t>37</w:t>
            </w:r>
            <w:r>
              <w:rPr>
                <w:color w:val="auto"/>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3535" w:type="pct"/>
            <w:gridSpan w:val="5"/>
            <w:shd w:val="clear" w:color="auto" w:fill="auto"/>
            <w:noWrap/>
            <w:vAlign w:val="center"/>
          </w:tcPr>
          <w:p>
            <w:pPr>
              <w:pStyle w:val="84"/>
              <w:bidi w:val="0"/>
              <w:rPr>
                <w:color w:val="auto"/>
                <w:highlight w:val="none"/>
              </w:rPr>
            </w:pPr>
            <w:r>
              <w:rPr>
                <w:color w:val="auto"/>
                <w:highlight w:val="none"/>
              </w:rPr>
              <w:t>合计</w:t>
            </w:r>
          </w:p>
        </w:tc>
        <w:tc>
          <w:tcPr>
            <w:tcW w:w="693" w:type="pct"/>
            <w:shd w:val="clear" w:color="auto" w:fill="auto"/>
            <w:noWrap/>
            <w:vAlign w:val="center"/>
          </w:tcPr>
          <w:p>
            <w:pPr>
              <w:pStyle w:val="84"/>
              <w:bidi w:val="0"/>
              <w:rPr>
                <w:color w:val="auto"/>
                <w:highlight w:val="none"/>
              </w:rPr>
            </w:pPr>
            <w:r>
              <w:rPr>
                <w:color w:val="auto"/>
                <w:highlight w:val="none"/>
              </w:rPr>
              <w:t>　</w:t>
            </w:r>
          </w:p>
        </w:tc>
        <w:tc>
          <w:tcPr>
            <w:tcW w:w="772" w:type="pct"/>
            <w:shd w:val="clear" w:color="auto" w:fill="auto"/>
            <w:noWrap/>
            <w:vAlign w:val="center"/>
          </w:tcPr>
          <w:p>
            <w:pPr>
              <w:pStyle w:val="84"/>
              <w:bidi w:val="0"/>
              <w:rPr>
                <w:color w:val="auto"/>
                <w:highlight w:val="none"/>
              </w:rPr>
            </w:pPr>
            <w:r>
              <w:rPr>
                <w:rFonts w:hint="eastAsia"/>
                <w:color w:val="auto"/>
                <w:highlight w:val="none"/>
                <w:lang w:val="en-US" w:eastAsia="zh-CN"/>
              </w:rPr>
              <w:t>25.63</w:t>
            </w:r>
            <w:r>
              <w:rPr>
                <w:color w:val="auto"/>
                <w:highlight w:val="none"/>
              </w:rPr>
              <w:t xml:space="preserve"> </w:t>
            </w:r>
          </w:p>
        </w:tc>
      </w:tr>
    </w:tbl>
    <w:p>
      <w:pPr>
        <w:widowControl/>
        <w:adjustRightInd/>
        <w:snapToGrid/>
        <w:spacing w:line="240" w:lineRule="auto"/>
        <w:ind w:firstLine="0" w:firstLineChars="0"/>
        <w:jc w:val="left"/>
        <w:rPr>
          <w:color w:val="auto"/>
          <w:highlight w:val="none"/>
        </w:rPr>
      </w:pPr>
    </w:p>
    <w:p>
      <w:pPr>
        <w:pStyle w:val="75"/>
        <w:rPr>
          <w:color w:val="auto"/>
          <w:highlight w:val="none"/>
        </w:rPr>
      </w:pPr>
      <w:r>
        <w:rPr>
          <w:color w:val="auto"/>
          <w:highlight w:val="none"/>
        </w:rPr>
        <w:t>表3.3-2   主体已列及已实施的水土保持措施与方案补充新增措施</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4111"/>
        <w:gridCol w:w="2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exact"/>
          <w:jc w:val="center"/>
        </w:trPr>
        <w:tc>
          <w:tcPr>
            <w:tcW w:w="1077" w:type="pct"/>
            <w:tcBorders>
              <w:tl2br w:val="nil"/>
              <w:tr2bl w:val="nil"/>
            </w:tcBorders>
            <w:vAlign w:val="center"/>
          </w:tcPr>
          <w:p>
            <w:pPr>
              <w:pStyle w:val="84"/>
              <w:rPr>
                <w:color w:val="auto"/>
                <w:highlight w:val="none"/>
              </w:rPr>
            </w:pPr>
            <w:r>
              <w:rPr>
                <w:color w:val="auto"/>
                <w:highlight w:val="none"/>
              </w:rPr>
              <w:t>项目组成</w:t>
            </w:r>
          </w:p>
        </w:tc>
        <w:tc>
          <w:tcPr>
            <w:tcW w:w="2269" w:type="pct"/>
            <w:tcBorders>
              <w:tl2br w:val="nil"/>
              <w:tr2bl w:val="nil"/>
            </w:tcBorders>
            <w:vAlign w:val="center"/>
          </w:tcPr>
          <w:p>
            <w:pPr>
              <w:pStyle w:val="84"/>
              <w:rPr>
                <w:color w:val="auto"/>
                <w:highlight w:val="none"/>
              </w:rPr>
            </w:pPr>
            <w:r>
              <w:rPr>
                <w:color w:val="auto"/>
                <w:highlight w:val="none"/>
              </w:rPr>
              <w:t>主体工程已列具有的水土保持功能的措施</w:t>
            </w:r>
          </w:p>
        </w:tc>
        <w:tc>
          <w:tcPr>
            <w:tcW w:w="1654" w:type="pct"/>
            <w:tcBorders>
              <w:tl2br w:val="nil"/>
              <w:tr2bl w:val="nil"/>
            </w:tcBorders>
            <w:vAlign w:val="center"/>
          </w:tcPr>
          <w:p>
            <w:pPr>
              <w:pStyle w:val="84"/>
              <w:rPr>
                <w:color w:val="auto"/>
                <w:highlight w:val="none"/>
              </w:rPr>
            </w:pPr>
            <w:r>
              <w:rPr>
                <w:color w:val="auto"/>
                <w:highlight w:val="none"/>
              </w:rPr>
              <w:t>需要补充的水土保持措施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77" w:type="pct"/>
            <w:tcBorders>
              <w:tl2br w:val="nil"/>
              <w:tr2bl w:val="nil"/>
            </w:tcBorders>
            <w:vAlign w:val="center"/>
          </w:tcPr>
          <w:p>
            <w:pPr>
              <w:pStyle w:val="84"/>
              <w:rPr>
                <w:color w:val="auto"/>
                <w:highlight w:val="none"/>
              </w:rPr>
            </w:pPr>
            <w:r>
              <w:rPr>
                <w:color w:val="auto"/>
                <w:highlight w:val="none"/>
              </w:rPr>
              <w:t>建构筑物区</w:t>
            </w:r>
          </w:p>
        </w:tc>
        <w:tc>
          <w:tcPr>
            <w:tcW w:w="2269" w:type="pct"/>
            <w:tcBorders>
              <w:tl2br w:val="nil"/>
              <w:tr2bl w:val="nil"/>
            </w:tcBorders>
            <w:vAlign w:val="center"/>
          </w:tcPr>
          <w:p>
            <w:pPr>
              <w:pStyle w:val="84"/>
              <w:rPr>
                <w:rFonts w:hint="eastAsia" w:eastAsia="仿宋_GB2312"/>
                <w:color w:val="auto"/>
                <w:highlight w:val="none"/>
                <w:lang w:eastAsia="zh-CN"/>
              </w:rPr>
            </w:pPr>
            <w:r>
              <w:rPr>
                <w:rFonts w:hint="eastAsia"/>
                <w:color w:val="auto"/>
                <w:highlight w:val="none"/>
                <w:lang w:eastAsia="zh-CN"/>
              </w:rPr>
              <w:t>彩钢板围栏</w:t>
            </w:r>
          </w:p>
        </w:tc>
        <w:tc>
          <w:tcPr>
            <w:tcW w:w="1654" w:type="pct"/>
            <w:tcBorders>
              <w:tl2br w:val="nil"/>
              <w:tr2bl w:val="nil"/>
            </w:tcBorders>
            <w:vAlign w:val="center"/>
          </w:tcPr>
          <w:p>
            <w:pPr>
              <w:pStyle w:val="84"/>
              <w:rPr>
                <w:color w:val="auto"/>
                <w:highlight w:val="none"/>
              </w:rPr>
            </w:pPr>
            <w:r>
              <w:rPr>
                <w:color w:val="auto"/>
                <w:highlight w:val="none"/>
              </w:rPr>
              <w:t>防尘网苫盖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77" w:type="pct"/>
            <w:tcBorders>
              <w:tl2br w:val="nil"/>
              <w:tr2bl w:val="nil"/>
            </w:tcBorders>
            <w:vAlign w:val="center"/>
          </w:tcPr>
          <w:p>
            <w:pPr>
              <w:pStyle w:val="84"/>
              <w:rPr>
                <w:color w:val="auto"/>
                <w:highlight w:val="none"/>
              </w:rPr>
            </w:pPr>
            <w:r>
              <w:rPr>
                <w:color w:val="auto"/>
                <w:highlight w:val="none"/>
              </w:rPr>
              <w:t>绿化区</w:t>
            </w:r>
          </w:p>
        </w:tc>
        <w:tc>
          <w:tcPr>
            <w:tcW w:w="2269" w:type="pct"/>
            <w:tcBorders>
              <w:tl2br w:val="nil"/>
              <w:tr2bl w:val="nil"/>
            </w:tcBorders>
            <w:vAlign w:val="center"/>
          </w:tcPr>
          <w:p>
            <w:pPr>
              <w:pStyle w:val="84"/>
              <w:rPr>
                <w:color w:val="auto"/>
                <w:highlight w:val="none"/>
              </w:rPr>
            </w:pPr>
            <w:r>
              <w:rPr>
                <w:color w:val="auto"/>
                <w:highlight w:val="none"/>
              </w:rPr>
              <w:t>土地平整、景观绿化及配套灌溉设施</w:t>
            </w:r>
          </w:p>
        </w:tc>
        <w:tc>
          <w:tcPr>
            <w:tcW w:w="1654" w:type="pct"/>
            <w:tcBorders>
              <w:tl2br w:val="nil"/>
              <w:tr2bl w:val="nil"/>
            </w:tcBorders>
            <w:vAlign w:val="center"/>
          </w:tcPr>
          <w:p>
            <w:pPr>
              <w:pStyle w:val="84"/>
              <w:rPr>
                <w:color w:val="auto"/>
                <w:highlight w:val="none"/>
              </w:rPr>
            </w:pPr>
            <w:r>
              <w:rPr>
                <w:color w:val="auto"/>
                <w:highlight w:val="none"/>
              </w:rPr>
              <w:t>全面整地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77" w:type="pct"/>
            <w:tcBorders>
              <w:tl2br w:val="nil"/>
              <w:tr2bl w:val="nil"/>
            </w:tcBorders>
            <w:vAlign w:val="center"/>
          </w:tcPr>
          <w:p>
            <w:pPr>
              <w:pStyle w:val="84"/>
              <w:rPr>
                <w:color w:val="auto"/>
                <w:highlight w:val="none"/>
              </w:rPr>
            </w:pPr>
            <w:r>
              <w:rPr>
                <w:color w:val="auto"/>
                <w:highlight w:val="none"/>
              </w:rPr>
              <w:t>道路及硬化区</w:t>
            </w:r>
          </w:p>
        </w:tc>
        <w:tc>
          <w:tcPr>
            <w:tcW w:w="2269" w:type="pct"/>
            <w:tcBorders>
              <w:tl2br w:val="nil"/>
              <w:tr2bl w:val="nil"/>
            </w:tcBorders>
            <w:vAlign w:val="center"/>
          </w:tcPr>
          <w:p>
            <w:pPr>
              <w:pStyle w:val="84"/>
              <w:rPr>
                <w:color w:val="auto"/>
                <w:highlight w:val="none"/>
              </w:rPr>
            </w:pPr>
            <w:r>
              <w:rPr>
                <w:color w:val="auto"/>
                <w:highlight w:val="none"/>
              </w:rPr>
              <w:t>土地平整</w:t>
            </w:r>
          </w:p>
        </w:tc>
        <w:tc>
          <w:tcPr>
            <w:tcW w:w="1654" w:type="pct"/>
            <w:tcBorders>
              <w:tl2br w:val="nil"/>
              <w:tr2bl w:val="nil"/>
            </w:tcBorders>
            <w:vAlign w:val="center"/>
          </w:tcPr>
          <w:p>
            <w:pPr>
              <w:pStyle w:val="84"/>
              <w:rPr>
                <w:color w:val="auto"/>
                <w:highlight w:val="none"/>
              </w:rPr>
            </w:pPr>
            <w:r>
              <w:rPr>
                <w:color w:val="auto"/>
                <w:highlight w:val="none"/>
              </w:rPr>
              <w:t>洒水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77" w:type="pct"/>
            <w:tcBorders>
              <w:tl2br w:val="nil"/>
              <w:tr2bl w:val="nil"/>
            </w:tcBorders>
            <w:vAlign w:val="center"/>
          </w:tcPr>
          <w:p>
            <w:pPr>
              <w:pStyle w:val="84"/>
              <w:rPr>
                <w:color w:val="auto"/>
                <w:highlight w:val="none"/>
              </w:rPr>
            </w:pPr>
            <w:r>
              <w:rPr>
                <w:color w:val="auto"/>
                <w:highlight w:val="none"/>
              </w:rPr>
              <w:t>管线工程区</w:t>
            </w:r>
          </w:p>
        </w:tc>
        <w:tc>
          <w:tcPr>
            <w:tcW w:w="2269" w:type="pct"/>
            <w:tcBorders>
              <w:tl2br w:val="nil"/>
              <w:tr2bl w:val="nil"/>
            </w:tcBorders>
            <w:vAlign w:val="center"/>
          </w:tcPr>
          <w:p>
            <w:pPr>
              <w:pStyle w:val="84"/>
              <w:rPr>
                <w:color w:val="auto"/>
                <w:highlight w:val="none"/>
              </w:rPr>
            </w:pPr>
            <w:r>
              <w:rPr>
                <w:color w:val="auto"/>
                <w:highlight w:val="none"/>
              </w:rPr>
              <w:t>土地平整</w:t>
            </w:r>
          </w:p>
        </w:tc>
        <w:tc>
          <w:tcPr>
            <w:tcW w:w="1654" w:type="pct"/>
            <w:tcBorders>
              <w:tl2br w:val="nil"/>
              <w:tr2bl w:val="nil"/>
            </w:tcBorders>
            <w:vAlign w:val="center"/>
          </w:tcPr>
          <w:p>
            <w:pPr>
              <w:pStyle w:val="84"/>
              <w:rPr>
                <w:color w:val="auto"/>
                <w:highlight w:val="none"/>
              </w:rPr>
            </w:pPr>
            <w:r>
              <w:rPr>
                <w:color w:val="auto"/>
                <w:highlight w:val="none"/>
              </w:rPr>
              <w:t>防尘网苫盖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77" w:type="pct"/>
            <w:tcBorders>
              <w:tl2br w:val="nil"/>
              <w:tr2bl w:val="nil"/>
            </w:tcBorders>
            <w:vAlign w:val="center"/>
          </w:tcPr>
          <w:p>
            <w:pPr>
              <w:pStyle w:val="84"/>
              <w:rPr>
                <w:color w:val="auto"/>
                <w:highlight w:val="none"/>
              </w:rPr>
            </w:pPr>
            <w:r>
              <w:rPr>
                <w:color w:val="auto"/>
                <w:highlight w:val="none"/>
              </w:rPr>
              <w:t>施工生产区</w:t>
            </w:r>
          </w:p>
        </w:tc>
        <w:tc>
          <w:tcPr>
            <w:tcW w:w="2269" w:type="pct"/>
            <w:tcBorders>
              <w:tl2br w:val="nil"/>
              <w:tr2bl w:val="nil"/>
            </w:tcBorders>
            <w:vAlign w:val="center"/>
          </w:tcPr>
          <w:p>
            <w:pPr>
              <w:pStyle w:val="84"/>
              <w:rPr>
                <w:color w:val="auto"/>
                <w:highlight w:val="none"/>
              </w:rPr>
            </w:pPr>
            <w:r>
              <w:rPr>
                <w:color w:val="auto"/>
                <w:highlight w:val="none"/>
              </w:rPr>
              <w:t>土地平整</w:t>
            </w:r>
          </w:p>
        </w:tc>
        <w:tc>
          <w:tcPr>
            <w:tcW w:w="1654" w:type="pct"/>
            <w:tcBorders>
              <w:tl2br w:val="nil"/>
              <w:tr2bl w:val="nil"/>
            </w:tcBorders>
            <w:vAlign w:val="center"/>
          </w:tcPr>
          <w:p>
            <w:pPr>
              <w:pStyle w:val="84"/>
              <w:rPr>
                <w:rFonts w:hint="eastAsia" w:eastAsia="仿宋_GB2312"/>
                <w:color w:val="auto"/>
                <w:highlight w:val="none"/>
                <w:lang w:val="en-US" w:eastAsia="zh-CN"/>
              </w:rPr>
            </w:pPr>
            <w:r>
              <w:rPr>
                <w:color w:val="auto"/>
                <w:highlight w:val="none"/>
              </w:rPr>
              <w:t>彩钢板围栏</w:t>
            </w:r>
          </w:p>
        </w:tc>
      </w:tr>
    </w:tbl>
    <w:p>
      <w:pPr>
        <w:ind w:firstLine="480"/>
        <w:rPr>
          <w:color w:val="auto"/>
          <w:highlight w:val="none"/>
        </w:rPr>
      </w:pPr>
    </w:p>
    <w:p>
      <w:pPr>
        <w:ind w:firstLine="480"/>
        <w:rPr>
          <w:color w:val="auto"/>
          <w:highlight w:val="none"/>
        </w:rPr>
      </w:pPr>
    </w:p>
    <w:p>
      <w:pPr>
        <w:ind w:firstLine="480"/>
        <w:rPr>
          <w:color w:val="auto"/>
          <w:highlight w:val="none"/>
        </w:rPr>
        <w:sectPr>
          <w:headerReference r:id="rId20"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65"/>
        <w:rPr>
          <w:color w:val="auto"/>
          <w:highlight w:val="none"/>
        </w:rPr>
      </w:pPr>
      <w:bookmarkStart w:id="96" w:name="_Toc4538"/>
      <w:bookmarkStart w:id="97" w:name="_Toc23858"/>
      <w:r>
        <w:rPr>
          <w:color w:val="auto"/>
          <w:highlight w:val="none"/>
        </w:rPr>
        <w:t>4 水土流失</w:t>
      </w:r>
      <w:bookmarkEnd w:id="96"/>
      <w:r>
        <w:rPr>
          <w:color w:val="auto"/>
          <w:highlight w:val="none"/>
        </w:rPr>
        <w:t>分析与预测</w:t>
      </w:r>
      <w:bookmarkEnd w:id="97"/>
    </w:p>
    <w:p>
      <w:pPr>
        <w:pStyle w:val="66"/>
        <w:rPr>
          <w:color w:val="auto"/>
          <w:highlight w:val="none"/>
        </w:rPr>
      </w:pPr>
      <w:bookmarkStart w:id="98" w:name="_Toc8682"/>
      <w:bookmarkStart w:id="99" w:name="_Toc27056"/>
      <w:r>
        <w:rPr>
          <w:color w:val="auto"/>
          <w:highlight w:val="none"/>
        </w:rPr>
        <w:t>4.1</w:t>
      </w:r>
      <w:bookmarkStart w:id="100" w:name="_Toc489192814"/>
      <w:bookmarkStart w:id="101" w:name="_Toc488658801"/>
      <w:r>
        <w:rPr>
          <w:color w:val="auto"/>
          <w:highlight w:val="none"/>
        </w:rPr>
        <w:t xml:space="preserve"> </w:t>
      </w:r>
      <w:bookmarkEnd w:id="100"/>
      <w:bookmarkEnd w:id="101"/>
      <w:r>
        <w:rPr>
          <w:color w:val="auto"/>
          <w:highlight w:val="none"/>
        </w:rPr>
        <w:t>水土流失现状</w:t>
      </w:r>
      <w:bookmarkEnd w:id="98"/>
    </w:p>
    <w:p>
      <w:pPr>
        <w:pStyle w:val="69"/>
        <w:rPr>
          <w:color w:val="auto"/>
          <w:highlight w:val="none"/>
        </w:rPr>
      </w:pPr>
      <w:r>
        <w:rPr>
          <w:color w:val="auto"/>
          <w:highlight w:val="none"/>
        </w:rPr>
        <w:t>4.1.1 区域水土流失现状</w:t>
      </w:r>
    </w:p>
    <w:p>
      <w:pPr>
        <w:pStyle w:val="56"/>
        <w:ind w:firstLine="480"/>
        <w:rPr>
          <w:rFonts w:hint="default" w:eastAsia="仿宋_GB2312"/>
          <w:color w:val="auto"/>
          <w:highlight w:val="none"/>
          <w:lang w:val="en-US" w:eastAsia="zh-CN"/>
        </w:rPr>
      </w:pPr>
      <w:r>
        <w:rPr>
          <w:color w:val="auto"/>
          <w:highlight w:val="none"/>
        </w:rPr>
        <w:t>根据全疆2018年水土流失动态监测成果确定，工程所在的伊犁州</w:t>
      </w:r>
      <w:r>
        <w:rPr>
          <w:rFonts w:hint="eastAsia"/>
          <w:color w:val="auto"/>
          <w:highlight w:val="none"/>
          <w:lang w:eastAsia="zh-CN"/>
        </w:rPr>
        <w:t>伊宁</w:t>
      </w:r>
      <w:r>
        <w:rPr>
          <w:color w:val="auto"/>
          <w:highlight w:val="none"/>
        </w:rPr>
        <w:t>县轻度以上风力侵蚀和水力侵蚀</w:t>
      </w:r>
      <w:r>
        <w:rPr>
          <w:rFonts w:hint="eastAsia"/>
          <w:color w:val="auto"/>
          <w:highlight w:val="none"/>
          <w:lang w:eastAsia="zh-CN"/>
        </w:rPr>
        <w:t>总</w:t>
      </w:r>
      <w:r>
        <w:rPr>
          <w:color w:val="auto"/>
          <w:highlight w:val="none"/>
        </w:rPr>
        <w:t>面积</w:t>
      </w:r>
      <w:r>
        <w:rPr>
          <w:rFonts w:hint="eastAsia"/>
          <w:color w:val="auto"/>
          <w:highlight w:val="none"/>
          <w:lang w:val="en-US" w:eastAsia="zh-CN"/>
        </w:rPr>
        <w:t>2015.30</w:t>
      </w:r>
      <w:r>
        <w:rPr>
          <w:color w:val="auto"/>
          <w:highlight w:val="none"/>
        </w:rPr>
        <w:t>km</w:t>
      </w:r>
      <w:r>
        <w:rPr>
          <w:rFonts w:eastAsia="宋体"/>
          <w:color w:val="auto"/>
          <w:highlight w:val="none"/>
        </w:rPr>
        <w:t>²</w:t>
      </w:r>
      <w:r>
        <w:rPr>
          <w:color w:val="auto"/>
          <w:highlight w:val="none"/>
        </w:rPr>
        <w:t>，占全</w:t>
      </w:r>
      <w:r>
        <w:rPr>
          <w:rFonts w:hint="eastAsia"/>
          <w:color w:val="auto"/>
          <w:highlight w:val="none"/>
          <w:lang w:eastAsia="zh-CN"/>
        </w:rPr>
        <w:t>县</w:t>
      </w:r>
      <w:r>
        <w:rPr>
          <w:color w:val="auto"/>
          <w:highlight w:val="none"/>
        </w:rPr>
        <w:t>土地总面积</w:t>
      </w:r>
      <w:r>
        <w:rPr>
          <w:rFonts w:hint="eastAsia"/>
          <w:color w:val="auto"/>
          <w:highlight w:val="none"/>
          <w:lang w:eastAsia="zh-CN"/>
        </w:rPr>
        <w:t>的</w:t>
      </w:r>
      <w:r>
        <w:rPr>
          <w:rFonts w:hint="eastAsia"/>
          <w:color w:val="auto"/>
          <w:highlight w:val="none"/>
          <w:lang w:val="en-US" w:eastAsia="zh-CN"/>
        </w:rPr>
        <w:t>45.95</w:t>
      </w:r>
      <w:r>
        <w:rPr>
          <w:color w:val="auto"/>
          <w:highlight w:val="none"/>
        </w:rPr>
        <w:t>%。其中水力侵蚀面积为</w:t>
      </w:r>
      <w:r>
        <w:rPr>
          <w:rFonts w:hint="eastAsia"/>
          <w:color w:val="auto"/>
          <w:highlight w:val="none"/>
          <w:lang w:val="en-US" w:eastAsia="zh-CN"/>
        </w:rPr>
        <w:t>1128.54</w:t>
      </w:r>
      <w:r>
        <w:rPr>
          <w:color w:val="auto"/>
          <w:highlight w:val="none"/>
        </w:rPr>
        <w:t>km</w:t>
      </w:r>
      <w:r>
        <w:rPr>
          <w:rFonts w:eastAsia="宋体"/>
          <w:color w:val="auto"/>
          <w:highlight w:val="none"/>
        </w:rPr>
        <w:t>²</w:t>
      </w:r>
      <w:r>
        <w:rPr>
          <w:color w:val="auto"/>
          <w:highlight w:val="none"/>
        </w:rPr>
        <w:t>，占土壤侵蚀总面积的</w:t>
      </w:r>
      <w:r>
        <w:rPr>
          <w:rFonts w:hint="eastAsia"/>
          <w:color w:val="auto"/>
          <w:highlight w:val="none"/>
          <w:lang w:val="en-US" w:eastAsia="zh-CN"/>
        </w:rPr>
        <w:t>56.00</w:t>
      </w:r>
      <w:r>
        <w:rPr>
          <w:color w:val="auto"/>
          <w:highlight w:val="none"/>
        </w:rPr>
        <w:t>%；风力侵蚀面积为</w:t>
      </w:r>
      <w:r>
        <w:rPr>
          <w:rFonts w:hint="eastAsia"/>
          <w:color w:val="auto"/>
          <w:highlight w:val="none"/>
          <w:lang w:val="en-US" w:eastAsia="zh-CN"/>
        </w:rPr>
        <w:t>886.76</w:t>
      </w:r>
      <w:r>
        <w:rPr>
          <w:color w:val="auto"/>
          <w:highlight w:val="none"/>
        </w:rPr>
        <w:t>km</w:t>
      </w:r>
      <w:r>
        <w:rPr>
          <w:rFonts w:eastAsia="宋体"/>
          <w:color w:val="auto"/>
          <w:highlight w:val="none"/>
        </w:rPr>
        <w:t>²</w:t>
      </w:r>
      <w:r>
        <w:rPr>
          <w:color w:val="auto"/>
          <w:highlight w:val="none"/>
        </w:rPr>
        <w:t>，占土壤侵蚀总面积的</w:t>
      </w:r>
      <w:r>
        <w:rPr>
          <w:rFonts w:hint="eastAsia"/>
          <w:color w:val="auto"/>
          <w:highlight w:val="none"/>
          <w:lang w:val="en-US" w:eastAsia="zh-CN"/>
        </w:rPr>
        <w:t>44.00</w:t>
      </w:r>
      <w:r>
        <w:rPr>
          <w:color w:val="auto"/>
          <w:highlight w:val="none"/>
        </w:rPr>
        <w:t>%。</w:t>
      </w:r>
      <w:r>
        <w:rPr>
          <w:rFonts w:hint="eastAsia"/>
          <w:color w:val="auto"/>
          <w:highlight w:val="none"/>
          <w:lang w:eastAsia="zh-CN"/>
        </w:rPr>
        <w:t>动态变化数据显示，伊宁县</w:t>
      </w:r>
      <w:r>
        <w:rPr>
          <w:rFonts w:hint="eastAsia"/>
          <w:color w:val="auto"/>
          <w:highlight w:val="none"/>
          <w:lang w:val="en-US" w:eastAsia="zh-CN"/>
        </w:rPr>
        <w:t>2018年水土流失面积比2011年减少了517.42</w:t>
      </w:r>
      <w:r>
        <w:rPr>
          <w:color w:val="auto"/>
          <w:highlight w:val="none"/>
        </w:rPr>
        <w:t>km</w:t>
      </w:r>
      <w:r>
        <w:rPr>
          <w:rFonts w:eastAsia="宋体"/>
          <w:color w:val="auto"/>
          <w:highlight w:val="none"/>
        </w:rPr>
        <w:t>²</w:t>
      </w:r>
      <w:r>
        <w:rPr>
          <w:color w:val="auto"/>
          <w:highlight w:val="none"/>
        </w:rPr>
        <w:t>。</w:t>
      </w:r>
    </w:p>
    <w:p>
      <w:pPr>
        <w:pStyle w:val="75"/>
        <w:rPr>
          <w:color w:val="auto"/>
          <w:highlight w:val="none"/>
        </w:rPr>
      </w:pPr>
      <w:r>
        <w:rPr>
          <w:color w:val="auto"/>
          <w:highlight w:val="none"/>
        </w:rPr>
        <w:t xml:space="preserve">表4.1-1   </w:t>
      </w:r>
      <w:r>
        <w:rPr>
          <w:rFonts w:hint="eastAsia"/>
          <w:color w:val="auto"/>
          <w:highlight w:val="none"/>
          <w:lang w:val="en-US" w:eastAsia="zh-CN"/>
        </w:rPr>
        <w:t xml:space="preserve"> 2018年</w:t>
      </w:r>
      <w:r>
        <w:rPr>
          <w:rFonts w:hint="eastAsia"/>
          <w:color w:val="auto"/>
          <w:highlight w:val="none"/>
          <w:lang w:eastAsia="zh-CN"/>
        </w:rPr>
        <w:t>伊宁县</w:t>
      </w:r>
      <w:r>
        <w:rPr>
          <w:color w:val="auto"/>
          <w:highlight w:val="none"/>
        </w:rPr>
        <w:t>土壤侵蚀分类分级面积表   单位：km²</w:t>
      </w:r>
    </w:p>
    <w:tbl>
      <w:tblPr>
        <w:tblStyle w:val="27"/>
        <w:tblW w:w="500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35"/>
        <w:gridCol w:w="1091"/>
        <w:gridCol w:w="1256"/>
        <w:gridCol w:w="1323"/>
        <w:gridCol w:w="1323"/>
        <w:gridCol w:w="1323"/>
        <w:gridCol w:w="13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exact"/>
        </w:trPr>
        <w:tc>
          <w:tcPr>
            <w:tcW w:w="791" w:type="pct"/>
            <w:shd w:val="clear" w:color="auto" w:fill="auto"/>
            <w:vAlign w:val="center"/>
          </w:tcPr>
          <w:p>
            <w:pPr>
              <w:pStyle w:val="84"/>
              <w:rPr>
                <w:color w:val="auto"/>
                <w:highlight w:val="none"/>
              </w:rPr>
            </w:pPr>
            <w:r>
              <w:rPr>
                <w:color w:val="auto"/>
                <w:highlight w:val="none"/>
              </w:rPr>
              <w:t>侵蚀类型</w:t>
            </w:r>
          </w:p>
        </w:tc>
        <w:tc>
          <w:tcPr>
            <w:tcW w:w="601" w:type="pct"/>
            <w:shd w:val="clear" w:color="auto" w:fill="auto"/>
            <w:vAlign w:val="center"/>
          </w:tcPr>
          <w:p>
            <w:pPr>
              <w:pStyle w:val="84"/>
              <w:rPr>
                <w:color w:val="auto"/>
                <w:highlight w:val="none"/>
              </w:rPr>
            </w:pPr>
            <w:r>
              <w:rPr>
                <w:color w:val="auto"/>
                <w:highlight w:val="none"/>
              </w:rPr>
              <w:t>轻度侵蚀</w:t>
            </w:r>
          </w:p>
        </w:tc>
        <w:tc>
          <w:tcPr>
            <w:tcW w:w="692" w:type="pct"/>
            <w:shd w:val="clear" w:color="auto" w:fill="auto"/>
            <w:vAlign w:val="center"/>
          </w:tcPr>
          <w:p>
            <w:pPr>
              <w:pStyle w:val="84"/>
              <w:rPr>
                <w:color w:val="auto"/>
                <w:highlight w:val="none"/>
              </w:rPr>
            </w:pPr>
            <w:r>
              <w:rPr>
                <w:color w:val="auto"/>
                <w:highlight w:val="none"/>
              </w:rPr>
              <w:t>中度侵蚀</w:t>
            </w:r>
          </w:p>
        </w:tc>
        <w:tc>
          <w:tcPr>
            <w:tcW w:w="729" w:type="pct"/>
            <w:vAlign w:val="center"/>
          </w:tcPr>
          <w:p>
            <w:pPr>
              <w:pStyle w:val="84"/>
              <w:rPr>
                <w:color w:val="auto"/>
                <w:highlight w:val="none"/>
              </w:rPr>
            </w:pPr>
            <w:r>
              <w:rPr>
                <w:color w:val="auto"/>
                <w:highlight w:val="none"/>
              </w:rPr>
              <w:t>强烈侵蚀</w:t>
            </w:r>
          </w:p>
        </w:tc>
        <w:tc>
          <w:tcPr>
            <w:tcW w:w="729" w:type="pct"/>
            <w:vAlign w:val="center"/>
          </w:tcPr>
          <w:p>
            <w:pPr>
              <w:pStyle w:val="84"/>
              <w:rPr>
                <w:color w:val="auto"/>
                <w:highlight w:val="none"/>
              </w:rPr>
            </w:pPr>
            <w:r>
              <w:rPr>
                <w:color w:val="auto"/>
                <w:highlight w:val="none"/>
              </w:rPr>
              <w:t>极强烈侵蚀</w:t>
            </w:r>
          </w:p>
        </w:tc>
        <w:tc>
          <w:tcPr>
            <w:tcW w:w="729" w:type="pct"/>
            <w:vAlign w:val="center"/>
          </w:tcPr>
          <w:p>
            <w:pPr>
              <w:pStyle w:val="84"/>
              <w:rPr>
                <w:color w:val="auto"/>
                <w:highlight w:val="none"/>
              </w:rPr>
            </w:pPr>
            <w:r>
              <w:rPr>
                <w:color w:val="auto"/>
                <w:highlight w:val="none"/>
              </w:rPr>
              <w:t>剧烈侵蚀</w:t>
            </w:r>
          </w:p>
        </w:tc>
        <w:tc>
          <w:tcPr>
            <w:tcW w:w="729" w:type="pct"/>
            <w:shd w:val="clear" w:color="auto" w:fill="auto"/>
            <w:vAlign w:val="center"/>
          </w:tcPr>
          <w:p>
            <w:pPr>
              <w:pStyle w:val="84"/>
              <w:rPr>
                <w:color w:val="auto"/>
                <w:highlight w:val="none"/>
              </w:rPr>
            </w:pPr>
            <w:r>
              <w:rPr>
                <w:color w:val="auto"/>
                <w:highlight w:val="none"/>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exact"/>
        </w:trPr>
        <w:tc>
          <w:tcPr>
            <w:tcW w:w="791" w:type="pct"/>
            <w:shd w:val="clear" w:color="auto" w:fill="auto"/>
            <w:vAlign w:val="center"/>
          </w:tcPr>
          <w:p>
            <w:pPr>
              <w:pStyle w:val="84"/>
              <w:rPr>
                <w:color w:val="auto"/>
                <w:highlight w:val="none"/>
              </w:rPr>
            </w:pPr>
            <w:r>
              <w:rPr>
                <w:color w:val="auto"/>
                <w:highlight w:val="none"/>
              </w:rPr>
              <w:t>水力侵蚀</w:t>
            </w:r>
          </w:p>
        </w:tc>
        <w:tc>
          <w:tcPr>
            <w:tcW w:w="601" w:type="pct"/>
            <w:shd w:val="clear" w:color="auto" w:fill="auto"/>
            <w:vAlign w:val="center"/>
          </w:tcPr>
          <w:p>
            <w:pPr>
              <w:pStyle w:val="84"/>
              <w:rPr>
                <w:rFonts w:hint="default" w:eastAsia="仿宋_GB2312"/>
                <w:color w:val="auto"/>
                <w:highlight w:val="none"/>
                <w:lang w:val="en-US" w:eastAsia="zh-CN"/>
              </w:rPr>
            </w:pPr>
            <w:r>
              <w:rPr>
                <w:rFonts w:hint="eastAsia"/>
                <w:color w:val="auto"/>
                <w:highlight w:val="none"/>
                <w:lang w:val="en-US" w:eastAsia="zh-CN"/>
              </w:rPr>
              <w:t>753.25</w:t>
            </w:r>
          </w:p>
        </w:tc>
        <w:tc>
          <w:tcPr>
            <w:tcW w:w="692" w:type="pct"/>
            <w:shd w:val="clear" w:color="auto" w:fill="auto"/>
            <w:vAlign w:val="center"/>
          </w:tcPr>
          <w:p>
            <w:pPr>
              <w:pStyle w:val="84"/>
              <w:rPr>
                <w:rFonts w:hint="default" w:eastAsia="仿宋_GB2312"/>
                <w:color w:val="auto"/>
                <w:highlight w:val="none"/>
                <w:lang w:val="en-US" w:eastAsia="zh-CN"/>
              </w:rPr>
            </w:pPr>
            <w:r>
              <w:rPr>
                <w:rFonts w:hint="eastAsia"/>
                <w:color w:val="auto"/>
                <w:highlight w:val="none"/>
                <w:lang w:val="en-US" w:eastAsia="zh-CN"/>
              </w:rPr>
              <w:t>273.26</w:t>
            </w:r>
          </w:p>
        </w:tc>
        <w:tc>
          <w:tcPr>
            <w:tcW w:w="729" w:type="pct"/>
            <w:vAlign w:val="center"/>
          </w:tcPr>
          <w:p>
            <w:pPr>
              <w:pStyle w:val="84"/>
              <w:rPr>
                <w:rFonts w:hint="default" w:eastAsia="仿宋_GB2312"/>
                <w:color w:val="auto"/>
                <w:highlight w:val="none"/>
                <w:lang w:val="en-US" w:eastAsia="zh-CN"/>
              </w:rPr>
            </w:pPr>
            <w:r>
              <w:rPr>
                <w:rFonts w:hint="eastAsia"/>
                <w:color w:val="auto"/>
                <w:highlight w:val="none"/>
                <w:lang w:val="en-US" w:eastAsia="zh-CN"/>
              </w:rPr>
              <w:t>75.29</w:t>
            </w:r>
          </w:p>
        </w:tc>
        <w:tc>
          <w:tcPr>
            <w:tcW w:w="729" w:type="pct"/>
            <w:vAlign w:val="center"/>
          </w:tcPr>
          <w:p>
            <w:pPr>
              <w:pStyle w:val="84"/>
              <w:rPr>
                <w:rFonts w:hint="default" w:eastAsia="仿宋_GB2312"/>
                <w:color w:val="auto"/>
                <w:highlight w:val="none"/>
                <w:lang w:val="en-US" w:eastAsia="zh-CN"/>
              </w:rPr>
            </w:pPr>
            <w:r>
              <w:rPr>
                <w:rFonts w:hint="eastAsia"/>
                <w:color w:val="auto"/>
                <w:highlight w:val="none"/>
                <w:lang w:val="en-US" w:eastAsia="zh-CN"/>
              </w:rPr>
              <w:t>25.15</w:t>
            </w:r>
          </w:p>
        </w:tc>
        <w:tc>
          <w:tcPr>
            <w:tcW w:w="729" w:type="pct"/>
            <w:vAlign w:val="center"/>
          </w:tcPr>
          <w:p>
            <w:pPr>
              <w:pStyle w:val="84"/>
              <w:rPr>
                <w:rFonts w:hint="default" w:eastAsia="仿宋_GB2312"/>
                <w:color w:val="auto"/>
                <w:highlight w:val="none"/>
                <w:lang w:val="en-US" w:eastAsia="zh-CN"/>
              </w:rPr>
            </w:pPr>
            <w:r>
              <w:rPr>
                <w:rFonts w:hint="eastAsia"/>
                <w:color w:val="auto"/>
                <w:highlight w:val="none"/>
                <w:lang w:val="en-US" w:eastAsia="zh-CN"/>
              </w:rPr>
              <w:t>1.59</w:t>
            </w:r>
          </w:p>
        </w:tc>
        <w:tc>
          <w:tcPr>
            <w:tcW w:w="729" w:type="pct"/>
            <w:shd w:val="clear" w:color="auto" w:fill="auto"/>
            <w:vAlign w:val="center"/>
          </w:tcPr>
          <w:p>
            <w:pPr>
              <w:pStyle w:val="84"/>
              <w:rPr>
                <w:rFonts w:hint="default" w:eastAsia="仿宋_GB2312"/>
                <w:color w:val="auto"/>
                <w:highlight w:val="none"/>
                <w:lang w:val="en-US" w:eastAsia="zh-CN"/>
              </w:rPr>
            </w:pPr>
            <w:r>
              <w:rPr>
                <w:rFonts w:hint="eastAsia"/>
                <w:color w:val="auto"/>
                <w:highlight w:val="none"/>
                <w:lang w:val="en-US" w:eastAsia="zh-CN"/>
              </w:rPr>
              <w:t>1128.54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exact"/>
        </w:trPr>
        <w:tc>
          <w:tcPr>
            <w:tcW w:w="791" w:type="pct"/>
            <w:shd w:val="clear" w:color="auto" w:fill="auto"/>
            <w:vAlign w:val="center"/>
          </w:tcPr>
          <w:p>
            <w:pPr>
              <w:pStyle w:val="84"/>
              <w:rPr>
                <w:color w:val="auto"/>
                <w:highlight w:val="none"/>
              </w:rPr>
            </w:pPr>
            <w:r>
              <w:rPr>
                <w:color w:val="auto"/>
                <w:highlight w:val="none"/>
              </w:rPr>
              <w:t>风力侵蚀</w:t>
            </w:r>
          </w:p>
        </w:tc>
        <w:tc>
          <w:tcPr>
            <w:tcW w:w="601" w:type="pct"/>
            <w:shd w:val="clear" w:color="auto" w:fill="auto"/>
            <w:vAlign w:val="center"/>
          </w:tcPr>
          <w:p>
            <w:pPr>
              <w:pStyle w:val="84"/>
              <w:rPr>
                <w:rFonts w:hint="default" w:eastAsia="仿宋_GB2312"/>
                <w:color w:val="auto"/>
                <w:highlight w:val="none"/>
                <w:lang w:val="en-US" w:eastAsia="zh-CN"/>
              </w:rPr>
            </w:pPr>
            <w:r>
              <w:rPr>
                <w:rFonts w:hint="eastAsia"/>
                <w:color w:val="auto"/>
                <w:highlight w:val="none"/>
                <w:lang w:val="en-US" w:eastAsia="zh-CN"/>
              </w:rPr>
              <w:t>883.66</w:t>
            </w:r>
          </w:p>
        </w:tc>
        <w:tc>
          <w:tcPr>
            <w:tcW w:w="692" w:type="pct"/>
            <w:shd w:val="clear" w:color="auto" w:fill="auto"/>
            <w:vAlign w:val="center"/>
          </w:tcPr>
          <w:p>
            <w:pPr>
              <w:pStyle w:val="84"/>
              <w:rPr>
                <w:rFonts w:hint="default" w:eastAsia="仿宋_GB2312"/>
                <w:color w:val="auto"/>
                <w:highlight w:val="none"/>
                <w:lang w:val="en-US" w:eastAsia="zh-CN"/>
              </w:rPr>
            </w:pPr>
            <w:r>
              <w:rPr>
                <w:rFonts w:hint="eastAsia"/>
                <w:color w:val="auto"/>
                <w:highlight w:val="none"/>
                <w:lang w:val="en-US" w:eastAsia="zh-CN"/>
              </w:rPr>
              <w:t>2.84</w:t>
            </w:r>
          </w:p>
        </w:tc>
        <w:tc>
          <w:tcPr>
            <w:tcW w:w="729" w:type="pct"/>
            <w:vAlign w:val="center"/>
          </w:tcPr>
          <w:p>
            <w:pPr>
              <w:pStyle w:val="84"/>
              <w:rPr>
                <w:rFonts w:hint="default" w:eastAsia="仿宋_GB2312"/>
                <w:color w:val="auto"/>
                <w:highlight w:val="none"/>
                <w:lang w:val="en-US" w:eastAsia="zh-CN"/>
              </w:rPr>
            </w:pPr>
            <w:r>
              <w:rPr>
                <w:rFonts w:hint="eastAsia"/>
                <w:color w:val="auto"/>
                <w:highlight w:val="none"/>
                <w:lang w:val="en-US" w:eastAsia="zh-CN"/>
              </w:rPr>
              <w:t>0.26</w:t>
            </w:r>
          </w:p>
        </w:tc>
        <w:tc>
          <w:tcPr>
            <w:tcW w:w="729" w:type="pct"/>
            <w:vAlign w:val="center"/>
          </w:tcPr>
          <w:p>
            <w:pPr>
              <w:pStyle w:val="84"/>
              <w:rPr>
                <w:rFonts w:hint="eastAsia" w:eastAsia="仿宋_GB2312"/>
                <w:color w:val="auto"/>
                <w:highlight w:val="none"/>
                <w:lang w:eastAsia="zh-CN"/>
              </w:rPr>
            </w:pPr>
            <w:r>
              <w:rPr>
                <w:rFonts w:hint="eastAsia"/>
                <w:color w:val="auto"/>
                <w:highlight w:val="none"/>
                <w:lang w:val="en-US" w:eastAsia="zh-CN"/>
              </w:rPr>
              <w:t>0</w:t>
            </w:r>
          </w:p>
        </w:tc>
        <w:tc>
          <w:tcPr>
            <w:tcW w:w="729" w:type="pct"/>
            <w:vAlign w:val="center"/>
          </w:tcPr>
          <w:p>
            <w:pPr>
              <w:pStyle w:val="84"/>
              <w:rPr>
                <w:rFonts w:hint="eastAsia" w:eastAsia="仿宋_GB2312"/>
                <w:color w:val="auto"/>
                <w:highlight w:val="none"/>
                <w:lang w:eastAsia="zh-CN"/>
              </w:rPr>
            </w:pPr>
            <w:r>
              <w:rPr>
                <w:rFonts w:hint="eastAsia"/>
                <w:color w:val="auto"/>
                <w:highlight w:val="none"/>
                <w:lang w:val="en-US" w:eastAsia="zh-CN"/>
              </w:rPr>
              <w:t>0</w:t>
            </w:r>
          </w:p>
        </w:tc>
        <w:tc>
          <w:tcPr>
            <w:tcW w:w="729" w:type="pct"/>
            <w:shd w:val="clear" w:color="auto" w:fill="auto"/>
            <w:vAlign w:val="center"/>
          </w:tcPr>
          <w:p>
            <w:pPr>
              <w:pStyle w:val="84"/>
              <w:rPr>
                <w:rFonts w:hint="default" w:eastAsia="仿宋_GB2312"/>
                <w:color w:val="auto"/>
                <w:highlight w:val="none"/>
                <w:lang w:val="en-US" w:eastAsia="zh-CN"/>
              </w:rPr>
            </w:pPr>
            <w:r>
              <w:rPr>
                <w:rFonts w:hint="eastAsia"/>
                <w:color w:val="auto"/>
                <w:highlight w:val="none"/>
                <w:lang w:val="en-US" w:eastAsia="zh-CN"/>
              </w:rPr>
              <w:t>886.76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exact"/>
        </w:trPr>
        <w:tc>
          <w:tcPr>
            <w:tcW w:w="4270" w:type="pct"/>
            <w:gridSpan w:val="6"/>
            <w:shd w:val="clear" w:color="auto" w:fill="auto"/>
            <w:vAlign w:val="center"/>
          </w:tcPr>
          <w:p>
            <w:pPr>
              <w:pStyle w:val="84"/>
              <w:rPr>
                <w:color w:val="auto"/>
                <w:highlight w:val="none"/>
              </w:rPr>
            </w:pPr>
            <w:r>
              <w:rPr>
                <w:color w:val="auto"/>
                <w:highlight w:val="none"/>
              </w:rPr>
              <w:t>合计</w:t>
            </w:r>
          </w:p>
        </w:tc>
        <w:tc>
          <w:tcPr>
            <w:tcW w:w="729" w:type="pct"/>
            <w:shd w:val="clear" w:color="auto" w:fill="auto"/>
            <w:vAlign w:val="center"/>
          </w:tcPr>
          <w:p>
            <w:pPr>
              <w:pStyle w:val="84"/>
              <w:rPr>
                <w:rFonts w:hint="default" w:eastAsia="仿宋_GB2312"/>
                <w:color w:val="auto"/>
                <w:highlight w:val="none"/>
                <w:lang w:val="en-US" w:eastAsia="zh-CN"/>
              </w:rPr>
            </w:pPr>
            <w:r>
              <w:rPr>
                <w:rFonts w:hint="eastAsia"/>
                <w:color w:val="auto"/>
                <w:highlight w:val="none"/>
                <w:lang w:val="en-US" w:eastAsia="zh-CN"/>
              </w:rPr>
              <w:t>2015.30</w:t>
            </w:r>
          </w:p>
        </w:tc>
      </w:tr>
    </w:tbl>
    <w:p>
      <w:pPr>
        <w:pStyle w:val="69"/>
        <w:rPr>
          <w:color w:val="auto"/>
          <w:highlight w:val="none"/>
        </w:rPr>
      </w:pPr>
      <w:r>
        <w:rPr>
          <w:color w:val="auto"/>
          <w:highlight w:val="none"/>
        </w:rPr>
        <w:t>4.1.2 水土流失类型及强度</w:t>
      </w:r>
    </w:p>
    <w:p>
      <w:pPr>
        <w:pStyle w:val="56"/>
        <w:ind w:firstLine="480"/>
        <w:rPr>
          <w:color w:val="auto"/>
          <w:highlight w:val="none"/>
        </w:rPr>
      </w:pPr>
      <w:r>
        <w:rPr>
          <w:color w:val="auto"/>
          <w:highlight w:val="none"/>
        </w:rPr>
        <w:t>从项目区的环境概况、水土流失现状调查及引起土壤侵蚀的外营力和侵蚀形式分析，工程区土壤侵蚀主要类型为轻度风力侵蚀微度水力侵蚀，以风力侵蚀为主。</w:t>
      </w:r>
    </w:p>
    <w:p>
      <w:pPr>
        <w:pStyle w:val="56"/>
        <w:ind w:firstLine="480"/>
        <w:rPr>
          <w:color w:val="auto"/>
          <w:highlight w:val="none"/>
        </w:rPr>
      </w:pPr>
      <w:r>
        <w:rPr>
          <w:color w:val="auto"/>
          <w:highlight w:val="none"/>
        </w:rPr>
        <w:t>（1）风力侵蚀</w:t>
      </w:r>
    </w:p>
    <w:p>
      <w:pPr>
        <w:pStyle w:val="56"/>
        <w:ind w:firstLine="480"/>
        <w:rPr>
          <w:color w:val="auto"/>
          <w:highlight w:val="none"/>
        </w:rPr>
      </w:pPr>
      <w:r>
        <w:rPr>
          <w:color w:val="auto"/>
          <w:highlight w:val="none"/>
        </w:rPr>
        <w:t>根据工程区的实际情况，发生风蚀具备两个条件，一是具备大于起沙风速的风力。二是地表裸露、干燥或地表植被覆盖度低，并提供沙源。项目区位于</w:t>
      </w:r>
      <w:r>
        <w:rPr>
          <w:rFonts w:hint="eastAsia"/>
          <w:color w:val="auto"/>
          <w:highlight w:val="none"/>
          <w:lang w:eastAsia="zh-CN"/>
        </w:rPr>
        <w:t>伊宁</w:t>
      </w:r>
      <w:r>
        <w:rPr>
          <w:color w:val="auto"/>
          <w:highlight w:val="none"/>
        </w:rPr>
        <w:t>县城，该区年平均风速2m/s，具备风蚀发生的风力条件。项目区属典型的冲洪积平原区地貌，土壤为灰钙土，易受风蚀，植被为荒漠植被，植被覆盖率为</w:t>
      </w:r>
      <w:r>
        <w:rPr>
          <w:rFonts w:hint="eastAsia"/>
          <w:color w:val="auto"/>
          <w:highlight w:val="none"/>
          <w:lang w:val="en-US" w:eastAsia="zh-CN"/>
        </w:rPr>
        <w:t>20</w:t>
      </w:r>
      <w:r>
        <w:rPr>
          <w:color w:val="auto"/>
          <w:highlight w:val="none"/>
        </w:rPr>
        <w:t>%左右，地表结皮明显，如不存在人为扰动，其抗侵蚀的能力较强。根据现场调查情况，同时结合全疆2018年动态监测成果，综合确定项目区在地表未扰动情况下风力侵蚀强度为轻度。</w:t>
      </w:r>
    </w:p>
    <w:p>
      <w:pPr>
        <w:pStyle w:val="56"/>
        <w:ind w:firstLine="480"/>
        <w:rPr>
          <w:color w:val="auto"/>
          <w:highlight w:val="none"/>
        </w:rPr>
      </w:pPr>
      <w:r>
        <w:rPr>
          <w:color w:val="auto"/>
          <w:highlight w:val="none"/>
        </w:rPr>
        <w:t>（2）水力侵蚀</w:t>
      </w:r>
    </w:p>
    <w:p>
      <w:pPr>
        <w:pStyle w:val="56"/>
        <w:ind w:firstLine="480"/>
        <w:rPr>
          <w:color w:val="auto"/>
          <w:highlight w:val="none"/>
        </w:rPr>
      </w:pPr>
      <w:r>
        <w:rPr>
          <w:color w:val="auto"/>
          <w:highlight w:val="none"/>
        </w:rPr>
        <w:t>项目区为典型的荒漠大陆性气候特征，多年平均降雨量</w:t>
      </w:r>
      <w:r>
        <w:rPr>
          <w:rFonts w:hint="eastAsia"/>
          <w:color w:val="auto"/>
          <w:highlight w:val="none"/>
          <w:lang w:eastAsia="zh-CN"/>
        </w:rPr>
        <w:t>3</w:t>
      </w:r>
      <w:r>
        <w:rPr>
          <w:rFonts w:hint="eastAsia"/>
          <w:color w:val="auto"/>
          <w:highlight w:val="none"/>
          <w:lang w:val="en-US" w:eastAsia="zh-CN"/>
        </w:rPr>
        <w:t>09</w:t>
      </w:r>
      <w:r>
        <w:rPr>
          <w:color w:val="auto"/>
          <w:highlight w:val="none"/>
        </w:rPr>
        <w:t>mm，地表植被盖度约20%，根据现场调查情况，周边无地表水，同时结合全疆2018年动态监测成果，综合确定项目区在地表未扰动情况下水力侵蚀强度为微度。</w:t>
      </w:r>
    </w:p>
    <w:p>
      <w:pPr>
        <w:pStyle w:val="56"/>
        <w:ind w:firstLine="480"/>
        <w:rPr>
          <w:color w:val="auto"/>
          <w:highlight w:val="none"/>
        </w:rPr>
      </w:pPr>
      <w:r>
        <w:rPr>
          <w:color w:val="auto"/>
          <w:highlight w:val="none"/>
        </w:rPr>
        <w:t>项目区土壤侵蚀强度分类分级见表4.1-1。</w:t>
      </w:r>
    </w:p>
    <w:p>
      <w:pPr>
        <w:pStyle w:val="56"/>
        <w:ind w:left="0" w:leftChars="0" w:firstLine="0" w:firstLineChars="0"/>
        <w:rPr>
          <w:color w:val="auto"/>
          <w:highlight w:val="none"/>
        </w:rPr>
      </w:pPr>
    </w:p>
    <w:p>
      <w:pPr>
        <w:pStyle w:val="75"/>
        <w:rPr>
          <w:color w:val="auto"/>
          <w:highlight w:val="none"/>
        </w:rPr>
      </w:pPr>
      <w:r>
        <w:rPr>
          <w:color w:val="auto"/>
          <w:highlight w:val="none"/>
        </w:rPr>
        <w:t>表4.1-1     项目区土壤侵蚀强度分类分级表</w:t>
      </w:r>
    </w:p>
    <w:tbl>
      <w:tblPr>
        <w:tblStyle w:val="27"/>
        <w:tblW w:w="883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1690"/>
        <w:gridCol w:w="2273"/>
        <w:gridCol w:w="2984"/>
        <w:gridCol w:w="188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510" w:hRule="atLeast"/>
          <w:jc w:val="center"/>
        </w:trPr>
        <w:tc>
          <w:tcPr>
            <w:tcW w:w="1690" w:type="dxa"/>
            <w:vAlign w:val="center"/>
          </w:tcPr>
          <w:p>
            <w:pPr>
              <w:pStyle w:val="84"/>
              <w:rPr>
                <w:color w:val="auto"/>
                <w:highlight w:val="none"/>
              </w:rPr>
            </w:pPr>
            <w:r>
              <w:rPr>
                <w:color w:val="auto"/>
                <w:highlight w:val="none"/>
              </w:rPr>
              <w:t>项目组成</w:t>
            </w:r>
          </w:p>
        </w:tc>
        <w:tc>
          <w:tcPr>
            <w:tcW w:w="2273" w:type="dxa"/>
            <w:vAlign w:val="center"/>
          </w:tcPr>
          <w:p>
            <w:pPr>
              <w:pStyle w:val="84"/>
              <w:rPr>
                <w:color w:val="auto"/>
                <w:highlight w:val="none"/>
              </w:rPr>
            </w:pPr>
            <w:r>
              <w:rPr>
                <w:color w:val="auto"/>
                <w:highlight w:val="none"/>
              </w:rPr>
              <w:t>地貌类型</w:t>
            </w:r>
          </w:p>
        </w:tc>
        <w:tc>
          <w:tcPr>
            <w:tcW w:w="2984" w:type="dxa"/>
            <w:vAlign w:val="center"/>
          </w:tcPr>
          <w:p>
            <w:pPr>
              <w:pStyle w:val="84"/>
              <w:rPr>
                <w:color w:val="auto"/>
                <w:highlight w:val="none"/>
              </w:rPr>
            </w:pPr>
            <w:r>
              <w:rPr>
                <w:color w:val="auto"/>
                <w:highlight w:val="none"/>
              </w:rPr>
              <w:t>侵蚀类型及强度</w:t>
            </w:r>
          </w:p>
        </w:tc>
        <w:tc>
          <w:tcPr>
            <w:tcW w:w="1887" w:type="dxa"/>
            <w:vAlign w:val="center"/>
          </w:tcPr>
          <w:p>
            <w:pPr>
              <w:pStyle w:val="84"/>
              <w:rPr>
                <w:color w:val="auto"/>
                <w:highlight w:val="none"/>
              </w:rPr>
            </w:pPr>
            <w:r>
              <w:rPr>
                <w:color w:val="auto"/>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510" w:hRule="atLeast"/>
          <w:jc w:val="center"/>
        </w:trPr>
        <w:tc>
          <w:tcPr>
            <w:tcW w:w="1690" w:type="dxa"/>
            <w:vAlign w:val="center"/>
          </w:tcPr>
          <w:p>
            <w:pPr>
              <w:pStyle w:val="84"/>
              <w:rPr>
                <w:color w:val="auto"/>
                <w:highlight w:val="none"/>
              </w:rPr>
            </w:pPr>
            <w:r>
              <w:rPr>
                <w:color w:val="auto"/>
                <w:highlight w:val="none"/>
              </w:rPr>
              <w:t>项目区</w:t>
            </w:r>
          </w:p>
        </w:tc>
        <w:tc>
          <w:tcPr>
            <w:tcW w:w="2273" w:type="dxa"/>
            <w:vAlign w:val="center"/>
          </w:tcPr>
          <w:p>
            <w:pPr>
              <w:pStyle w:val="84"/>
              <w:rPr>
                <w:color w:val="auto"/>
                <w:highlight w:val="none"/>
              </w:rPr>
            </w:pPr>
            <w:r>
              <w:rPr>
                <w:color w:val="auto"/>
                <w:highlight w:val="none"/>
              </w:rPr>
              <w:t>冲洪积平原区</w:t>
            </w:r>
          </w:p>
        </w:tc>
        <w:tc>
          <w:tcPr>
            <w:tcW w:w="2984" w:type="dxa"/>
            <w:vAlign w:val="center"/>
          </w:tcPr>
          <w:p>
            <w:pPr>
              <w:pStyle w:val="84"/>
              <w:rPr>
                <w:color w:val="auto"/>
                <w:highlight w:val="none"/>
              </w:rPr>
            </w:pPr>
            <w:r>
              <w:rPr>
                <w:color w:val="auto"/>
                <w:highlight w:val="none"/>
              </w:rPr>
              <w:t>轻度风力侵蚀、微度水力侵蚀</w:t>
            </w:r>
          </w:p>
        </w:tc>
        <w:tc>
          <w:tcPr>
            <w:tcW w:w="1887" w:type="dxa"/>
            <w:vAlign w:val="center"/>
          </w:tcPr>
          <w:p>
            <w:pPr>
              <w:pStyle w:val="84"/>
              <w:rPr>
                <w:color w:val="auto"/>
                <w:highlight w:val="none"/>
              </w:rPr>
            </w:pPr>
            <w:r>
              <w:rPr>
                <w:color w:val="auto"/>
                <w:highlight w:val="none"/>
              </w:rPr>
              <w:t>轻度风力侵蚀为主</w:t>
            </w:r>
          </w:p>
        </w:tc>
      </w:tr>
    </w:tbl>
    <w:p>
      <w:pPr>
        <w:pStyle w:val="69"/>
        <w:rPr>
          <w:color w:val="auto"/>
          <w:highlight w:val="none"/>
        </w:rPr>
      </w:pPr>
      <w:r>
        <w:rPr>
          <w:color w:val="auto"/>
          <w:highlight w:val="none"/>
        </w:rPr>
        <w:t>4.1.3 项目区土壤侵蚀模数及容许土壤流失量</w:t>
      </w:r>
    </w:p>
    <w:p>
      <w:pPr>
        <w:pStyle w:val="56"/>
        <w:ind w:firstLine="480"/>
        <w:rPr>
          <w:color w:val="auto"/>
          <w:highlight w:val="none"/>
        </w:rPr>
      </w:pPr>
      <w:r>
        <w:rPr>
          <w:color w:val="auto"/>
          <w:highlight w:val="none"/>
        </w:rPr>
        <w:t>根据工程区踏勘、测量及综合分析，确定本工程区的气象、地表组成、植被覆盖度等自然环境状况，结合全疆2018年动态监测成果，确定项目区在原地表稳定层未破坏的条件下，原生地表土壤侵蚀强度属于轻度风蚀、微度水蚀；根据《土壤侵蚀分类分级标准》（SL190-2007），最终确定项目区的原生地貌土壤侵蚀模数为1000/km²</w:t>
      </w:r>
      <w:r>
        <w:rPr>
          <w:rFonts w:eastAsia="MS Mincho"/>
          <w:color w:val="auto"/>
          <w:highlight w:val="none"/>
        </w:rPr>
        <w:t>・</w:t>
      </w:r>
      <w:r>
        <w:rPr>
          <w:color w:val="auto"/>
          <w:highlight w:val="none"/>
        </w:rPr>
        <w:t>a。同时根据项目区所属的水土流失类型、项目区的实际情况，确定工程区土壤容许流失量为1000t/（km²·a）。</w:t>
      </w:r>
    </w:p>
    <w:p>
      <w:pPr>
        <w:pStyle w:val="69"/>
        <w:rPr>
          <w:color w:val="auto"/>
          <w:highlight w:val="none"/>
        </w:rPr>
      </w:pPr>
      <w:r>
        <w:rPr>
          <w:rFonts w:hint="eastAsia"/>
          <w:color w:val="auto"/>
          <w:highlight w:val="none"/>
        </w:rPr>
        <w:t>4.1.4 项目区水土流失情况调查</w:t>
      </w:r>
    </w:p>
    <w:p>
      <w:pPr>
        <w:pStyle w:val="56"/>
        <w:ind w:firstLine="480"/>
        <w:rPr>
          <w:color w:val="auto"/>
          <w:highlight w:val="none"/>
        </w:rPr>
      </w:pPr>
      <w:r>
        <w:rPr>
          <w:rFonts w:hint="eastAsia"/>
          <w:color w:val="auto"/>
          <w:highlight w:val="none"/>
        </w:rPr>
        <w:t>通过现场踏勘，</w:t>
      </w:r>
      <w:r>
        <w:rPr>
          <w:color w:val="auto"/>
          <w:szCs w:val="26"/>
          <w:highlight w:val="none"/>
        </w:rPr>
        <w:t>已于2020年</w:t>
      </w:r>
      <w:r>
        <w:rPr>
          <w:rFonts w:hint="eastAsia"/>
          <w:color w:val="auto"/>
          <w:szCs w:val="26"/>
          <w:highlight w:val="none"/>
          <w:lang w:val="en-US" w:eastAsia="zh-CN"/>
        </w:rPr>
        <w:t>4</w:t>
      </w:r>
      <w:r>
        <w:rPr>
          <w:color w:val="auto"/>
          <w:szCs w:val="26"/>
          <w:highlight w:val="none"/>
        </w:rPr>
        <w:t>月开工建设，现阶段9栋住宅楼</w:t>
      </w:r>
      <w:r>
        <w:rPr>
          <w:rFonts w:hint="eastAsia"/>
          <w:color w:val="auto"/>
          <w:szCs w:val="26"/>
          <w:highlight w:val="none"/>
          <w:lang w:eastAsia="zh-CN"/>
        </w:rPr>
        <w:t>结构均已完成</w:t>
      </w:r>
      <w:r>
        <w:rPr>
          <w:color w:val="auto"/>
          <w:szCs w:val="26"/>
          <w:highlight w:val="none"/>
        </w:rPr>
        <w:t>，</w:t>
      </w:r>
      <w:r>
        <w:rPr>
          <w:rFonts w:hint="eastAsia"/>
          <w:color w:val="auto"/>
          <w:highlight w:val="none"/>
        </w:rPr>
        <w:t>开挖堆土</w:t>
      </w:r>
      <w:r>
        <w:rPr>
          <w:rFonts w:hint="eastAsia"/>
          <w:color w:val="auto"/>
          <w:highlight w:val="none"/>
          <w:lang w:eastAsia="zh-CN"/>
        </w:rPr>
        <w:t>已部分回填，多余土方</w:t>
      </w:r>
      <w:r>
        <w:rPr>
          <w:rFonts w:hint="eastAsia"/>
          <w:color w:val="auto"/>
          <w:highlight w:val="none"/>
        </w:rPr>
        <w:t>临时堆置在每栋楼周边空地，</w:t>
      </w:r>
      <w:r>
        <w:rPr>
          <w:rFonts w:hint="eastAsia"/>
          <w:color w:val="auto"/>
          <w:highlight w:val="none"/>
          <w:lang w:val="en-US" w:eastAsia="zh-CN"/>
        </w:rPr>
        <w:t>2栋商业楼基础开挖已部分回填</w:t>
      </w:r>
      <w:r>
        <w:rPr>
          <w:color w:val="auto"/>
          <w:szCs w:val="26"/>
          <w:highlight w:val="none"/>
        </w:rPr>
        <w:t>，</w:t>
      </w:r>
      <w:r>
        <w:rPr>
          <w:rFonts w:hint="eastAsia"/>
          <w:color w:val="auto"/>
          <w:highlight w:val="none"/>
        </w:rPr>
        <w:t>开挖堆土临时堆置在每栋楼周边空地，项目区建构筑物临时堆土未采取苫盖，易产生水土流失，同时区域内施工道路连接出入口的主路采取永临结合建设，铺设砂砾石，但其余道路车辆碾压，地表疏松，未采取洒水措施，易产生水土流失。</w:t>
      </w:r>
    </w:p>
    <w:p>
      <w:pPr>
        <w:pStyle w:val="66"/>
        <w:rPr>
          <w:color w:val="auto"/>
          <w:highlight w:val="none"/>
        </w:rPr>
      </w:pPr>
      <w:bookmarkStart w:id="102" w:name="_Toc13210"/>
      <w:r>
        <w:rPr>
          <w:color w:val="auto"/>
          <w:highlight w:val="none"/>
        </w:rPr>
        <w:t>4.2 水土流失影响因素分析</w:t>
      </w:r>
      <w:bookmarkEnd w:id="102"/>
    </w:p>
    <w:p>
      <w:pPr>
        <w:pStyle w:val="69"/>
        <w:rPr>
          <w:color w:val="auto"/>
          <w:highlight w:val="none"/>
        </w:rPr>
      </w:pPr>
      <w:r>
        <w:rPr>
          <w:color w:val="auto"/>
          <w:highlight w:val="none"/>
        </w:rPr>
        <w:t>4.2.1 侵蚀因素与特点</w:t>
      </w:r>
    </w:p>
    <w:p>
      <w:pPr>
        <w:pStyle w:val="56"/>
        <w:ind w:firstLine="480"/>
        <w:rPr>
          <w:color w:val="auto"/>
          <w:highlight w:val="none"/>
        </w:rPr>
      </w:pPr>
      <w:r>
        <w:rPr>
          <w:color w:val="auto"/>
          <w:highlight w:val="none"/>
        </w:rPr>
        <w:t>工程建设中，造成土壤侵蚀加速发展的因素包括自然因素和人为因素，人为因素是主导因素。影响该区域水土流失的自然因素主要有气候、地质、地形、地貌、土壤和植被等；人为因素有场地平整、管沟开挖等施工活动，以上施工活动改变了外营力与土体抵抗力之间形成的自然相对平衡，潜在的自然因素在人为因素的诱发下加速土壤侵蚀，形成新的水土流失。</w:t>
      </w:r>
    </w:p>
    <w:p>
      <w:pPr>
        <w:pStyle w:val="56"/>
        <w:ind w:firstLine="480"/>
        <w:rPr>
          <w:color w:val="auto"/>
          <w:highlight w:val="none"/>
        </w:rPr>
      </w:pPr>
      <w:r>
        <w:rPr>
          <w:color w:val="auto"/>
          <w:highlight w:val="none"/>
        </w:rPr>
        <w:t>（1）自然因素</w:t>
      </w:r>
    </w:p>
    <w:p>
      <w:pPr>
        <w:pStyle w:val="56"/>
        <w:ind w:firstLine="480"/>
        <w:rPr>
          <w:color w:val="auto"/>
          <w:highlight w:val="none"/>
        </w:rPr>
      </w:pPr>
      <w:r>
        <w:rPr>
          <w:color w:val="auto"/>
          <w:highlight w:val="none"/>
        </w:rPr>
        <w:t>项目区多年平均降水量</w:t>
      </w:r>
      <w:r>
        <w:rPr>
          <w:rFonts w:hint="eastAsia"/>
          <w:color w:val="auto"/>
          <w:highlight w:val="none"/>
          <w:lang w:eastAsia="zh-CN"/>
        </w:rPr>
        <w:t>3</w:t>
      </w:r>
      <w:r>
        <w:rPr>
          <w:rFonts w:hint="eastAsia"/>
          <w:color w:val="auto"/>
          <w:highlight w:val="none"/>
          <w:lang w:val="en-US" w:eastAsia="zh-CN"/>
        </w:rPr>
        <w:t>09</w:t>
      </w:r>
      <w:r>
        <w:rPr>
          <w:color w:val="auto"/>
          <w:highlight w:val="none"/>
        </w:rPr>
        <w:t>mm，降雨多集中在6～7月份，大多为季节性降雨，形成轻微水力侵蚀。项目区年平均风速2m/s，风季为每年的4月-9月，风向多为西北风。项目区属典型的冲洪积平原区地貌，土壤主要为灰钙土。项目区土壤粘结力差，抗侵蚀力弱，极易分散，在降雨时极易被水流冲蚀，在大风时极易形成扬尘，由于项目区特殊的土壤情况，土壤侵蚀极易发生。项目区植被盖度为20％左右</w:t>
      </w:r>
      <w:r>
        <w:rPr>
          <w:rFonts w:hint="eastAsia"/>
          <w:color w:val="auto"/>
          <w:highlight w:val="none"/>
          <w:lang w:eastAsia="zh-CN"/>
        </w:rPr>
        <w:t>，</w:t>
      </w:r>
      <w:r>
        <w:rPr>
          <w:color w:val="auto"/>
          <w:highlight w:val="none"/>
        </w:rPr>
        <w:t>植被覆盖度较低，区域地表结皮明显，在人为不扰动去情况下不易发生大面积、较严重的侵蚀。</w:t>
      </w:r>
    </w:p>
    <w:p>
      <w:pPr>
        <w:pStyle w:val="56"/>
        <w:ind w:firstLine="480"/>
        <w:rPr>
          <w:color w:val="auto"/>
          <w:highlight w:val="none"/>
        </w:rPr>
      </w:pPr>
      <w:r>
        <w:rPr>
          <w:color w:val="auto"/>
          <w:highlight w:val="none"/>
        </w:rPr>
        <w:t>（2）人为因素</w:t>
      </w:r>
    </w:p>
    <w:p>
      <w:pPr>
        <w:pStyle w:val="56"/>
        <w:ind w:firstLine="480"/>
        <w:rPr>
          <w:color w:val="auto"/>
          <w:highlight w:val="none"/>
        </w:rPr>
      </w:pPr>
      <w:r>
        <w:rPr>
          <w:color w:val="auto"/>
          <w:highlight w:val="none"/>
        </w:rPr>
        <w:t>在没有人为干扰的情况下，一个地区的抗侵蚀力基本不变。在项目建设过程中，由于地形地貌、地表植被等遭受人为破坏和干扰，土壤结构变得松散，植被覆盖度降低，区域抗侵蚀力减弱，因而加剧了土壤侵蚀。根据工程的建设特点，施工建设活动主要从以下几方面形成新增水土流失：</w:t>
      </w:r>
    </w:p>
    <w:p>
      <w:pPr>
        <w:pStyle w:val="56"/>
        <w:ind w:firstLine="480"/>
        <w:rPr>
          <w:color w:val="auto"/>
          <w:highlight w:val="none"/>
        </w:rPr>
      </w:pPr>
      <w:r>
        <w:rPr>
          <w:color w:val="auto"/>
          <w:highlight w:val="none"/>
        </w:rPr>
        <w:t>1）使原生植被受到扰动和破坏</w:t>
      </w:r>
    </w:p>
    <w:p>
      <w:pPr>
        <w:pStyle w:val="56"/>
        <w:ind w:firstLine="480"/>
        <w:rPr>
          <w:color w:val="auto"/>
          <w:highlight w:val="none"/>
        </w:rPr>
      </w:pPr>
      <w:r>
        <w:rPr>
          <w:color w:val="auto"/>
          <w:highlight w:val="none"/>
        </w:rPr>
        <w:t>由于项目的建设，扩大了人类活动范围，增大了对地表土壤和植被的扰动强度。原生植被在以下几方面遭到破坏：项目区平整、开挖、填筑等形成较大范围的裸露面；建筑物、道路的回填开挖等占压地面、损坏植被；施工机械的碾压和人员践踏等生产与生活活动破坏植被，并可能使周边区域的植被也受到影响。</w:t>
      </w:r>
    </w:p>
    <w:p>
      <w:pPr>
        <w:pStyle w:val="56"/>
        <w:ind w:firstLine="480"/>
        <w:rPr>
          <w:color w:val="auto"/>
          <w:highlight w:val="none"/>
        </w:rPr>
      </w:pPr>
      <w:r>
        <w:rPr>
          <w:color w:val="auto"/>
          <w:highlight w:val="none"/>
        </w:rPr>
        <w:t>2）使土壤表层松散性加大</w:t>
      </w:r>
    </w:p>
    <w:p>
      <w:pPr>
        <w:pStyle w:val="56"/>
        <w:ind w:firstLine="480"/>
        <w:rPr>
          <w:color w:val="auto"/>
          <w:highlight w:val="none"/>
        </w:rPr>
      </w:pPr>
      <w:r>
        <w:rPr>
          <w:color w:val="auto"/>
          <w:highlight w:val="none"/>
        </w:rPr>
        <w:t>土壤是侵蚀过程中被侵蚀的对象。比如建构筑物区基础开挖回填期间占地范围内临时堆置的松散土方，开挖土方堆置易产生风蚀。由于项目的建设，大量的松散土方发生运移和重新堆积，植被破坏，使土壤水分大量散失，土体的机械组成混杂不一，丧失了原地表土壤的抗蚀力。在当地大风及强降雨的作用下，裸露带极易形成较强的水土流失。</w:t>
      </w:r>
    </w:p>
    <w:p>
      <w:pPr>
        <w:pStyle w:val="56"/>
        <w:ind w:firstLine="480"/>
        <w:rPr>
          <w:color w:val="auto"/>
          <w:highlight w:val="none"/>
        </w:rPr>
      </w:pPr>
      <w:r>
        <w:rPr>
          <w:color w:val="auto"/>
          <w:highlight w:val="none"/>
        </w:rPr>
        <w:t>3）人为改变了原地貌形态</w:t>
      </w:r>
    </w:p>
    <w:p>
      <w:pPr>
        <w:pStyle w:val="56"/>
        <w:ind w:firstLine="480"/>
        <w:rPr>
          <w:color w:val="auto"/>
          <w:highlight w:val="none"/>
        </w:rPr>
      </w:pPr>
      <w:r>
        <w:rPr>
          <w:color w:val="auto"/>
          <w:highlight w:val="none"/>
        </w:rPr>
        <w:t>项目建设中，土方开挖、填筑处形成了有较大坡度的人工地貌，改变了相对平坦的原地貌，使表土变得疏松、裸露，如果无适当的保护措施，当发生短历时、强降雨时，易在人工开挖、回填扰动的裸露地表形成水力侵蚀。</w:t>
      </w:r>
    </w:p>
    <w:p>
      <w:pPr>
        <w:pStyle w:val="75"/>
        <w:rPr>
          <w:color w:val="auto"/>
          <w:highlight w:val="none"/>
        </w:rPr>
      </w:pPr>
      <w:r>
        <w:rPr>
          <w:color w:val="auto"/>
          <w:highlight w:val="none"/>
        </w:rPr>
        <w:t>表4.2-1      水土流失影响因素分析表</w:t>
      </w:r>
    </w:p>
    <w:tbl>
      <w:tblPr>
        <w:tblStyle w:val="27"/>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15" w:type="dxa"/>
          <w:left w:w="15" w:type="dxa"/>
          <w:bottom w:w="15" w:type="dxa"/>
          <w:right w:w="15" w:type="dxa"/>
        </w:tblCellMar>
      </w:tblPr>
      <w:tblGrid>
        <w:gridCol w:w="1326"/>
        <w:gridCol w:w="2092"/>
        <w:gridCol w:w="545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747" w:type="pct"/>
            <w:vAlign w:val="center"/>
          </w:tcPr>
          <w:p>
            <w:pPr>
              <w:pStyle w:val="84"/>
              <w:rPr>
                <w:color w:val="auto"/>
                <w:highlight w:val="none"/>
              </w:rPr>
            </w:pPr>
            <w:r>
              <w:rPr>
                <w:color w:val="auto"/>
                <w:highlight w:val="none"/>
              </w:rPr>
              <w:t>工程分区</w:t>
            </w:r>
          </w:p>
        </w:tc>
        <w:tc>
          <w:tcPr>
            <w:tcW w:w="1179" w:type="pct"/>
            <w:vAlign w:val="center"/>
          </w:tcPr>
          <w:p>
            <w:pPr>
              <w:pStyle w:val="84"/>
              <w:rPr>
                <w:color w:val="auto"/>
                <w:highlight w:val="none"/>
              </w:rPr>
            </w:pPr>
            <w:r>
              <w:rPr>
                <w:color w:val="auto"/>
                <w:highlight w:val="none"/>
              </w:rPr>
              <w:t>基本情况</w:t>
            </w:r>
          </w:p>
        </w:tc>
        <w:tc>
          <w:tcPr>
            <w:tcW w:w="3074" w:type="pct"/>
            <w:vAlign w:val="center"/>
          </w:tcPr>
          <w:p>
            <w:pPr>
              <w:pStyle w:val="84"/>
              <w:rPr>
                <w:color w:val="auto"/>
                <w:highlight w:val="none"/>
              </w:rPr>
            </w:pPr>
            <w:r>
              <w:rPr>
                <w:color w:val="auto"/>
                <w:highlight w:val="none"/>
              </w:rPr>
              <w:t>可能产生的水土流失</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747" w:type="pct"/>
            <w:vMerge w:val="restart"/>
            <w:vAlign w:val="center"/>
          </w:tcPr>
          <w:p>
            <w:pPr>
              <w:pStyle w:val="84"/>
              <w:rPr>
                <w:color w:val="auto"/>
                <w:highlight w:val="none"/>
              </w:rPr>
            </w:pPr>
            <w:r>
              <w:rPr>
                <w:color w:val="auto"/>
                <w:highlight w:val="none"/>
              </w:rPr>
              <w:t>施工期</w:t>
            </w:r>
          </w:p>
        </w:tc>
        <w:tc>
          <w:tcPr>
            <w:tcW w:w="1179" w:type="pct"/>
            <w:vAlign w:val="center"/>
          </w:tcPr>
          <w:p>
            <w:pPr>
              <w:pStyle w:val="84"/>
              <w:rPr>
                <w:color w:val="auto"/>
                <w:szCs w:val="20"/>
                <w:highlight w:val="none"/>
              </w:rPr>
            </w:pPr>
            <w:r>
              <w:rPr>
                <w:color w:val="auto"/>
                <w:szCs w:val="22"/>
                <w:highlight w:val="none"/>
              </w:rPr>
              <w:t>建构筑物区</w:t>
            </w:r>
          </w:p>
        </w:tc>
        <w:tc>
          <w:tcPr>
            <w:tcW w:w="3074" w:type="pct"/>
            <w:vAlign w:val="center"/>
          </w:tcPr>
          <w:p>
            <w:pPr>
              <w:pStyle w:val="84"/>
              <w:rPr>
                <w:color w:val="auto"/>
                <w:highlight w:val="none"/>
              </w:rPr>
            </w:pPr>
            <w:r>
              <w:rPr>
                <w:color w:val="auto"/>
                <w:highlight w:val="none"/>
              </w:rPr>
              <w:t>人为的扰动原地貌，建筑物基础开挖回填期间占地范围内临时堆置的松散土方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747" w:type="pct"/>
            <w:vMerge w:val="continue"/>
            <w:vAlign w:val="center"/>
          </w:tcPr>
          <w:p>
            <w:pPr>
              <w:pStyle w:val="84"/>
              <w:rPr>
                <w:color w:val="auto"/>
                <w:highlight w:val="none"/>
              </w:rPr>
            </w:pPr>
          </w:p>
        </w:tc>
        <w:tc>
          <w:tcPr>
            <w:tcW w:w="1179" w:type="pct"/>
            <w:vAlign w:val="center"/>
          </w:tcPr>
          <w:p>
            <w:pPr>
              <w:pStyle w:val="84"/>
              <w:rPr>
                <w:color w:val="auto"/>
                <w:szCs w:val="22"/>
                <w:highlight w:val="none"/>
              </w:rPr>
            </w:pPr>
            <w:r>
              <w:rPr>
                <w:color w:val="auto"/>
                <w:szCs w:val="22"/>
                <w:highlight w:val="none"/>
              </w:rPr>
              <w:t>绿化区</w:t>
            </w:r>
          </w:p>
        </w:tc>
        <w:tc>
          <w:tcPr>
            <w:tcW w:w="3074" w:type="pct"/>
            <w:vAlign w:val="center"/>
          </w:tcPr>
          <w:p>
            <w:pPr>
              <w:pStyle w:val="84"/>
              <w:rPr>
                <w:color w:val="auto"/>
                <w:highlight w:val="none"/>
              </w:rPr>
            </w:pPr>
            <w:r>
              <w:rPr>
                <w:color w:val="auto"/>
                <w:highlight w:val="none"/>
              </w:rPr>
              <w:t>人为的扰动原地貌，开挖回填平整，表层疏松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747" w:type="pct"/>
            <w:vMerge w:val="continue"/>
            <w:vAlign w:val="center"/>
          </w:tcPr>
          <w:p>
            <w:pPr>
              <w:pStyle w:val="84"/>
              <w:rPr>
                <w:color w:val="auto"/>
                <w:highlight w:val="none"/>
              </w:rPr>
            </w:pPr>
          </w:p>
        </w:tc>
        <w:tc>
          <w:tcPr>
            <w:tcW w:w="1179" w:type="pct"/>
            <w:vAlign w:val="center"/>
          </w:tcPr>
          <w:p>
            <w:pPr>
              <w:pStyle w:val="84"/>
              <w:rPr>
                <w:color w:val="auto"/>
                <w:szCs w:val="20"/>
                <w:highlight w:val="none"/>
              </w:rPr>
            </w:pPr>
            <w:r>
              <w:rPr>
                <w:color w:val="auto"/>
                <w:szCs w:val="22"/>
                <w:highlight w:val="none"/>
              </w:rPr>
              <w:t>道路及硬化区</w:t>
            </w:r>
          </w:p>
        </w:tc>
        <w:tc>
          <w:tcPr>
            <w:tcW w:w="3074" w:type="pct"/>
            <w:vAlign w:val="center"/>
          </w:tcPr>
          <w:p>
            <w:pPr>
              <w:pStyle w:val="84"/>
              <w:rPr>
                <w:color w:val="auto"/>
                <w:highlight w:val="none"/>
              </w:rPr>
            </w:pPr>
            <w:r>
              <w:rPr>
                <w:color w:val="auto"/>
                <w:highlight w:val="none"/>
              </w:rPr>
              <w:t>人为的扰动原地貌，道路基础开挖回填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747" w:type="pct"/>
            <w:vMerge w:val="continue"/>
            <w:vAlign w:val="center"/>
          </w:tcPr>
          <w:p>
            <w:pPr>
              <w:pStyle w:val="84"/>
              <w:rPr>
                <w:color w:val="auto"/>
                <w:highlight w:val="none"/>
              </w:rPr>
            </w:pPr>
          </w:p>
        </w:tc>
        <w:tc>
          <w:tcPr>
            <w:tcW w:w="1179" w:type="pct"/>
            <w:vAlign w:val="center"/>
          </w:tcPr>
          <w:p>
            <w:pPr>
              <w:pStyle w:val="84"/>
              <w:rPr>
                <w:color w:val="auto"/>
                <w:szCs w:val="22"/>
                <w:highlight w:val="none"/>
              </w:rPr>
            </w:pPr>
            <w:r>
              <w:rPr>
                <w:color w:val="auto"/>
                <w:szCs w:val="22"/>
                <w:highlight w:val="none"/>
              </w:rPr>
              <w:t>管线工程区</w:t>
            </w:r>
          </w:p>
        </w:tc>
        <w:tc>
          <w:tcPr>
            <w:tcW w:w="3074" w:type="pct"/>
            <w:vAlign w:val="center"/>
          </w:tcPr>
          <w:p>
            <w:pPr>
              <w:pStyle w:val="84"/>
              <w:rPr>
                <w:color w:val="auto"/>
                <w:highlight w:val="none"/>
              </w:rPr>
            </w:pPr>
            <w:r>
              <w:rPr>
                <w:color w:val="auto"/>
                <w:highlight w:val="none"/>
              </w:rPr>
              <w:t>人为的扰动原地貌，管沟开挖土方临时堆置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747" w:type="pct"/>
            <w:vMerge w:val="continue"/>
            <w:vAlign w:val="center"/>
          </w:tcPr>
          <w:p>
            <w:pPr>
              <w:pStyle w:val="84"/>
              <w:rPr>
                <w:color w:val="auto"/>
                <w:highlight w:val="none"/>
              </w:rPr>
            </w:pPr>
          </w:p>
        </w:tc>
        <w:tc>
          <w:tcPr>
            <w:tcW w:w="1179" w:type="pct"/>
            <w:vAlign w:val="center"/>
          </w:tcPr>
          <w:p>
            <w:pPr>
              <w:pStyle w:val="84"/>
              <w:rPr>
                <w:color w:val="auto"/>
                <w:szCs w:val="20"/>
                <w:highlight w:val="none"/>
              </w:rPr>
            </w:pPr>
            <w:r>
              <w:rPr>
                <w:color w:val="auto"/>
                <w:szCs w:val="22"/>
                <w:highlight w:val="none"/>
              </w:rPr>
              <w:t>施工生产区</w:t>
            </w:r>
          </w:p>
        </w:tc>
        <w:tc>
          <w:tcPr>
            <w:tcW w:w="3074" w:type="pct"/>
            <w:vAlign w:val="center"/>
          </w:tcPr>
          <w:p>
            <w:pPr>
              <w:pStyle w:val="84"/>
              <w:rPr>
                <w:color w:val="auto"/>
                <w:highlight w:val="none"/>
              </w:rPr>
            </w:pPr>
            <w:r>
              <w:rPr>
                <w:color w:val="auto"/>
                <w:highlight w:val="none"/>
              </w:rPr>
              <w:t>人为的扰动原地貌，临时松散堆料、机械碾压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747" w:type="pct"/>
            <w:vAlign w:val="center"/>
          </w:tcPr>
          <w:p>
            <w:pPr>
              <w:pStyle w:val="84"/>
              <w:rPr>
                <w:color w:val="auto"/>
                <w:highlight w:val="none"/>
              </w:rPr>
            </w:pPr>
            <w:r>
              <w:rPr>
                <w:color w:val="auto"/>
                <w:highlight w:val="none"/>
              </w:rPr>
              <w:t>自然恢复期</w:t>
            </w:r>
          </w:p>
        </w:tc>
        <w:tc>
          <w:tcPr>
            <w:tcW w:w="1179" w:type="pct"/>
            <w:vAlign w:val="center"/>
          </w:tcPr>
          <w:p>
            <w:pPr>
              <w:pStyle w:val="84"/>
              <w:rPr>
                <w:color w:val="auto"/>
                <w:highlight w:val="none"/>
              </w:rPr>
            </w:pPr>
            <w:r>
              <w:rPr>
                <w:color w:val="auto"/>
                <w:highlight w:val="none"/>
              </w:rPr>
              <w:t>整个项目建设区</w:t>
            </w:r>
          </w:p>
        </w:tc>
        <w:tc>
          <w:tcPr>
            <w:tcW w:w="3074" w:type="pct"/>
            <w:vAlign w:val="center"/>
          </w:tcPr>
          <w:p>
            <w:pPr>
              <w:pStyle w:val="84"/>
              <w:rPr>
                <w:color w:val="auto"/>
                <w:highlight w:val="none"/>
              </w:rPr>
            </w:pPr>
            <w:r>
              <w:rPr>
                <w:color w:val="auto"/>
                <w:highlight w:val="none"/>
              </w:rPr>
              <w:t>不再新增扰动破还原地貌，施工期造成的扰动面积基本稳定，产生的水土流失逐年减小。</w:t>
            </w:r>
          </w:p>
        </w:tc>
      </w:tr>
    </w:tbl>
    <w:p>
      <w:pPr>
        <w:pStyle w:val="69"/>
        <w:rPr>
          <w:color w:val="auto"/>
          <w:highlight w:val="none"/>
        </w:rPr>
      </w:pPr>
      <w:r>
        <w:rPr>
          <w:color w:val="auto"/>
          <w:highlight w:val="none"/>
        </w:rPr>
        <w:t>4.2.2 扰动原地貌、损坏土地及植被情况调查</w:t>
      </w:r>
    </w:p>
    <w:p>
      <w:pPr>
        <w:pStyle w:val="56"/>
        <w:ind w:firstLine="480"/>
        <w:rPr>
          <w:color w:val="auto"/>
          <w:highlight w:val="none"/>
        </w:rPr>
      </w:pPr>
      <w:r>
        <w:rPr>
          <w:color w:val="auto"/>
          <w:highlight w:val="none"/>
        </w:rPr>
        <w:t>工程扰动、占压地表面积包括项目建设区内工程开挖、回填、占压等活动地表的实际面积，不包括工程征地范围内未扰动地表面积。</w:t>
      </w:r>
    </w:p>
    <w:p>
      <w:pPr>
        <w:pStyle w:val="56"/>
        <w:ind w:firstLine="480"/>
        <w:rPr>
          <w:color w:val="auto"/>
          <w:highlight w:val="none"/>
        </w:rPr>
      </w:pPr>
      <w:r>
        <w:rPr>
          <w:color w:val="auto"/>
          <w:highlight w:val="none"/>
        </w:rPr>
        <w:t>根据主体工程设计资料，结合实地调查，本工程建设扰动地表区域主要包括建构筑物区、绿化区、道路及硬化区、管线工程区及施工生产区，工程建设占地总面积</w:t>
      </w:r>
      <w:r>
        <w:rPr>
          <w:rFonts w:hint="eastAsia"/>
          <w:color w:val="auto"/>
          <w:highlight w:val="none"/>
          <w:lang w:val="en-US" w:eastAsia="zh-CN"/>
        </w:rPr>
        <w:t>2.9</w:t>
      </w:r>
      <w:r>
        <w:rPr>
          <w:color w:val="auto"/>
          <w:highlight w:val="none"/>
        </w:rPr>
        <w:t>6hm²，因此本项目扰动原地貌、损坏土地面积为</w:t>
      </w:r>
      <w:r>
        <w:rPr>
          <w:rFonts w:hint="eastAsia"/>
          <w:color w:val="auto"/>
          <w:highlight w:val="none"/>
          <w:lang w:val="en-US" w:eastAsia="zh-CN"/>
        </w:rPr>
        <w:t>2.9</w:t>
      </w:r>
      <w:r>
        <w:rPr>
          <w:color w:val="auto"/>
          <w:highlight w:val="none"/>
        </w:rPr>
        <w:t>6hm²。项目建设扰动原地表调查情况统计见表4.2-2。</w:t>
      </w:r>
    </w:p>
    <w:p>
      <w:pPr>
        <w:pStyle w:val="75"/>
        <w:rPr>
          <w:color w:val="auto"/>
          <w:highlight w:val="none"/>
        </w:rPr>
      </w:pPr>
      <w:r>
        <w:rPr>
          <w:color w:val="auto"/>
          <w:highlight w:val="none"/>
        </w:rPr>
        <w:t>表4.2-2      扰动地表面积情况调查表   单位：hm²</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22"/>
        <w:gridCol w:w="2080"/>
        <w:gridCol w:w="1790"/>
        <w:gridCol w:w="1897"/>
        <w:gridCol w:w="18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785" w:type="pct"/>
            <w:vMerge w:val="restart"/>
            <w:shd w:val="clear" w:color="auto" w:fill="auto"/>
            <w:noWrap/>
            <w:vAlign w:val="center"/>
          </w:tcPr>
          <w:p>
            <w:pPr>
              <w:pStyle w:val="84"/>
              <w:rPr>
                <w:color w:val="auto"/>
                <w:highlight w:val="none"/>
              </w:rPr>
            </w:pPr>
            <w:r>
              <w:rPr>
                <w:color w:val="auto"/>
                <w:highlight w:val="none"/>
              </w:rPr>
              <w:t>地貌单元</w:t>
            </w:r>
          </w:p>
        </w:tc>
        <w:tc>
          <w:tcPr>
            <w:tcW w:w="1148" w:type="pct"/>
            <w:vMerge w:val="restart"/>
            <w:shd w:val="clear" w:color="auto" w:fill="auto"/>
            <w:noWrap/>
            <w:vAlign w:val="center"/>
          </w:tcPr>
          <w:p>
            <w:pPr>
              <w:pStyle w:val="84"/>
              <w:rPr>
                <w:color w:val="auto"/>
                <w:highlight w:val="none"/>
              </w:rPr>
            </w:pPr>
            <w:r>
              <w:rPr>
                <w:color w:val="auto"/>
                <w:highlight w:val="none"/>
              </w:rPr>
              <w:t>项目组成</w:t>
            </w:r>
          </w:p>
        </w:tc>
        <w:tc>
          <w:tcPr>
            <w:tcW w:w="988" w:type="pct"/>
            <w:vMerge w:val="restart"/>
            <w:shd w:val="clear" w:color="auto" w:fill="auto"/>
            <w:noWrap/>
            <w:vAlign w:val="center"/>
          </w:tcPr>
          <w:p>
            <w:pPr>
              <w:pStyle w:val="84"/>
              <w:rPr>
                <w:color w:val="auto"/>
                <w:highlight w:val="none"/>
              </w:rPr>
            </w:pPr>
            <w:r>
              <w:rPr>
                <w:color w:val="auto"/>
                <w:highlight w:val="none"/>
              </w:rPr>
              <w:t>征占地面积</w:t>
            </w:r>
          </w:p>
        </w:tc>
        <w:tc>
          <w:tcPr>
            <w:tcW w:w="1047" w:type="pct"/>
            <w:vMerge w:val="restart"/>
            <w:shd w:val="clear" w:color="auto" w:fill="auto"/>
            <w:noWrap/>
            <w:vAlign w:val="center"/>
          </w:tcPr>
          <w:p>
            <w:pPr>
              <w:pStyle w:val="84"/>
              <w:rPr>
                <w:color w:val="auto"/>
                <w:highlight w:val="none"/>
              </w:rPr>
            </w:pPr>
            <w:r>
              <w:rPr>
                <w:color w:val="auto"/>
                <w:highlight w:val="none"/>
              </w:rPr>
              <w:t>扰动地表面积</w:t>
            </w:r>
          </w:p>
        </w:tc>
        <w:tc>
          <w:tcPr>
            <w:tcW w:w="1032" w:type="pct"/>
            <w:vMerge w:val="restart"/>
            <w:shd w:val="clear" w:color="auto" w:fill="auto"/>
            <w:noWrap/>
            <w:vAlign w:val="center"/>
          </w:tcPr>
          <w:p>
            <w:pPr>
              <w:pStyle w:val="84"/>
              <w:rPr>
                <w:color w:val="auto"/>
                <w:highlight w:val="none"/>
              </w:rPr>
            </w:pPr>
            <w:r>
              <w:rPr>
                <w:color w:val="auto"/>
                <w:highlight w:val="none"/>
              </w:rPr>
              <w:t>边界条件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5" w:type="pct"/>
            <w:vMerge w:val="continue"/>
            <w:vAlign w:val="center"/>
          </w:tcPr>
          <w:p>
            <w:pPr>
              <w:pStyle w:val="84"/>
              <w:rPr>
                <w:color w:val="auto"/>
                <w:highlight w:val="none"/>
              </w:rPr>
            </w:pPr>
          </w:p>
        </w:tc>
        <w:tc>
          <w:tcPr>
            <w:tcW w:w="1148" w:type="pct"/>
            <w:vMerge w:val="continue"/>
            <w:vAlign w:val="center"/>
          </w:tcPr>
          <w:p>
            <w:pPr>
              <w:pStyle w:val="84"/>
              <w:rPr>
                <w:color w:val="auto"/>
                <w:highlight w:val="none"/>
              </w:rPr>
            </w:pPr>
          </w:p>
        </w:tc>
        <w:tc>
          <w:tcPr>
            <w:tcW w:w="988" w:type="pct"/>
            <w:vMerge w:val="continue"/>
            <w:vAlign w:val="center"/>
          </w:tcPr>
          <w:p>
            <w:pPr>
              <w:pStyle w:val="84"/>
              <w:rPr>
                <w:color w:val="auto"/>
                <w:highlight w:val="none"/>
              </w:rPr>
            </w:pPr>
          </w:p>
        </w:tc>
        <w:tc>
          <w:tcPr>
            <w:tcW w:w="1047" w:type="pct"/>
            <w:vMerge w:val="continue"/>
            <w:vAlign w:val="center"/>
          </w:tcPr>
          <w:p>
            <w:pPr>
              <w:pStyle w:val="84"/>
              <w:rPr>
                <w:color w:val="auto"/>
                <w:highlight w:val="none"/>
              </w:rPr>
            </w:pPr>
          </w:p>
        </w:tc>
        <w:tc>
          <w:tcPr>
            <w:tcW w:w="1032" w:type="pct"/>
            <w:vMerge w:val="continue"/>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5" w:type="pct"/>
            <w:vMerge w:val="restart"/>
            <w:shd w:val="clear" w:color="auto" w:fill="auto"/>
            <w:vAlign w:val="center"/>
          </w:tcPr>
          <w:p>
            <w:pPr>
              <w:pStyle w:val="84"/>
              <w:rPr>
                <w:color w:val="auto"/>
                <w:highlight w:val="none"/>
              </w:rPr>
            </w:pPr>
            <w:r>
              <w:rPr>
                <w:color w:val="auto"/>
                <w:highlight w:val="none"/>
              </w:rPr>
              <w:t>冲洪积平原</w:t>
            </w:r>
          </w:p>
        </w:tc>
        <w:tc>
          <w:tcPr>
            <w:tcW w:w="1148" w:type="pct"/>
            <w:shd w:val="clear" w:color="auto" w:fill="auto"/>
            <w:noWrap/>
            <w:vAlign w:val="center"/>
          </w:tcPr>
          <w:p>
            <w:pPr>
              <w:pStyle w:val="84"/>
              <w:rPr>
                <w:color w:val="auto"/>
                <w:highlight w:val="none"/>
              </w:rPr>
            </w:pPr>
            <w:r>
              <w:rPr>
                <w:color w:val="auto"/>
                <w:highlight w:val="none"/>
              </w:rPr>
              <w:t>建构筑物区</w:t>
            </w:r>
          </w:p>
        </w:tc>
        <w:tc>
          <w:tcPr>
            <w:tcW w:w="988" w:type="pct"/>
            <w:shd w:val="clear" w:color="auto" w:fill="auto"/>
            <w:noWrap/>
            <w:vAlign w:val="center"/>
          </w:tcPr>
          <w:p>
            <w:pPr>
              <w:pStyle w:val="84"/>
              <w:rPr>
                <w:rFonts w:hint="default" w:eastAsia="仿宋_GB2312"/>
                <w:color w:val="auto"/>
                <w:highlight w:val="none"/>
                <w:lang w:val="en-US" w:eastAsia="zh-CN"/>
              </w:rPr>
            </w:pPr>
            <w:r>
              <w:rPr>
                <w:color w:val="auto"/>
                <w:highlight w:val="none"/>
              </w:rPr>
              <w:t>0.</w:t>
            </w:r>
            <w:r>
              <w:rPr>
                <w:rFonts w:hint="eastAsia"/>
                <w:color w:val="auto"/>
                <w:highlight w:val="none"/>
                <w:lang w:val="en-US" w:eastAsia="zh-CN"/>
              </w:rPr>
              <w:t>73</w:t>
            </w:r>
          </w:p>
        </w:tc>
        <w:tc>
          <w:tcPr>
            <w:tcW w:w="1897" w:type="dxa"/>
            <w:shd w:val="clear" w:color="auto" w:fill="auto"/>
            <w:noWrap/>
            <w:vAlign w:val="center"/>
          </w:tcPr>
          <w:p>
            <w:pPr>
              <w:pStyle w:val="84"/>
              <w:ind w:firstLine="0" w:firstLineChars="0"/>
              <w:rPr>
                <w:color w:val="auto"/>
                <w:highlight w:val="none"/>
              </w:rPr>
            </w:pPr>
            <w:r>
              <w:rPr>
                <w:color w:val="auto"/>
                <w:highlight w:val="none"/>
              </w:rPr>
              <w:t>0.</w:t>
            </w:r>
            <w:r>
              <w:rPr>
                <w:rFonts w:hint="eastAsia"/>
                <w:color w:val="auto"/>
                <w:highlight w:val="none"/>
                <w:lang w:val="en-US" w:eastAsia="zh-CN"/>
              </w:rPr>
              <w:t>73</w:t>
            </w:r>
          </w:p>
        </w:tc>
        <w:tc>
          <w:tcPr>
            <w:tcW w:w="1032" w:type="pct"/>
            <w:vMerge w:val="restart"/>
            <w:shd w:val="clear" w:color="auto" w:fill="auto"/>
            <w:vAlign w:val="center"/>
          </w:tcPr>
          <w:p>
            <w:pPr>
              <w:pStyle w:val="84"/>
              <w:rPr>
                <w:color w:val="auto"/>
                <w:highlight w:val="none"/>
              </w:rPr>
            </w:pPr>
            <w:r>
              <w:rPr>
                <w:color w:val="auto"/>
                <w:highlight w:val="none"/>
              </w:rPr>
              <w:t>主体征占地面积及现场踏勘实际扰动面积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5" w:type="pct"/>
            <w:vMerge w:val="continue"/>
            <w:vAlign w:val="center"/>
          </w:tcPr>
          <w:p>
            <w:pPr>
              <w:pStyle w:val="84"/>
              <w:rPr>
                <w:color w:val="auto"/>
                <w:highlight w:val="none"/>
              </w:rPr>
            </w:pPr>
          </w:p>
        </w:tc>
        <w:tc>
          <w:tcPr>
            <w:tcW w:w="1148" w:type="pct"/>
            <w:shd w:val="clear" w:color="auto" w:fill="auto"/>
            <w:noWrap/>
            <w:vAlign w:val="center"/>
          </w:tcPr>
          <w:p>
            <w:pPr>
              <w:pStyle w:val="84"/>
              <w:rPr>
                <w:color w:val="auto"/>
                <w:highlight w:val="none"/>
              </w:rPr>
            </w:pPr>
            <w:r>
              <w:rPr>
                <w:color w:val="auto"/>
                <w:highlight w:val="none"/>
              </w:rPr>
              <w:t>绿化区</w:t>
            </w:r>
          </w:p>
        </w:tc>
        <w:tc>
          <w:tcPr>
            <w:tcW w:w="988" w:type="pct"/>
            <w:shd w:val="clear" w:color="auto" w:fill="auto"/>
            <w:noWrap/>
            <w:vAlign w:val="center"/>
          </w:tcPr>
          <w:p>
            <w:pPr>
              <w:pStyle w:val="84"/>
              <w:rPr>
                <w:rFonts w:hint="default" w:eastAsia="仿宋_GB2312"/>
                <w:color w:val="auto"/>
                <w:highlight w:val="none"/>
                <w:lang w:val="en-US" w:eastAsia="zh-CN"/>
              </w:rPr>
            </w:pPr>
            <w:r>
              <w:rPr>
                <w:rFonts w:hint="eastAsia"/>
                <w:color w:val="auto"/>
                <w:highlight w:val="none"/>
                <w:lang w:val="en-US" w:eastAsia="zh-CN"/>
              </w:rPr>
              <w:t>1.21</w:t>
            </w:r>
          </w:p>
        </w:tc>
        <w:tc>
          <w:tcPr>
            <w:tcW w:w="1897" w:type="dxa"/>
            <w:shd w:val="clear" w:color="auto" w:fill="auto"/>
            <w:noWrap/>
            <w:vAlign w:val="center"/>
          </w:tcPr>
          <w:p>
            <w:pPr>
              <w:pStyle w:val="84"/>
              <w:ind w:firstLine="0" w:firstLineChars="0"/>
              <w:rPr>
                <w:color w:val="auto"/>
                <w:highlight w:val="none"/>
              </w:rPr>
            </w:pPr>
            <w:r>
              <w:rPr>
                <w:rFonts w:hint="eastAsia"/>
                <w:color w:val="auto"/>
                <w:highlight w:val="none"/>
                <w:lang w:val="en-US" w:eastAsia="zh-CN"/>
              </w:rPr>
              <w:t>1.21</w:t>
            </w:r>
          </w:p>
        </w:tc>
        <w:tc>
          <w:tcPr>
            <w:tcW w:w="1032" w:type="pct"/>
            <w:vMerge w:val="continue"/>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5" w:type="pct"/>
            <w:vMerge w:val="continue"/>
            <w:vAlign w:val="center"/>
          </w:tcPr>
          <w:p>
            <w:pPr>
              <w:pStyle w:val="84"/>
              <w:rPr>
                <w:color w:val="auto"/>
                <w:highlight w:val="none"/>
              </w:rPr>
            </w:pPr>
          </w:p>
        </w:tc>
        <w:tc>
          <w:tcPr>
            <w:tcW w:w="1148" w:type="pct"/>
            <w:shd w:val="clear" w:color="auto" w:fill="auto"/>
            <w:noWrap/>
            <w:vAlign w:val="center"/>
          </w:tcPr>
          <w:p>
            <w:pPr>
              <w:pStyle w:val="84"/>
              <w:rPr>
                <w:color w:val="auto"/>
                <w:highlight w:val="none"/>
              </w:rPr>
            </w:pPr>
            <w:r>
              <w:rPr>
                <w:color w:val="auto"/>
                <w:highlight w:val="none"/>
              </w:rPr>
              <w:t>道路及硬化区</w:t>
            </w:r>
          </w:p>
        </w:tc>
        <w:tc>
          <w:tcPr>
            <w:tcW w:w="988" w:type="pct"/>
            <w:shd w:val="clear" w:color="auto" w:fill="auto"/>
            <w:noWrap/>
            <w:vAlign w:val="center"/>
          </w:tcPr>
          <w:p>
            <w:pPr>
              <w:pStyle w:val="84"/>
              <w:rPr>
                <w:rFonts w:hint="default" w:eastAsia="仿宋_GB2312"/>
                <w:color w:val="auto"/>
                <w:highlight w:val="none"/>
                <w:lang w:val="en-US" w:eastAsia="zh-CN"/>
              </w:rPr>
            </w:pPr>
            <w:r>
              <w:rPr>
                <w:color w:val="auto"/>
                <w:highlight w:val="none"/>
              </w:rPr>
              <w:t>1.</w:t>
            </w:r>
            <w:r>
              <w:rPr>
                <w:rFonts w:hint="eastAsia"/>
                <w:color w:val="auto"/>
                <w:highlight w:val="none"/>
                <w:lang w:val="en-US" w:eastAsia="zh-CN"/>
              </w:rPr>
              <w:t>02</w:t>
            </w:r>
          </w:p>
        </w:tc>
        <w:tc>
          <w:tcPr>
            <w:tcW w:w="1897" w:type="dxa"/>
            <w:shd w:val="clear" w:color="auto" w:fill="auto"/>
            <w:noWrap/>
            <w:vAlign w:val="center"/>
          </w:tcPr>
          <w:p>
            <w:pPr>
              <w:pStyle w:val="84"/>
              <w:ind w:firstLine="0" w:firstLineChars="0"/>
              <w:rPr>
                <w:color w:val="auto"/>
                <w:highlight w:val="none"/>
              </w:rPr>
            </w:pPr>
            <w:r>
              <w:rPr>
                <w:color w:val="auto"/>
                <w:highlight w:val="none"/>
              </w:rPr>
              <w:t>1.</w:t>
            </w:r>
            <w:r>
              <w:rPr>
                <w:rFonts w:hint="eastAsia"/>
                <w:color w:val="auto"/>
                <w:highlight w:val="none"/>
                <w:lang w:val="en-US" w:eastAsia="zh-CN"/>
              </w:rPr>
              <w:t>02</w:t>
            </w:r>
          </w:p>
        </w:tc>
        <w:tc>
          <w:tcPr>
            <w:tcW w:w="1032" w:type="pct"/>
            <w:vMerge w:val="continue"/>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5" w:type="pct"/>
            <w:vMerge w:val="continue"/>
            <w:vAlign w:val="center"/>
          </w:tcPr>
          <w:p>
            <w:pPr>
              <w:pStyle w:val="84"/>
              <w:rPr>
                <w:color w:val="auto"/>
                <w:highlight w:val="none"/>
              </w:rPr>
            </w:pPr>
          </w:p>
        </w:tc>
        <w:tc>
          <w:tcPr>
            <w:tcW w:w="1148" w:type="pct"/>
            <w:shd w:val="clear" w:color="auto" w:fill="auto"/>
            <w:noWrap/>
            <w:vAlign w:val="center"/>
          </w:tcPr>
          <w:p>
            <w:pPr>
              <w:pStyle w:val="84"/>
              <w:rPr>
                <w:color w:val="auto"/>
                <w:highlight w:val="none"/>
              </w:rPr>
            </w:pPr>
            <w:r>
              <w:rPr>
                <w:color w:val="auto"/>
                <w:highlight w:val="none"/>
              </w:rPr>
              <w:t>管线工程区</w:t>
            </w:r>
          </w:p>
        </w:tc>
        <w:tc>
          <w:tcPr>
            <w:tcW w:w="988" w:type="pct"/>
            <w:shd w:val="clear" w:color="auto" w:fill="auto"/>
            <w:noWrap/>
            <w:vAlign w:val="center"/>
          </w:tcPr>
          <w:p>
            <w:pPr>
              <w:pStyle w:val="84"/>
              <w:rPr>
                <w:rFonts w:hint="eastAsia" w:eastAsia="仿宋_GB2312"/>
                <w:color w:val="auto"/>
                <w:highlight w:val="none"/>
                <w:lang w:eastAsia="zh-CN"/>
              </w:rPr>
            </w:pPr>
            <w:r>
              <w:rPr>
                <w:rFonts w:hint="eastAsia"/>
                <w:color w:val="auto"/>
                <w:highlight w:val="none"/>
                <w:lang w:eastAsia="zh-CN"/>
              </w:rPr>
              <w:t>（</w:t>
            </w:r>
            <w:r>
              <w:rPr>
                <w:color w:val="auto"/>
                <w:highlight w:val="none"/>
              </w:rPr>
              <w:t>0.50</w:t>
            </w:r>
            <w:r>
              <w:rPr>
                <w:rFonts w:hint="eastAsia"/>
                <w:color w:val="auto"/>
                <w:highlight w:val="none"/>
                <w:lang w:eastAsia="zh-CN"/>
              </w:rPr>
              <w:t>）</w:t>
            </w:r>
          </w:p>
        </w:tc>
        <w:tc>
          <w:tcPr>
            <w:tcW w:w="1897" w:type="dxa"/>
            <w:shd w:val="clear" w:color="auto" w:fill="auto"/>
            <w:noWrap/>
            <w:vAlign w:val="center"/>
          </w:tcPr>
          <w:p>
            <w:pPr>
              <w:pStyle w:val="84"/>
              <w:ind w:firstLine="0" w:firstLineChars="0"/>
              <w:rPr>
                <w:color w:val="auto"/>
                <w:highlight w:val="none"/>
              </w:rPr>
            </w:pPr>
            <w:r>
              <w:rPr>
                <w:rFonts w:hint="eastAsia"/>
                <w:color w:val="auto"/>
                <w:highlight w:val="none"/>
                <w:lang w:eastAsia="zh-CN"/>
              </w:rPr>
              <w:t>（</w:t>
            </w:r>
            <w:r>
              <w:rPr>
                <w:color w:val="auto"/>
                <w:highlight w:val="none"/>
              </w:rPr>
              <w:t>0.50</w:t>
            </w:r>
            <w:r>
              <w:rPr>
                <w:rFonts w:hint="eastAsia"/>
                <w:color w:val="auto"/>
                <w:highlight w:val="none"/>
                <w:lang w:eastAsia="zh-CN"/>
              </w:rPr>
              <w:t>）</w:t>
            </w:r>
          </w:p>
        </w:tc>
        <w:tc>
          <w:tcPr>
            <w:tcW w:w="1032" w:type="pct"/>
            <w:vMerge w:val="continue"/>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5" w:type="pct"/>
            <w:vMerge w:val="continue"/>
            <w:vAlign w:val="center"/>
          </w:tcPr>
          <w:p>
            <w:pPr>
              <w:pStyle w:val="84"/>
              <w:rPr>
                <w:color w:val="auto"/>
                <w:highlight w:val="none"/>
              </w:rPr>
            </w:pPr>
          </w:p>
        </w:tc>
        <w:tc>
          <w:tcPr>
            <w:tcW w:w="1148" w:type="pct"/>
            <w:shd w:val="clear" w:color="auto" w:fill="auto"/>
            <w:noWrap/>
            <w:vAlign w:val="center"/>
          </w:tcPr>
          <w:p>
            <w:pPr>
              <w:pStyle w:val="84"/>
              <w:rPr>
                <w:color w:val="auto"/>
                <w:highlight w:val="none"/>
              </w:rPr>
            </w:pPr>
            <w:r>
              <w:rPr>
                <w:color w:val="auto"/>
                <w:highlight w:val="none"/>
              </w:rPr>
              <w:t>施工生产区</w:t>
            </w:r>
          </w:p>
        </w:tc>
        <w:tc>
          <w:tcPr>
            <w:tcW w:w="988" w:type="pct"/>
            <w:shd w:val="clear" w:color="auto" w:fill="auto"/>
            <w:noWrap/>
            <w:vAlign w:val="center"/>
          </w:tcPr>
          <w:p>
            <w:pPr>
              <w:pStyle w:val="84"/>
              <w:rPr>
                <w:color w:val="auto"/>
                <w:highlight w:val="none"/>
              </w:rPr>
            </w:pPr>
            <w:r>
              <w:rPr>
                <w:rFonts w:hint="eastAsia"/>
                <w:color w:val="auto"/>
                <w:highlight w:val="none"/>
                <w:lang w:eastAsia="zh-CN"/>
              </w:rPr>
              <w:t>（</w:t>
            </w:r>
            <w:r>
              <w:rPr>
                <w:color w:val="auto"/>
                <w:highlight w:val="none"/>
              </w:rPr>
              <w:t>0.</w:t>
            </w:r>
            <w:r>
              <w:rPr>
                <w:rFonts w:hint="eastAsia"/>
                <w:color w:val="auto"/>
                <w:highlight w:val="none"/>
                <w:lang w:val="en-US" w:eastAsia="zh-CN"/>
              </w:rPr>
              <w:t>3</w:t>
            </w:r>
            <w:r>
              <w:rPr>
                <w:color w:val="auto"/>
                <w:highlight w:val="none"/>
              </w:rPr>
              <w:t>0</w:t>
            </w:r>
            <w:r>
              <w:rPr>
                <w:rFonts w:hint="eastAsia"/>
                <w:color w:val="auto"/>
                <w:highlight w:val="none"/>
                <w:lang w:eastAsia="zh-CN"/>
              </w:rPr>
              <w:t>）</w:t>
            </w:r>
          </w:p>
        </w:tc>
        <w:tc>
          <w:tcPr>
            <w:tcW w:w="1897" w:type="dxa"/>
            <w:shd w:val="clear" w:color="auto" w:fill="auto"/>
            <w:noWrap/>
            <w:vAlign w:val="center"/>
          </w:tcPr>
          <w:p>
            <w:pPr>
              <w:pStyle w:val="84"/>
              <w:ind w:firstLine="0" w:firstLineChars="0"/>
              <w:rPr>
                <w:color w:val="auto"/>
                <w:highlight w:val="none"/>
              </w:rPr>
            </w:pPr>
            <w:r>
              <w:rPr>
                <w:rFonts w:hint="eastAsia"/>
                <w:color w:val="auto"/>
                <w:highlight w:val="none"/>
                <w:lang w:eastAsia="zh-CN"/>
              </w:rPr>
              <w:t>（</w:t>
            </w:r>
            <w:r>
              <w:rPr>
                <w:color w:val="auto"/>
                <w:highlight w:val="none"/>
              </w:rPr>
              <w:t>0.</w:t>
            </w:r>
            <w:r>
              <w:rPr>
                <w:rFonts w:hint="eastAsia"/>
                <w:color w:val="auto"/>
                <w:highlight w:val="none"/>
                <w:lang w:val="en-US" w:eastAsia="zh-CN"/>
              </w:rPr>
              <w:t>3</w:t>
            </w:r>
            <w:r>
              <w:rPr>
                <w:color w:val="auto"/>
                <w:highlight w:val="none"/>
              </w:rPr>
              <w:t>0</w:t>
            </w:r>
            <w:r>
              <w:rPr>
                <w:rFonts w:hint="eastAsia"/>
                <w:color w:val="auto"/>
                <w:highlight w:val="none"/>
                <w:lang w:eastAsia="zh-CN"/>
              </w:rPr>
              <w:t>）</w:t>
            </w:r>
          </w:p>
        </w:tc>
        <w:tc>
          <w:tcPr>
            <w:tcW w:w="1032" w:type="pct"/>
            <w:vMerge w:val="continue"/>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933" w:type="pct"/>
            <w:gridSpan w:val="2"/>
            <w:shd w:val="clear" w:color="auto" w:fill="auto"/>
            <w:noWrap/>
            <w:vAlign w:val="center"/>
          </w:tcPr>
          <w:p>
            <w:pPr>
              <w:pStyle w:val="84"/>
              <w:rPr>
                <w:color w:val="auto"/>
                <w:highlight w:val="none"/>
              </w:rPr>
            </w:pPr>
            <w:r>
              <w:rPr>
                <w:color w:val="auto"/>
                <w:highlight w:val="none"/>
              </w:rPr>
              <w:t>合计</w:t>
            </w:r>
          </w:p>
        </w:tc>
        <w:tc>
          <w:tcPr>
            <w:tcW w:w="988" w:type="pct"/>
            <w:shd w:val="clear" w:color="auto" w:fill="auto"/>
            <w:noWrap/>
            <w:vAlign w:val="center"/>
          </w:tcPr>
          <w:p>
            <w:pPr>
              <w:pStyle w:val="84"/>
              <w:rPr>
                <w:rFonts w:hint="default" w:eastAsia="仿宋_GB2312"/>
                <w:color w:val="auto"/>
                <w:highlight w:val="none"/>
                <w:lang w:val="en-US" w:eastAsia="zh-CN"/>
              </w:rPr>
            </w:pPr>
            <w:r>
              <w:rPr>
                <w:rFonts w:hint="eastAsia"/>
                <w:color w:val="auto"/>
                <w:highlight w:val="none"/>
                <w:lang w:val="en-US" w:eastAsia="zh-CN"/>
              </w:rPr>
              <w:t>2.96</w:t>
            </w:r>
          </w:p>
        </w:tc>
        <w:tc>
          <w:tcPr>
            <w:tcW w:w="1897" w:type="dxa"/>
            <w:shd w:val="clear" w:color="auto" w:fill="auto"/>
            <w:noWrap/>
            <w:vAlign w:val="center"/>
          </w:tcPr>
          <w:p>
            <w:pPr>
              <w:pStyle w:val="84"/>
              <w:ind w:firstLine="0" w:firstLineChars="0"/>
              <w:rPr>
                <w:color w:val="auto"/>
                <w:highlight w:val="none"/>
              </w:rPr>
            </w:pPr>
            <w:r>
              <w:rPr>
                <w:rFonts w:hint="eastAsia"/>
                <w:color w:val="auto"/>
                <w:highlight w:val="none"/>
                <w:lang w:val="en-US" w:eastAsia="zh-CN"/>
              </w:rPr>
              <w:t>2.96</w:t>
            </w:r>
          </w:p>
        </w:tc>
        <w:tc>
          <w:tcPr>
            <w:tcW w:w="1032" w:type="pct"/>
            <w:shd w:val="clear" w:color="auto" w:fill="auto"/>
            <w:noWrap/>
            <w:vAlign w:val="center"/>
          </w:tcPr>
          <w:p>
            <w:pPr>
              <w:pStyle w:val="84"/>
              <w:rPr>
                <w:color w:val="auto"/>
                <w:highlight w:val="none"/>
              </w:rPr>
            </w:pPr>
            <w:r>
              <w:rPr>
                <w:color w:val="auto"/>
                <w:highlight w:val="none"/>
              </w:rPr>
              <w:t>　</w:t>
            </w:r>
          </w:p>
        </w:tc>
      </w:tr>
    </w:tbl>
    <w:p>
      <w:pPr>
        <w:pStyle w:val="69"/>
        <w:rPr>
          <w:color w:val="auto"/>
          <w:highlight w:val="none"/>
        </w:rPr>
      </w:pPr>
      <w:r>
        <w:rPr>
          <w:color w:val="auto"/>
          <w:highlight w:val="none"/>
        </w:rPr>
        <w:t>4.2.3 废弃土（石、渣、灰、矸石、尾矿）量</w:t>
      </w:r>
    </w:p>
    <w:p>
      <w:pPr>
        <w:pStyle w:val="56"/>
        <w:ind w:firstLine="480"/>
        <w:rPr>
          <w:color w:val="auto"/>
          <w:highlight w:val="none"/>
        </w:rPr>
      </w:pPr>
      <w:r>
        <w:rPr>
          <w:color w:val="auto"/>
          <w:highlight w:val="none"/>
        </w:rPr>
        <w:t>根据主体资料，本工程总挖方2.1</w:t>
      </w:r>
      <w:r>
        <w:rPr>
          <w:rFonts w:hint="eastAsia"/>
          <w:color w:val="auto"/>
          <w:highlight w:val="none"/>
          <w:lang w:val="en-US" w:eastAsia="zh-CN"/>
        </w:rPr>
        <w:t>8</w:t>
      </w:r>
      <w:r>
        <w:rPr>
          <w:color w:val="auto"/>
          <w:highlight w:val="none"/>
        </w:rPr>
        <w:t>万m³，填方2.1</w:t>
      </w:r>
      <w:r>
        <w:rPr>
          <w:rFonts w:hint="eastAsia"/>
          <w:color w:val="auto"/>
          <w:highlight w:val="none"/>
          <w:lang w:val="en-US" w:eastAsia="zh-CN"/>
        </w:rPr>
        <w:t>8</w:t>
      </w:r>
      <w:r>
        <w:rPr>
          <w:color w:val="auto"/>
          <w:highlight w:val="none"/>
        </w:rPr>
        <w:t>万m³，无借方，无弃方。涉及土方主要为建构筑物基础和管沟开挖回填。建构筑物基础开挖土方临时堆置在开挖基础周边，后期回填利用。管沟开挖土方临时堆置在开挖管沟一侧，管线铺设完成后回填利用。</w:t>
      </w:r>
    </w:p>
    <w:p>
      <w:pPr>
        <w:pStyle w:val="66"/>
        <w:rPr>
          <w:color w:val="auto"/>
          <w:highlight w:val="none"/>
        </w:rPr>
      </w:pPr>
      <w:bookmarkStart w:id="103" w:name="_Toc28149"/>
      <w:r>
        <w:rPr>
          <w:color w:val="auto"/>
          <w:highlight w:val="none"/>
        </w:rPr>
        <w:t xml:space="preserve">4.3 </w:t>
      </w:r>
      <w:bookmarkEnd w:id="99"/>
      <w:r>
        <w:rPr>
          <w:color w:val="auto"/>
          <w:highlight w:val="none"/>
        </w:rPr>
        <w:t>土壤流失量预测</w:t>
      </w:r>
      <w:bookmarkEnd w:id="103"/>
    </w:p>
    <w:p>
      <w:pPr>
        <w:pStyle w:val="56"/>
        <w:ind w:firstLine="480"/>
        <w:rPr>
          <w:color w:val="auto"/>
          <w:highlight w:val="none"/>
        </w:rPr>
      </w:pPr>
      <w:r>
        <w:rPr>
          <w:color w:val="auto"/>
          <w:highlight w:val="none"/>
        </w:rPr>
        <w:t>水土流失预测的基础是按照本项目正常设计功能，在无水土保持措施条件下可能产生的水土流失量和水土流失危害，水土流失量的计算基础应扣除原地表侵蚀量。</w:t>
      </w:r>
    </w:p>
    <w:p>
      <w:pPr>
        <w:pStyle w:val="69"/>
        <w:rPr>
          <w:color w:val="auto"/>
          <w:highlight w:val="none"/>
        </w:rPr>
      </w:pPr>
      <w:r>
        <w:rPr>
          <w:color w:val="auto"/>
          <w:highlight w:val="none"/>
        </w:rPr>
        <w:t>4.3.1 预测单元</w:t>
      </w:r>
    </w:p>
    <w:p>
      <w:pPr>
        <w:pStyle w:val="56"/>
        <w:ind w:firstLine="480"/>
        <w:rPr>
          <w:color w:val="auto"/>
          <w:highlight w:val="none"/>
        </w:rPr>
      </w:pPr>
      <w:bookmarkStart w:id="104" w:name="_Toc13892"/>
      <w:r>
        <w:rPr>
          <w:color w:val="auto"/>
          <w:highlight w:val="none"/>
        </w:rPr>
        <w:t>水土流失预测的目的是为了确定行之有效的水土保持措施总体布局，预测项目建设及运营带来的水土流失总量及分布，综合分析建设过程可能造成的水土流失危害，明确重点防治区。</w:t>
      </w:r>
    </w:p>
    <w:p>
      <w:pPr>
        <w:pStyle w:val="56"/>
        <w:ind w:firstLine="480"/>
        <w:rPr>
          <w:color w:val="auto"/>
          <w:highlight w:val="none"/>
        </w:rPr>
      </w:pPr>
      <w:r>
        <w:rPr>
          <w:color w:val="auto"/>
          <w:highlight w:val="none"/>
        </w:rPr>
        <w:t>根据项目区地形地貌、建设单元施工特点，将建设区划分为一个一级防治分区：冲洪积平原区。同时根据各一级分区工程建设特点共划分为5个二级防治分区，其中管线工程区和施工生产区占地中的重复占地，水土流失预测时重复占地面积均纳入绿化区和道路及硬化区内，不再重复计列。按照划分单元进行水土流失预测。根据每个预测单元在工程施工准备期、施工期、自然恢复期土壤侵蚀模数的变化情况，分别预测施工期（包括施工准备期）和自然恢复期的土壤侵蚀总量。水土流失预测单元划分见表4.3-1。</w:t>
      </w:r>
      <w:bookmarkEnd w:id="104"/>
    </w:p>
    <w:p>
      <w:pPr>
        <w:pStyle w:val="75"/>
        <w:rPr>
          <w:color w:val="auto"/>
          <w:highlight w:val="none"/>
        </w:rPr>
      </w:pPr>
      <w:r>
        <w:rPr>
          <w:color w:val="auto"/>
          <w:highlight w:val="none"/>
        </w:rPr>
        <w:t>表4.3-1    工程水土流失预测单元划分表</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7"/>
        <w:gridCol w:w="1845"/>
        <w:gridCol w:w="3261"/>
        <w:gridCol w:w="21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997" w:type="pct"/>
            <w:vMerge w:val="restart"/>
            <w:shd w:val="clear" w:color="auto" w:fill="auto"/>
            <w:vAlign w:val="center"/>
          </w:tcPr>
          <w:p>
            <w:pPr>
              <w:pStyle w:val="84"/>
              <w:rPr>
                <w:color w:val="auto"/>
                <w:highlight w:val="none"/>
              </w:rPr>
            </w:pPr>
            <w:r>
              <w:rPr>
                <w:color w:val="auto"/>
                <w:highlight w:val="none"/>
              </w:rPr>
              <w:t>预测单元</w:t>
            </w:r>
          </w:p>
        </w:tc>
        <w:tc>
          <w:tcPr>
            <w:tcW w:w="1018" w:type="pct"/>
            <w:vMerge w:val="restart"/>
            <w:shd w:val="clear" w:color="auto" w:fill="auto"/>
            <w:vAlign w:val="center"/>
          </w:tcPr>
          <w:p>
            <w:pPr>
              <w:pStyle w:val="84"/>
              <w:rPr>
                <w:color w:val="auto"/>
                <w:highlight w:val="none"/>
              </w:rPr>
            </w:pPr>
            <w:r>
              <w:rPr>
                <w:color w:val="auto"/>
                <w:highlight w:val="none"/>
              </w:rPr>
              <w:t>总占地面积（hm</w:t>
            </w:r>
            <w:r>
              <w:rPr>
                <w:rFonts w:eastAsia="宋体"/>
                <w:color w:val="auto"/>
                <w:highlight w:val="none"/>
              </w:rPr>
              <w:t>²</w:t>
            </w:r>
            <w:r>
              <w:rPr>
                <w:color w:val="auto"/>
                <w:highlight w:val="none"/>
              </w:rPr>
              <w:t>）</w:t>
            </w:r>
          </w:p>
        </w:tc>
        <w:tc>
          <w:tcPr>
            <w:tcW w:w="2983" w:type="pct"/>
            <w:gridSpan w:val="2"/>
            <w:shd w:val="clear" w:color="auto" w:fill="auto"/>
            <w:vAlign w:val="center"/>
          </w:tcPr>
          <w:p>
            <w:pPr>
              <w:pStyle w:val="84"/>
              <w:rPr>
                <w:color w:val="auto"/>
                <w:highlight w:val="none"/>
              </w:rPr>
            </w:pPr>
            <w:r>
              <w:rPr>
                <w:color w:val="auto"/>
                <w:highlight w:val="none"/>
              </w:rPr>
              <w:t>水土流失预测面积（hm</w:t>
            </w:r>
            <w:r>
              <w:rPr>
                <w:rFonts w:eastAsia="宋体"/>
                <w:color w:val="auto"/>
                <w:highlight w:val="none"/>
              </w:rPr>
              <w:t>²</w:t>
            </w: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997" w:type="pct"/>
            <w:vMerge w:val="continue"/>
            <w:vAlign w:val="center"/>
          </w:tcPr>
          <w:p>
            <w:pPr>
              <w:pStyle w:val="84"/>
              <w:rPr>
                <w:color w:val="auto"/>
                <w:highlight w:val="none"/>
              </w:rPr>
            </w:pPr>
          </w:p>
        </w:tc>
        <w:tc>
          <w:tcPr>
            <w:tcW w:w="1018" w:type="pct"/>
            <w:vMerge w:val="continue"/>
            <w:vAlign w:val="center"/>
          </w:tcPr>
          <w:p>
            <w:pPr>
              <w:pStyle w:val="84"/>
              <w:rPr>
                <w:color w:val="auto"/>
                <w:highlight w:val="none"/>
              </w:rPr>
            </w:pPr>
          </w:p>
        </w:tc>
        <w:tc>
          <w:tcPr>
            <w:tcW w:w="1799" w:type="pct"/>
            <w:shd w:val="clear" w:color="auto" w:fill="auto"/>
            <w:vAlign w:val="center"/>
          </w:tcPr>
          <w:p>
            <w:pPr>
              <w:pStyle w:val="84"/>
              <w:rPr>
                <w:color w:val="auto"/>
                <w:highlight w:val="none"/>
              </w:rPr>
            </w:pPr>
            <w:r>
              <w:rPr>
                <w:color w:val="auto"/>
                <w:highlight w:val="none"/>
              </w:rPr>
              <w:t>施工期（包括施工准备期）</w:t>
            </w:r>
          </w:p>
        </w:tc>
        <w:tc>
          <w:tcPr>
            <w:tcW w:w="1184" w:type="pct"/>
            <w:shd w:val="clear" w:color="auto" w:fill="auto"/>
            <w:vAlign w:val="center"/>
          </w:tcPr>
          <w:p>
            <w:pPr>
              <w:pStyle w:val="84"/>
              <w:rPr>
                <w:color w:val="auto"/>
                <w:highlight w:val="none"/>
              </w:rPr>
            </w:pPr>
            <w:r>
              <w:rPr>
                <w:color w:val="auto"/>
                <w:highlight w:val="none"/>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997" w:type="pct"/>
            <w:shd w:val="clear" w:color="auto" w:fill="auto"/>
            <w:noWrap/>
            <w:vAlign w:val="center"/>
          </w:tcPr>
          <w:p>
            <w:pPr>
              <w:pStyle w:val="84"/>
              <w:rPr>
                <w:color w:val="auto"/>
                <w:highlight w:val="none"/>
              </w:rPr>
            </w:pPr>
            <w:r>
              <w:rPr>
                <w:color w:val="auto"/>
                <w:highlight w:val="none"/>
              </w:rPr>
              <w:t>建构筑物区</w:t>
            </w:r>
          </w:p>
        </w:tc>
        <w:tc>
          <w:tcPr>
            <w:tcW w:w="1845" w:type="dxa"/>
            <w:shd w:val="clear" w:color="auto" w:fill="auto"/>
            <w:vAlign w:val="center"/>
          </w:tcPr>
          <w:p>
            <w:pPr>
              <w:pStyle w:val="84"/>
              <w:bidi w:val="0"/>
              <w:rPr>
                <w:color w:val="auto"/>
                <w:highlight w:val="none"/>
              </w:rPr>
            </w:pPr>
            <w:r>
              <w:rPr>
                <w:rFonts w:hint="eastAsia"/>
                <w:color w:val="auto"/>
                <w:highlight w:val="none"/>
                <w:lang w:val="en-US" w:eastAsia="zh-CN"/>
              </w:rPr>
              <w:t xml:space="preserve">0.73 </w:t>
            </w:r>
          </w:p>
        </w:tc>
        <w:tc>
          <w:tcPr>
            <w:tcW w:w="3260" w:type="dxa"/>
            <w:shd w:val="clear" w:color="auto" w:fill="auto"/>
            <w:vAlign w:val="center"/>
          </w:tcPr>
          <w:p>
            <w:pPr>
              <w:pStyle w:val="84"/>
              <w:bidi w:val="0"/>
              <w:rPr>
                <w:color w:val="auto"/>
                <w:highlight w:val="none"/>
              </w:rPr>
            </w:pPr>
            <w:r>
              <w:rPr>
                <w:rFonts w:hint="eastAsia"/>
                <w:color w:val="auto"/>
                <w:highlight w:val="none"/>
                <w:lang w:val="en-US" w:eastAsia="zh-CN"/>
              </w:rPr>
              <w:t xml:space="preserve">0.73 </w:t>
            </w:r>
          </w:p>
        </w:tc>
        <w:tc>
          <w:tcPr>
            <w:tcW w:w="2147" w:type="dxa"/>
            <w:shd w:val="clear" w:color="auto" w:fill="auto"/>
            <w:vAlign w:val="center"/>
          </w:tcPr>
          <w:p>
            <w:pPr>
              <w:pStyle w:val="84"/>
              <w:bidi w:val="0"/>
              <w:rPr>
                <w:color w:val="auto"/>
                <w:highlight w:val="none"/>
              </w:rPr>
            </w:pPr>
            <w:r>
              <w:rPr>
                <w:rFonts w:hint="eastAsia"/>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997" w:type="pct"/>
            <w:shd w:val="clear" w:color="auto" w:fill="auto"/>
            <w:noWrap/>
            <w:vAlign w:val="center"/>
          </w:tcPr>
          <w:p>
            <w:pPr>
              <w:pStyle w:val="84"/>
              <w:rPr>
                <w:color w:val="auto"/>
                <w:highlight w:val="none"/>
              </w:rPr>
            </w:pPr>
            <w:r>
              <w:rPr>
                <w:color w:val="auto"/>
                <w:highlight w:val="none"/>
              </w:rPr>
              <w:t>绿化区</w:t>
            </w:r>
          </w:p>
        </w:tc>
        <w:tc>
          <w:tcPr>
            <w:tcW w:w="1845" w:type="dxa"/>
            <w:shd w:val="clear" w:color="auto" w:fill="auto"/>
            <w:vAlign w:val="center"/>
          </w:tcPr>
          <w:p>
            <w:pPr>
              <w:pStyle w:val="84"/>
              <w:bidi w:val="0"/>
              <w:rPr>
                <w:color w:val="auto"/>
                <w:highlight w:val="none"/>
              </w:rPr>
            </w:pPr>
            <w:r>
              <w:rPr>
                <w:rFonts w:hint="eastAsia"/>
                <w:color w:val="auto"/>
                <w:highlight w:val="none"/>
                <w:lang w:val="en-US" w:eastAsia="zh-CN"/>
              </w:rPr>
              <w:t>1.21</w:t>
            </w:r>
          </w:p>
        </w:tc>
        <w:tc>
          <w:tcPr>
            <w:tcW w:w="3260" w:type="dxa"/>
            <w:shd w:val="clear" w:color="auto" w:fill="auto"/>
            <w:vAlign w:val="center"/>
          </w:tcPr>
          <w:p>
            <w:pPr>
              <w:pStyle w:val="84"/>
              <w:bidi w:val="0"/>
              <w:rPr>
                <w:color w:val="auto"/>
                <w:highlight w:val="none"/>
              </w:rPr>
            </w:pPr>
            <w:r>
              <w:rPr>
                <w:rFonts w:hint="eastAsia"/>
                <w:color w:val="auto"/>
                <w:highlight w:val="none"/>
                <w:lang w:val="en-US" w:eastAsia="zh-CN"/>
              </w:rPr>
              <w:t>1.21</w:t>
            </w:r>
          </w:p>
        </w:tc>
        <w:tc>
          <w:tcPr>
            <w:tcW w:w="2147" w:type="dxa"/>
            <w:shd w:val="clear" w:color="auto" w:fill="auto"/>
            <w:vAlign w:val="center"/>
          </w:tcPr>
          <w:p>
            <w:pPr>
              <w:pStyle w:val="84"/>
              <w:bidi w:val="0"/>
              <w:rPr>
                <w:color w:val="auto"/>
                <w:highlight w:val="none"/>
              </w:rPr>
            </w:pPr>
            <w:r>
              <w:rPr>
                <w:rFonts w:hint="eastAsia"/>
                <w:color w:val="auto"/>
                <w:highlight w:val="none"/>
                <w:lang w:val="en-US" w:eastAsia="zh-CN"/>
              </w:rPr>
              <w:t>1.21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997" w:type="pct"/>
            <w:shd w:val="clear" w:color="auto" w:fill="auto"/>
            <w:noWrap/>
            <w:vAlign w:val="center"/>
          </w:tcPr>
          <w:p>
            <w:pPr>
              <w:pStyle w:val="84"/>
              <w:rPr>
                <w:color w:val="auto"/>
                <w:highlight w:val="none"/>
              </w:rPr>
            </w:pPr>
            <w:r>
              <w:rPr>
                <w:color w:val="auto"/>
                <w:highlight w:val="none"/>
              </w:rPr>
              <w:t>道路及硬化区</w:t>
            </w:r>
          </w:p>
        </w:tc>
        <w:tc>
          <w:tcPr>
            <w:tcW w:w="1845" w:type="dxa"/>
            <w:shd w:val="clear" w:color="auto" w:fill="auto"/>
            <w:vAlign w:val="center"/>
          </w:tcPr>
          <w:p>
            <w:pPr>
              <w:pStyle w:val="84"/>
              <w:bidi w:val="0"/>
              <w:rPr>
                <w:color w:val="auto"/>
                <w:highlight w:val="none"/>
              </w:rPr>
            </w:pPr>
            <w:r>
              <w:rPr>
                <w:rFonts w:hint="eastAsia"/>
                <w:color w:val="auto"/>
                <w:highlight w:val="none"/>
                <w:lang w:val="en-US" w:eastAsia="zh-CN"/>
              </w:rPr>
              <w:t xml:space="preserve">1.02 </w:t>
            </w:r>
          </w:p>
        </w:tc>
        <w:tc>
          <w:tcPr>
            <w:tcW w:w="3260" w:type="dxa"/>
            <w:shd w:val="clear" w:color="auto" w:fill="auto"/>
            <w:vAlign w:val="center"/>
          </w:tcPr>
          <w:p>
            <w:pPr>
              <w:pStyle w:val="84"/>
              <w:bidi w:val="0"/>
              <w:rPr>
                <w:color w:val="auto"/>
                <w:highlight w:val="none"/>
              </w:rPr>
            </w:pPr>
            <w:r>
              <w:rPr>
                <w:rFonts w:hint="eastAsia"/>
                <w:color w:val="auto"/>
                <w:highlight w:val="none"/>
                <w:lang w:val="en-US" w:eastAsia="zh-CN"/>
              </w:rPr>
              <w:t xml:space="preserve">1.02 </w:t>
            </w:r>
          </w:p>
        </w:tc>
        <w:tc>
          <w:tcPr>
            <w:tcW w:w="2147" w:type="dxa"/>
            <w:shd w:val="clear" w:color="auto" w:fill="auto"/>
            <w:vAlign w:val="center"/>
          </w:tcPr>
          <w:p>
            <w:pPr>
              <w:pStyle w:val="84"/>
              <w:bidi w:val="0"/>
              <w:rPr>
                <w:color w:val="auto"/>
                <w:highlight w:val="none"/>
              </w:rPr>
            </w:pPr>
            <w:r>
              <w:rPr>
                <w:rFonts w:hint="eastAsia"/>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997" w:type="pct"/>
            <w:shd w:val="clear" w:color="auto" w:fill="auto"/>
            <w:vAlign w:val="center"/>
          </w:tcPr>
          <w:p>
            <w:pPr>
              <w:pStyle w:val="84"/>
              <w:rPr>
                <w:color w:val="auto"/>
                <w:highlight w:val="none"/>
              </w:rPr>
            </w:pPr>
            <w:r>
              <w:rPr>
                <w:color w:val="auto"/>
                <w:highlight w:val="none"/>
              </w:rPr>
              <w:t>合计</w:t>
            </w:r>
          </w:p>
        </w:tc>
        <w:tc>
          <w:tcPr>
            <w:tcW w:w="1845" w:type="dxa"/>
            <w:shd w:val="clear" w:color="auto" w:fill="auto"/>
            <w:vAlign w:val="center"/>
          </w:tcPr>
          <w:p>
            <w:pPr>
              <w:pStyle w:val="84"/>
              <w:bidi w:val="0"/>
              <w:rPr>
                <w:color w:val="auto"/>
                <w:highlight w:val="none"/>
              </w:rPr>
            </w:pPr>
            <w:r>
              <w:rPr>
                <w:rFonts w:hint="eastAsia"/>
                <w:color w:val="auto"/>
                <w:highlight w:val="none"/>
                <w:lang w:val="en-US" w:eastAsia="zh-CN"/>
              </w:rPr>
              <w:t>2.96</w:t>
            </w:r>
          </w:p>
        </w:tc>
        <w:tc>
          <w:tcPr>
            <w:tcW w:w="3260" w:type="dxa"/>
            <w:shd w:val="clear" w:color="auto" w:fill="auto"/>
            <w:vAlign w:val="center"/>
          </w:tcPr>
          <w:p>
            <w:pPr>
              <w:pStyle w:val="84"/>
              <w:bidi w:val="0"/>
              <w:rPr>
                <w:color w:val="auto"/>
                <w:highlight w:val="none"/>
              </w:rPr>
            </w:pPr>
            <w:r>
              <w:rPr>
                <w:rFonts w:hint="eastAsia"/>
                <w:color w:val="auto"/>
                <w:highlight w:val="none"/>
                <w:lang w:val="en-US" w:eastAsia="zh-CN"/>
              </w:rPr>
              <w:t>2.96</w:t>
            </w:r>
          </w:p>
        </w:tc>
        <w:tc>
          <w:tcPr>
            <w:tcW w:w="2147" w:type="dxa"/>
            <w:shd w:val="clear" w:color="auto" w:fill="auto"/>
            <w:vAlign w:val="center"/>
          </w:tcPr>
          <w:p>
            <w:pPr>
              <w:pStyle w:val="84"/>
              <w:bidi w:val="0"/>
              <w:rPr>
                <w:color w:val="auto"/>
                <w:highlight w:val="none"/>
              </w:rPr>
            </w:pPr>
            <w:r>
              <w:rPr>
                <w:rFonts w:hint="eastAsia"/>
                <w:color w:val="auto"/>
                <w:highlight w:val="none"/>
                <w:lang w:val="en-US" w:eastAsia="zh-CN"/>
              </w:rPr>
              <w:t>1.21</w:t>
            </w:r>
          </w:p>
        </w:tc>
      </w:tr>
    </w:tbl>
    <w:p>
      <w:pPr>
        <w:pStyle w:val="56"/>
        <w:spacing w:line="240" w:lineRule="auto"/>
        <w:ind w:firstLine="0" w:firstLineChars="0"/>
        <w:rPr>
          <w:color w:val="auto"/>
          <w:sz w:val="22"/>
          <w:highlight w:val="none"/>
        </w:rPr>
      </w:pPr>
      <w:r>
        <w:rPr>
          <w:color w:val="auto"/>
          <w:sz w:val="22"/>
          <w:highlight w:val="none"/>
        </w:rPr>
        <w:t>注：本项目管线工程区和施工生产区占地中的重复占地，水土流失预测时重复占地面积均纳入道路及硬化区内，不再重复计列。</w:t>
      </w:r>
    </w:p>
    <w:p>
      <w:pPr>
        <w:pStyle w:val="69"/>
        <w:spacing w:before="120" w:beforeLines="50"/>
        <w:rPr>
          <w:color w:val="auto"/>
          <w:highlight w:val="none"/>
        </w:rPr>
      </w:pPr>
      <w:r>
        <w:rPr>
          <w:color w:val="auto"/>
          <w:highlight w:val="none"/>
        </w:rPr>
        <w:t>4.3.2 预测时段</w:t>
      </w:r>
    </w:p>
    <w:p>
      <w:pPr>
        <w:pStyle w:val="56"/>
        <w:ind w:firstLine="480"/>
        <w:rPr>
          <w:color w:val="auto"/>
          <w:highlight w:val="none"/>
        </w:rPr>
      </w:pPr>
      <w:r>
        <w:rPr>
          <w:color w:val="auto"/>
          <w:highlight w:val="none"/>
        </w:rPr>
        <w:t>本工程属于建设类项目，根据《生产建设项目水土保持技术标准》（GB 50433-2018），水土流失预测时段按施工期（包括施工准备期）、自然恢复期两个时段进行。</w:t>
      </w:r>
    </w:p>
    <w:p>
      <w:pPr>
        <w:pStyle w:val="56"/>
        <w:ind w:firstLine="480"/>
        <w:rPr>
          <w:color w:val="auto"/>
          <w:highlight w:val="none"/>
        </w:rPr>
      </w:pPr>
      <w:r>
        <w:rPr>
          <w:color w:val="auto"/>
          <w:highlight w:val="none"/>
        </w:rPr>
        <w:t>（1）施工期（包括施工准备期）</w:t>
      </w:r>
    </w:p>
    <w:p>
      <w:pPr>
        <w:pStyle w:val="56"/>
        <w:ind w:firstLine="480"/>
        <w:rPr>
          <w:color w:val="auto"/>
          <w:highlight w:val="none"/>
        </w:rPr>
      </w:pPr>
      <w:r>
        <w:rPr>
          <w:color w:val="auto"/>
          <w:highlight w:val="none"/>
        </w:rPr>
        <w:t>考虑到本项目工期短，因此施工准备期不单独预测，在施工期间，工程建设相对比较集中，建筑物基础、管沟开挖回填等土石方挖填活动，绿化区、道路及硬化区车辆来回碾压，机械平整、压实等破坏了项目区原有地貌和植被，扰动了土体结构，致使土体抗蚀能力降低，水土流失加剧。本工程施工期为2020年</w:t>
      </w:r>
      <w:r>
        <w:rPr>
          <w:rFonts w:hint="eastAsia"/>
          <w:color w:val="auto"/>
          <w:highlight w:val="none"/>
          <w:lang w:val="en-US" w:eastAsia="zh-CN"/>
        </w:rPr>
        <w:t>4</w:t>
      </w:r>
      <w:r>
        <w:rPr>
          <w:color w:val="auto"/>
          <w:highlight w:val="none"/>
        </w:rPr>
        <w:t>月～2021年</w:t>
      </w:r>
      <w:r>
        <w:rPr>
          <w:rFonts w:hint="eastAsia"/>
          <w:color w:val="auto"/>
          <w:highlight w:val="none"/>
          <w:lang w:val="en-US" w:eastAsia="zh-CN"/>
        </w:rPr>
        <w:t>10</w:t>
      </w:r>
      <w:r>
        <w:rPr>
          <w:color w:val="auto"/>
          <w:highlight w:val="none"/>
        </w:rPr>
        <w:t>月。</w:t>
      </w:r>
    </w:p>
    <w:p>
      <w:pPr>
        <w:pStyle w:val="56"/>
        <w:ind w:firstLine="480"/>
        <w:rPr>
          <w:color w:val="auto"/>
          <w:highlight w:val="none"/>
        </w:rPr>
      </w:pPr>
      <w:r>
        <w:rPr>
          <w:color w:val="auto"/>
          <w:highlight w:val="none"/>
        </w:rPr>
        <w:t>由于本项目各防治区的施工时间不一，其发生水土流失的特点也不尽相同，因此根据各预测单元施工可能产生水土流失的时间，考虑最不利因素确定各预测单元的预测时段，超过雨季风季（项目区每年雨季风季为4月-9月）长度的按一年计算，不超过的按占4月-9月长度的比例加上未在4月-9月施工的时段占一年12个月的比例之和进行计算。</w:t>
      </w:r>
    </w:p>
    <w:p>
      <w:pPr>
        <w:pStyle w:val="56"/>
        <w:ind w:firstLine="480"/>
        <w:rPr>
          <w:color w:val="auto"/>
          <w:highlight w:val="none"/>
        </w:rPr>
      </w:pPr>
      <w:r>
        <w:rPr>
          <w:color w:val="auto"/>
          <w:highlight w:val="none"/>
        </w:rPr>
        <w:t>（2）自然恢复期</w:t>
      </w:r>
    </w:p>
    <w:p>
      <w:pPr>
        <w:pStyle w:val="56"/>
        <w:ind w:firstLine="480"/>
        <w:rPr>
          <w:color w:val="auto"/>
          <w:highlight w:val="none"/>
        </w:rPr>
      </w:pPr>
      <w:r>
        <w:rPr>
          <w:color w:val="auto"/>
          <w:highlight w:val="none"/>
        </w:rPr>
        <w:t>自然恢复期是指各单元施工结束后未采取水土保持措施条件下，松散裸露面逐步趋于稳定、植被自然恢复或在干旱、沙漠地区形成地表结皮，土壤侵蚀强度减弱并接近原背景值所需的时间。根据项目区自然环境条件，确定本工程各预测单元的自然恢复期水土流失预测时段为3-5年，考虑到项目区属典型的冲洪积平原区，项目区土壤条件差，因此本项目自然恢复期考虑为5年。各单元单项工程完工后，进入自然恢复期。</w:t>
      </w:r>
    </w:p>
    <w:p>
      <w:pPr>
        <w:pStyle w:val="56"/>
        <w:ind w:firstLine="480"/>
        <w:rPr>
          <w:color w:val="auto"/>
          <w:highlight w:val="none"/>
        </w:rPr>
      </w:pPr>
      <w:r>
        <w:rPr>
          <w:color w:val="auto"/>
          <w:highlight w:val="none"/>
        </w:rPr>
        <w:t>本工程水土流失预测的时段具体见表4.3-2。</w:t>
      </w:r>
    </w:p>
    <w:p>
      <w:pPr>
        <w:pStyle w:val="75"/>
        <w:rPr>
          <w:color w:val="auto"/>
          <w:highlight w:val="none"/>
        </w:rPr>
      </w:pPr>
      <w:r>
        <w:rPr>
          <w:color w:val="auto"/>
          <w:highlight w:val="none"/>
        </w:rPr>
        <w:t>表4.3-2    工程水土流失预测时段表    单位：年</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78"/>
        <w:gridCol w:w="3279"/>
        <w:gridCol w:w="26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754" w:type="pct"/>
            <w:vMerge w:val="restart"/>
            <w:shd w:val="clear" w:color="auto" w:fill="auto"/>
            <w:vAlign w:val="center"/>
          </w:tcPr>
          <w:p>
            <w:pPr>
              <w:pStyle w:val="84"/>
              <w:rPr>
                <w:color w:val="auto"/>
                <w:szCs w:val="20"/>
                <w:highlight w:val="none"/>
              </w:rPr>
            </w:pPr>
            <w:r>
              <w:rPr>
                <w:color w:val="auto"/>
                <w:highlight w:val="none"/>
              </w:rPr>
              <w:t>防治分区</w:t>
            </w:r>
          </w:p>
        </w:tc>
        <w:tc>
          <w:tcPr>
            <w:tcW w:w="3245" w:type="pct"/>
            <w:gridSpan w:val="2"/>
            <w:shd w:val="clear" w:color="auto" w:fill="auto"/>
            <w:vAlign w:val="center"/>
          </w:tcPr>
          <w:p>
            <w:pPr>
              <w:pStyle w:val="84"/>
              <w:rPr>
                <w:color w:val="auto"/>
                <w:szCs w:val="20"/>
                <w:highlight w:val="none"/>
              </w:rPr>
            </w:pPr>
            <w:r>
              <w:rPr>
                <w:color w:val="auto"/>
                <w:highlight w:val="none"/>
              </w:rPr>
              <w:t>流失时段(a)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754" w:type="pct"/>
            <w:vMerge w:val="continue"/>
            <w:vAlign w:val="center"/>
          </w:tcPr>
          <w:p>
            <w:pPr>
              <w:pStyle w:val="84"/>
              <w:rPr>
                <w:color w:val="auto"/>
                <w:szCs w:val="20"/>
                <w:highlight w:val="none"/>
              </w:rPr>
            </w:pPr>
          </w:p>
        </w:tc>
        <w:tc>
          <w:tcPr>
            <w:tcW w:w="1809" w:type="pct"/>
            <w:shd w:val="clear" w:color="auto" w:fill="auto"/>
            <w:vAlign w:val="center"/>
          </w:tcPr>
          <w:p>
            <w:pPr>
              <w:pStyle w:val="84"/>
              <w:rPr>
                <w:color w:val="auto"/>
                <w:szCs w:val="20"/>
                <w:highlight w:val="none"/>
              </w:rPr>
            </w:pPr>
            <w:r>
              <w:rPr>
                <w:color w:val="auto"/>
                <w:highlight w:val="none"/>
              </w:rPr>
              <w:t>施工期（包括施工准备期）</w:t>
            </w:r>
          </w:p>
        </w:tc>
        <w:tc>
          <w:tcPr>
            <w:tcW w:w="1435" w:type="pct"/>
            <w:shd w:val="clear" w:color="auto" w:fill="auto"/>
            <w:vAlign w:val="center"/>
          </w:tcPr>
          <w:p>
            <w:pPr>
              <w:pStyle w:val="84"/>
              <w:rPr>
                <w:color w:val="auto"/>
                <w:szCs w:val="20"/>
                <w:highlight w:val="none"/>
              </w:rPr>
            </w:pPr>
            <w:r>
              <w:rPr>
                <w:color w:val="auto"/>
                <w:highlight w:val="none"/>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754" w:type="pct"/>
            <w:shd w:val="clear" w:color="auto" w:fill="auto"/>
            <w:vAlign w:val="center"/>
          </w:tcPr>
          <w:p>
            <w:pPr>
              <w:pStyle w:val="84"/>
              <w:rPr>
                <w:color w:val="auto"/>
                <w:highlight w:val="none"/>
              </w:rPr>
            </w:pPr>
            <w:r>
              <w:rPr>
                <w:color w:val="auto"/>
                <w:highlight w:val="none"/>
              </w:rPr>
              <w:t>建构筑物区</w:t>
            </w:r>
          </w:p>
        </w:tc>
        <w:tc>
          <w:tcPr>
            <w:tcW w:w="1809" w:type="pct"/>
            <w:shd w:val="clear" w:color="auto" w:fill="auto"/>
            <w:vAlign w:val="center"/>
          </w:tcPr>
          <w:p>
            <w:pPr>
              <w:pStyle w:val="84"/>
              <w:rPr>
                <w:rFonts w:hint="default" w:eastAsia="仿宋_GB2312"/>
                <w:color w:val="auto"/>
                <w:highlight w:val="none"/>
                <w:lang w:val="en-US" w:eastAsia="zh-CN"/>
              </w:rPr>
            </w:pPr>
            <w:r>
              <w:rPr>
                <w:rFonts w:hint="eastAsia"/>
                <w:color w:val="auto"/>
                <w:highlight w:val="none"/>
                <w:lang w:val="en-US" w:eastAsia="zh-CN"/>
              </w:rPr>
              <w:t>1.67</w:t>
            </w:r>
          </w:p>
        </w:tc>
        <w:tc>
          <w:tcPr>
            <w:tcW w:w="1435" w:type="pct"/>
            <w:shd w:val="clear" w:color="auto" w:fill="auto"/>
            <w:vAlign w:val="center"/>
          </w:tcPr>
          <w:p>
            <w:pPr>
              <w:pStyle w:val="84"/>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754" w:type="pct"/>
            <w:shd w:val="clear" w:color="auto" w:fill="auto"/>
            <w:vAlign w:val="center"/>
          </w:tcPr>
          <w:p>
            <w:pPr>
              <w:pStyle w:val="84"/>
              <w:rPr>
                <w:color w:val="auto"/>
                <w:highlight w:val="none"/>
              </w:rPr>
            </w:pPr>
            <w:r>
              <w:rPr>
                <w:color w:val="auto"/>
                <w:highlight w:val="none"/>
              </w:rPr>
              <w:t>绿化区</w:t>
            </w:r>
          </w:p>
        </w:tc>
        <w:tc>
          <w:tcPr>
            <w:tcW w:w="1809" w:type="pct"/>
            <w:shd w:val="clear" w:color="auto" w:fill="auto"/>
            <w:vAlign w:val="center"/>
          </w:tcPr>
          <w:p>
            <w:pPr>
              <w:pStyle w:val="84"/>
              <w:rPr>
                <w:color w:val="auto"/>
                <w:highlight w:val="none"/>
              </w:rPr>
            </w:pPr>
            <w:r>
              <w:rPr>
                <w:rFonts w:hint="eastAsia"/>
                <w:color w:val="auto"/>
                <w:highlight w:val="none"/>
                <w:lang w:val="en-US" w:eastAsia="zh-CN"/>
              </w:rPr>
              <w:t>2.00</w:t>
            </w:r>
            <w:r>
              <w:rPr>
                <w:color w:val="auto"/>
                <w:highlight w:val="none"/>
              </w:rPr>
              <w:t xml:space="preserve"> </w:t>
            </w:r>
          </w:p>
        </w:tc>
        <w:tc>
          <w:tcPr>
            <w:tcW w:w="1435" w:type="pct"/>
            <w:shd w:val="clear" w:color="auto" w:fill="auto"/>
            <w:vAlign w:val="center"/>
          </w:tcPr>
          <w:p>
            <w:pPr>
              <w:pStyle w:val="84"/>
              <w:rPr>
                <w:color w:val="auto"/>
                <w:highlight w:val="none"/>
              </w:rPr>
            </w:pPr>
            <w:r>
              <w:rPr>
                <w:color w:val="auto"/>
                <w:highlight w:val="none"/>
              </w:rPr>
              <w:t xml:space="preserve">5.00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754" w:type="pct"/>
            <w:shd w:val="clear" w:color="auto" w:fill="auto"/>
            <w:vAlign w:val="center"/>
          </w:tcPr>
          <w:p>
            <w:pPr>
              <w:pStyle w:val="84"/>
              <w:rPr>
                <w:color w:val="auto"/>
                <w:highlight w:val="none"/>
              </w:rPr>
            </w:pPr>
            <w:r>
              <w:rPr>
                <w:color w:val="auto"/>
                <w:highlight w:val="none"/>
              </w:rPr>
              <w:t>道路及硬化区</w:t>
            </w:r>
          </w:p>
        </w:tc>
        <w:tc>
          <w:tcPr>
            <w:tcW w:w="1809" w:type="pct"/>
            <w:shd w:val="clear" w:color="auto" w:fill="auto"/>
            <w:vAlign w:val="center"/>
          </w:tcPr>
          <w:p>
            <w:pPr>
              <w:pStyle w:val="84"/>
              <w:rPr>
                <w:rFonts w:hint="default" w:eastAsia="仿宋_GB2312"/>
                <w:color w:val="auto"/>
                <w:highlight w:val="none"/>
                <w:lang w:val="en-US" w:eastAsia="zh-CN"/>
              </w:rPr>
            </w:pPr>
            <w:r>
              <w:rPr>
                <w:rFonts w:hint="eastAsia"/>
                <w:color w:val="auto"/>
                <w:highlight w:val="none"/>
                <w:lang w:val="en-US" w:eastAsia="zh-CN"/>
              </w:rPr>
              <w:t>2.00</w:t>
            </w:r>
          </w:p>
        </w:tc>
        <w:tc>
          <w:tcPr>
            <w:tcW w:w="1435" w:type="pct"/>
            <w:shd w:val="clear" w:color="auto" w:fill="auto"/>
            <w:vAlign w:val="center"/>
          </w:tcPr>
          <w:p>
            <w:pPr>
              <w:pStyle w:val="84"/>
              <w:rPr>
                <w:color w:val="auto"/>
                <w:highlight w:val="none"/>
              </w:rPr>
            </w:pPr>
            <w:r>
              <w:rPr>
                <w:color w:val="auto"/>
                <w:highlight w:val="none"/>
              </w:rPr>
              <w:t xml:space="preserve">5.00 </w:t>
            </w:r>
          </w:p>
        </w:tc>
      </w:tr>
    </w:tbl>
    <w:p>
      <w:pPr>
        <w:pStyle w:val="56"/>
        <w:spacing w:line="240" w:lineRule="auto"/>
        <w:ind w:firstLine="0" w:firstLineChars="0"/>
        <w:rPr>
          <w:color w:val="auto"/>
          <w:sz w:val="22"/>
          <w:highlight w:val="none"/>
        </w:rPr>
      </w:pPr>
      <w:r>
        <w:rPr>
          <w:color w:val="auto"/>
          <w:sz w:val="22"/>
          <w:highlight w:val="none"/>
        </w:rPr>
        <w:t>注：本项目管线工程区和施工生产区占地中的重复占地，水土流失预测时重复占地面积均纳入道路及硬化区内，不再重复计列。</w:t>
      </w:r>
    </w:p>
    <w:p>
      <w:pPr>
        <w:pStyle w:val="69"/>
        <w:spacing w:before="120" w:beforeLines="50"/>
        <w:rPr>
          <w:color w:val="auto"/>
          <w:highlight w:val="none"/>
        </w:rPr>
      </w:pPr>
      <w:r>
        <w:rPr>
          <w:color w:val="auto"/>
          <w:highlight w:val="none"/>
        </w:rPr>
        <w:t>4.3.3 土壤侵蚀模数</w:t>
      </w:r>
    </w:p>
    <w:p>
      <w:pPr>
        <w:pStyle w:val="72"/>
        <w:rPr>
          <w:color w:val="auto"/>
          <w:highlight w:val="none"/>
        </w:rPr>
      </w:pPr>
      <w:r>
        <w:rPr>
          <w:color w:val="auto"/>
          <w:highlight w:val="none"/>
        </w:rPr>
        <w:t>4.3.3.1 扰动前（原地貌）土壤侵蚀模数</w:t>
      </w:r>
    </w:p>
    <w:p>
      <w:pPr>
        <w:pStyle w:val="56"/>
        <w:ind w:firstLine="480"/>
        <w:rPr>
          <w:color w:val="auto"/>
          <w:highlight w:val="none"/>
        </w:rPr>
      </w:pPr>
      <w:r>
        <w:rPr>
          <w:color w:val="auto"/>
          <w:highlight w:val="none"/>
        </w:rPr>
        <w:t>根据工程区踏勘、测量及综合分析，确定本工程区的气象、地表组成、植被覆盖度等自然环境状况，结合全疆2018年动态监测成果，确定项目区在原地表稳定层未破坏的条件下，原生地表土壤侵蚀强度属于轻度风蚀、微度水蚀；根据《土壤侵蚀分类分级标准》（SL190-2007），最终确定项目区的原生地貌土壤侵蚀模数为1000/km²</w:t>
      </w:r>
      <w:r>
        <w:rPr>
          <w:rFonts w:eastAsia="MS Mincho"/>
          <w:color w:val="auto"/>
          <w:highlight w:val="none"/>
        </w:rPr>
        <w:t>・</w:t>
      </w:r>
      <w:r>
        <w:rPr>
          <w:color w:val="auto"/>
          <w:highlight w:val="none"/>
        </w:rPr>
        <w:t>a。同时根据项目区所属的水土流失类型、项目区的实际情况，确定工程区土壤容许流失量1000t/（km²·a）。</w:t>
      </w:r>
    </w:p>
    <w:p>
      <w:pPr>
        <w:pStyle w:val="72"/>
        <w:rPr>
          <w:color w:val="auto"/>
          <w:highlight w:val="none"/>
        </w:rPr>
      </w:pPr>
      <w:r>
        <w:rPr>
          <w:color w:val="auto"/>
          <w:highlight w:val="none"/>
        </w:rPr>
        <w:t>4.3.3.2 施工扰动后土壤侵蚀模数</w:t>
      </w:r>
    </w:p>
    <w:p>
      <w:pPr>
        <w:pStyle w:val="56"/>
        <w:ind w:firstLine="480"/>
        <w:rPr>
          <w:color w:val="auto"/>
          <w:highlight w:val="none"/>
        </w:rPr>
      </w:pPr>
      <w:r>
        <w:rPr>
          <w:color w:val="auto"/>
          <w:highlight w:val="none"/>
        </w:rPr>
        <w:t>工程建设过程中水土流失受气象、水文、土壤和原有地形地貌、植被影响因素外，还受施工组织、施工工艺及进度等因素影响。按照《生产建设项目水土保持技术标准》（GB50433-2018）要求，根据本项目性质及所在区域，本方案根据收集资料的完整性及水土流失成因相似性的原则，将选择选择“新疆金龙水泥有限公司技改二期4000t/d熟料新型干法水泥生产线”作为本项目的类比工程，该工程位于新疆伊犁察布查尔锡伯自治县237省道（伊昭公路）32公里东侧300m处。离本项目区直线距离</w:t>
      </w:r>
      <w:r>
        <w:rPr>
          <w:rFonts w:hint="eastAsia"/>
          <w:color w:val="auto"/>
          <w:highlight w:val="none"/>
          <w:lang w:val="en-US" w:eastAsia="zh-CN"/>
        </w:rPr>
        <w:t>33.47</w:t>
      </w:r>
      <w:r>
        <w:rPr>
          <w:color w:val="auto"/>
          <w:highlight w:val="none"/>
        </w:rPr>
        <w:t>km左右。该工程已竣工有比较全面的水土保持监测资料，并且该工程与本项目在气候、土壤、地形地貌、施工工艺、土壤侵蚀类型、侵蚀强度、水土保持状况等方面的情况较相似，其很多水土流失防治经验值得本项目借鉴，可作为本项目的类比工程，详情见表4.3-3。</w:t>
      </w:r>
    </w:p>
    <w:p>
      <w:pPr>
        <w:pStyle w:val="75"/>
        <w:ind w:firstLine="480"/>
        <w:rPr>
          <w:color w:val="auto"/>
          <w:highlight w:val="none"/>
        </w:rPr>
      </w:pPr>
      <w:r>
        <w:rPr>
          <w:color w:val="auto"/>
          <w:highlight w:val="none"/>
        </w:rPr>
        <w:t>表4.3-3      类比工程土壤侵蚀因素对比表</w:t>
      </w:r>
    </w:p>
    <w:tbl>
      <w:tblPr>
        <w:tblStyle w:val="27"/>
        <w:tblW w:w="88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63"/>
        <w:gridCol w:w="3117"/>
        <w:gridCol w:w="4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8" w:hRule="exact"/>
          <w:tblHeader/>
          <w:jc w:val="center"/>
        </w:trPr>
        <w:tc>
          <w:tcPr>
            <w:tcW w:w="1563" w:type="dxa"/>
            <w:vAlign w:val="center"/>
          </w:tcPr>
          <w:p>
            <w:pPr>
              <w:pStyle w:val="84"/>
              <w:rPr>
                <w:color w:val="auto"/>
                <w:highlight w:val="none"/>
              </w:rPr>
            </w:pPr>
            <w:r>
              <w:rPr>
                <w:color w:val="auto"/>
                <w:highlight w:val="none"/>
              </w:rPr>
              <w:t>项目类别</w:t>
            </w:r>
          </w:p>
        </w:tc>
        <w:tc>
          <w:tcPr>
            <w:tcW w:w="3117" w:type="dxa"/>
            <w:vAlign w:val="center"/>
          </w:tcPr>
          <w:p>
            <w:pPr>
              <w:pStyle w:val="84"/>
              <w:rPr>
                <w:color w:val="auto"/>
                <w:highlight w:val="none"/>
              </w:rPr>
            </w:pPr>
            <w:r>
              <w:rPr>
                <w:color w:val="auto"/>
                <w:highlight w:val="none"/>
              </w:rPr>
              <w:t>本项目</w:t>
            </w:r>
          </w:p>
        </w:tc>
        <w:tc>
          <w:tcPr>
            <w:tcW w:w="4167" w:type="dxa"/>
            <w:vAlign w:val="center"/>
          </w:tcPr>
          <w:p>
            <w:pPr>
              <w:pStyle w:val="84"/>
              <w:rPr>
                <w:color w:val="auto"/>
                <w:highlight w:val="none"/>
              </w:rPr>
            </w:pPr>
            <w:r>
              <w:rPr>
                <w:color w:val="auto"/>
                <w:highlight w:val="none"/>
              </w:rPr>
              <w:t>类比项目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8" w:hRule="exact"/>
          <w:tblHeader/>
          <w:jc w:val="center"/>
        </w:trPr>
        <w:tc>
          <w:tcPr>
            <w:tcW w:w="1563" w:type="dxa"/>
            <w:vAlign w:val="center"/>
          </w:tcPr>
          <w:p>
            <w:pPr>
              <w:pStyle w:val="84"/>
              <w:rPr>
                <w:color w:val="auto"/>
                <w:highlight w:val="none"/>
              </w:rPr>
            </w:pPr>
            <w:r>
              <w:rPr>
                <w:color w:val="auto"/>
                <w:highlight w:val="none"/>
              </w:rPr>
              <w:t>项目名称</w:t>
            </w:r>
          </w:p>
        </w:tc>
        <w:tc>
          <w:tcPr>
            <w:tcW w:w="3117" w:type="dxa"/>
            <w:vAlign w:val="center"/>
          </w:tcPr>
          <w:p>
            <w:pPr>
              <w:pStyle w:val="84"/>
              <w:rPr>
                <w:color w:val="auto"/>
                <w:highlight w:val="none"/>
              </w:rPr>
            </w:pPr>
            <w:r>
              <w:rPr>
                <w:rFonts w:hint="eastAsia"/>
                <w:color w:val="auto"/>
                <w:highlight w:val="none"/>
                <w:lang w:eastAsia="zh-CN"/>
              </w:rPr>
              <w:t>伊宁县书香·雅居</w:t>
            </w:r>
            <w:r>
              <w:rPr>
                <w:color w:val="auto"/>
                <w:highlight w:val="none"/>
              </w:rPr>
              <w:t>建设项目</w:t>
            </w:r>
          </w:p>
        </w:tc>
        <w:tc>
          <w:tcPr>
            <w:tcW w:w="4167" w:type="dxa"/>
            <w:vAlign w:val="center"/>
          </w:tcPr>
          <w:p>
            <w:pPr>
              <w:pStyle w:val="84"/>
              <w:rPr>
                <w:color w:val="auto"/>
                <w:highlight w:val="none"/>
              </w:rPr>
            </w:pPr>
            <w:r>
              <w:rPr>
                <w:color w:val="auto"/>
                <w:highlight w:val="none"/>
              </w:rPr>
              <w:t>新疆金龙水泥有限公司技改二期 4000t/d 熟料新型干法水泥生产线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7" w:hRule="exact"/>
          <w:tblHeader/>
          <w:jc w:val="center"/>
        </w:trPr>
        <w:tc>
          <w:tcPr>
            <w:tcW w:w="1563" w:type="dxa"/>
            <w:vAlign w:val="center"/>
          </w:tcPr>
          <w:p>
            <w:pPr>
              <w:pStyle w:val="84"/>
              <w:rPr>
                <w:color w:val="auto"/>
                <w:highlight w:val="none"/>
              </w:rPr>
            </w:pPr>
            <w:r>
              <w:rPr>
                <w:color w:val="auto"/>
                <w:highlight w:val="none"/>
              </w:rPr>
              <w:t>地理位置</w:t>
            </w:r>
          </w:p>
        </w:tc>
        <w:tc>
          <w:tcPr>
            <w:tcW w:w="3117" w:type="dxa"/>
            <w:vAlign w:val="center"/>
          </w:tcPr>
          <w:p>
            <w:pPr>
              <w:pStyle w:val="84"/>
              <w:rPr>
                <w:color w:val="auto"/>
                <w:highlight w:val="none"/>
              </w:rPr>
            </w:pPr>
            <w:r>
              <w:rPr>
                <w:color w:val="auto"/>
                <w:highlight w:val="none"/>
              </w:rPr>
              <w:t>伊犁州</w:t>
            </w:r>
            <w:r>
              <w:rPr>
                <w:rFonts w:hint="eastAsia"/>
                <w:color w:val="auto"/>
                <w:highlight w:val="none"/>
                <w:lang w:eastAsia="zh-CN"/>
              </w:rPr>
              <w:t>伊宁</w:t>
            </w:r>
            <w:r>
              <w:rPr>
                <w:color w:val="auto"/>
                <w:highlight w:val="none"/>
              </w:rPr>
              <w:t>县</w:t>
            </w:r>
          </w:p>
        </w:tc>
        <w:tc>
          <w:tcPr>
            <w:tcW w:w="4167" w:type="dxa"/>
            <w:vAlign w:val="center"/>
          </w:tcPr>
          <w:p>
            <w:pPr>
              <w:pStyle w:val="84"/>
              <w:rPr>
                <w:color w:val="auto"/>
                <w:highlight w:val="none"/>
              </w:rPr>
            </w:pPr>
            <w:r>
              <w:rPr>
                <w:color w:val="auto"/>
                <w:highlight w:val="none"/>
              </w:rPr>
              <w:t>察布查尔锡伯自治县237省道（伊昭公路）32公里东侧300m处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exact"/>
          <w:tblHeader/>
          <w:jc w:val="center"/>
        </w:trPr>
        <w:tc>
          <w:tcPr>
            <w:tcW w:w="1563" w:type="dxa"/>
            <w:vAlign w:val="center"/>
          </w:tcPr>
          <w:p>
            <w:pPr>
              <w:pStyle w:val="84"/>
              <w:rPr>
                <w:color w:val="auto"/>
                <w:highlight w:val="none"/>
              </w:rPr>
            </w:pPr>
            <w:r>
              <w:rPr>
                <w:color w:val="auto"/>
                <w:highlight w:val="none"/>
              </w:rPr>
              <w:t>地形地貌</w:t>
            </w:r>
          </w:p>
        </w:tc>
        <w:tc>
          <w:tcPr>
            <w:tcW w:w="3117" w:type="dxa"/>
            <w:vAlign w:val="center"/>
          </w:tcPr>
          <w:p>
            <w:pPr>
              <w:pStyle w:val="84"/>
              <w:rPr>
                <w:color w:val="auto"/>
                <w:highlight w:val="none"/>
              </w:rPr>
            </w:pPr>
            <w:r>
              <w:rPr>
                <w:color w:val="auto"/>
                <w:highlight w:val="none"/>
              </w:rPr>
              <w:t>冲洪积平原区</w:t>
            </w:r>
          </w:p>
        </w:tc>
        <w:tc>
          <w:tcPr>
            <w:tcW w:w="4167" w:type="dxa"/>
            <w:vAlign w:val="center"/>
          </w:tcPr>
          <w:p>
            <w:pPr>
              <w:pStyle w:val="84"/>
              <w:rPr>
                <w:color w:val="auto"/>
                <w:highlight w:val="none"/>
              </w:rPr>
            </w:pPr>
            <w:r>
              <w:rPr>
                <w:color w:val="auto"/>
                <w:highlight w:val="none"/>
              </w:rPr>
              <w:t>冲积平原地带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0" w:hRule="exact"/>
          <w:tblHeader/>
          <w:jc w:val="center"/>
        </w:trPr>
        <w:tc>
          <w:tcPr>
            <w:tcW w:w="1563" w:type="dxa"/>
            <w:vAlign w:val="center"/>
          </w:tcPr>
          <w:p>
            <w:pPr>
              <w:pStyle w:val="84"/>
              <w:rPr>
                <w:color w:val="auto"/>
                <w:highlight w:val="none"/>
              </w:rPr>
            </w:pPr>
            <w:r>
              <w:rPr>
                <w:color w:val="auto"/>
                <w:highlight w:val="none"/>
              </w:rPr>
              <w:t>土壤条件</w:t>
            </w:r>
          </w:p>
        </w:tc>
        <w:tc>
          <w:tcPr>
            <w:tcW w:w="3117" w:type="dxa"/>
            <w:vAlign w:val="center"/>
          </w:tcPr>
          <w:p>
            <w:pPr>
              <w:pStyle w:val="84"/>
              <w:rPr>
                <w:color w:val="auto"/>
                <w:highlight w:val="none"/>
              </w:rPr>
            </w:pPr>
            <w:r>
              <w:rPr>
                <w:color w:val="auto"/>
                <w:highlight w:val="none"/>
              </w:rPr>
              <w:t>以灰钙土为主</w:t>
            </w:r>
          </w:p>
        </w:tc>
        <w:tc>
          <w:tcPr>
            <w:tcW w:w="4167" w:type="dxa"/>
            <w:vAlign w:val="center"/>
          </w:tcPr>
          <w:p>
            <w:pPr>
              <w:pStyle w:val="84"/>
              <w:rPr>
                <w:color w:val="auto"/>
                <w:highlight w:val="none"/>
              </w:rPr>
            </w:pPr>
            <w:r>
              <w:rPr>
                <w:color w:val="auto"/>
                <w:highlight w:val="none"/>
              </w:rPr>
              <w:t>主要为灰钙土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exact"/>
          <w:tblHeader/>
          <w:jc w:val="center"/>
        </w:trPr>
        <w:tc>
          <w:tcPr>
            <w:tcW w:w="1563" w:type="dxa"/>
            <w:vAlign w:val="center"/>
          </w:tcPr>
          <w:p>
            <w:pPr>
              <w:pStyle w:val="84"/>
              <w:rPr>
                <w:color w:val="auto"/>
                <w:highlight w:val="none"/>
              </w:rPr>
            </w:pPr>
            <w:r>
              <w:rPr>
                <w:color w:val="auto"/>
                <w:highlight w:val="none"/>
              </w:rPr>
              <w:t>植被情况</w:t>
            </w:r>
          </w:p>
        </w:tc>
        <w:tc>
          <w:tcPr>
            <w:tcW w:w="3117" w:type="dxa"/>
            <w:vAlign w:val="center"/>
          </w:tcPr>
          <w:p>
            <w:pPr>
              <w:pStyle w:val="84"/>
              <w:rPr>
                <w:color w:val="auto"/>
                <w:highlight w:val="none"/>
              </w:rPr>
            </w:pPr>
            <w:r>
              <w:rPr>
                <w:color w:val="auto"/>
                <w:highlight w:val="none"/>
              </w:rPr>
              <w:t>荒漠植被，</w:t>
            </w:r>
            <w:r>
              <w:rPr>
                <w:rFonts w:hint="eastAsia"/>
                <w:color w:val="auto"/>
                <w:highlight w:val="none"/>
                <w:lang w:eastAsia="zh-CN"/>
              </w:rPr>
              <w:t>植被覆盖度20%</w:t>
            </w:r>
            <w:r>
              <w:rPr>
                <w:color w:val="auto"/>
                <w:highlight w:val="none"/>
              </w:rPr>
              <w:t>左右</w:t>
            </w:r>
          </w:p>
        </w:tc>
        <w:tc>
          <w:tcPr>
            <w:tcW w:w="4167" w:type="dxa"/>
            <w:vAlign w:val="center"/>
          </w:tcPr>
          <w:p>
            <w:pPr>
              <w:pStyle w:val="84"/>
              <w:rPr>
                <w:color w:val="auto"/>
                <w:highlight w:val="none"/>
              </w:rPr>
            </w:pPr>
            <w:r>
              <w:rPr>
                <w:color w:val="auto"/>
                <w:highlight w:val="none"/>
              </w:rPr>
              <w:t>半荒漠植被，植被覆盖率为20%左右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4" w:hRule="exact"/>
          <w:tblHeader/>
          <w:jc w:val="center"/>
        </w:trPr>
        <w:tc>
          <w:tcPr>
            <w:tcW w:w="1563" w:type="dxa"/>
            <w:vAlign w:val="center"/>
          </w:tcPr>
          <w:p>
            <w:pPr>
              <w:pStyle w:val="84"/>
              <w:rPr>
                <w:color w:val="auto"/>
                <w:highlight w:val="none"/>
              </w:rPr>
            </w:pPr>
            <w:r>
              <w:rPr>
                <w:color w:val="auto"/>
                <w:highlight w:val="none"/>
              </w:rPr>
              <w:t>土壤侵蚀强度</w:t>
            </w:r>
          </w:p>
        </w:tc>
        <w:tc>
          <w:tcPr>
            <w:tcW w:w="3117" w:type="dxa"/>
            <w:vAlign w:val="center"/>
          </w:tcPr>
          <w:p>
            <w:pPr>
              <w:pStyle w:val="84"/>
              <w:rPr>
                <w:color w:val="auto"/>
                <w:highlight w:val="none"/>
              </w:rPr>
            </w:pPr>
            <w:r>
              <w:rPr>
                <w:color w:val="auto"/>
                <w:highlight w:val="none"/>
              </w:rPr>
              <w:t>轻度风力微度水力侵蚀，风力侵蚀为主</w:t>
            </w:r>
          </w:p>
        </w:tc>
        <w:tc>
          <w:tcPr>
            <w:tcW w:w="4167" w:type="dxa"/>
            <w:vAlign w:val="center"/>
          </w:tcPr>
          <w:p>
            <w:pPr>
              <w:pStyle w:val="84"/>
              <w:rPr>
                <w:color w:val="auto"/>
                <w:highlight w:val="none"/>
              </w:rPr>
            </w:pPr>
            <w:r>
              <w:rPr>
                <w:color w:val="auto"/>
                <w:highlight w:val="none"/>
              </w:rPr>
              <w:t>轻度水蚀为主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exact"/>
          <w:tblHeader/>
          <w:jc w:val="center"/>
        </w:trPr>
        <w:tc>
          <w:tcPr>
            <w:tcW w:w="1563" w:type="dxa"/>
            <w:vAlign w:val="center"/>
          </w:tcPr>
          <w:p>
            <w:pPr>
              <w:pStyle w:val="84"/>
              <w:rPr>
                <w:color w:val="auto"/>
                <w:highlight w:val="none"/>
              </w:rPr>
            </w:pPr>
            <w:r>
              <w:rPr>
                <w:color w:val="auto"/>
                <w:highlight w:val="none"/>
              </w:rPr>
              <w:t>年平均温度</w:t>
            </w:r>
          </w:p>
        </w:tc>
        <w:tc>
          <w:tcPr>
            <w:tcW w:w="3117" w:type="dxa"/>
            <w:vAlign w:val="center"/>
          </w:tcPr>
          <w:p>
            <w:pPr>
              <w:pStyle w:val="84"/>
              <w:rPr>
                <w:rFonts w:hint="eastAsia" w:eastAsia="仿宋_GB2312"/>
                <w:color w:val="auto"/>
                <w:highlight w:val="none"/>
                <w:lang w:eastAsia="zh-CN"/>
              </w:rPr>
            </w:pPr>
            <w:r>
              <w:rPr>
                <w:rFonts w:hint="eastAsia"/>
                <w:color w:val="auto"/>
                <w:highlight w:val="none"/>
                <w:lang w:eastAsia="zh-CN"/>
              </w:rPr>
              <w:t>10.4℃</w:t>
            </w:r>
          </w:p>
        </w:tc>
        <w:tc>
          <w:tcPr>
            <w:tcW w:w="4167" w:type="dxa"/>
            <w:vAlign w:val="center"/>
          </w:tcPr>
          <w:p>
            <w:pPr>
              <w:pStyle w:val="84"/>
              <w:rPr>
                <w:color w:val="auto"/>
                <w:highlight w:val="none"/>
              </w:rPr>
            </w:pPr>
            <w:r>
              <w:rPr>
                <w:color w:val="auto"/>
                <w:highlight w:val="none"/>
              </w:rPr>
              <w:t>8.5</w:t>
            </w:r>
            <w:r>
              <w:rPr>
                <w:rFonts w:hint="eastAsia" w:ascii="宋体" w:hAnsi="宋体" w:eastAsia="宋体" w:cs="宋体"/>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exact"/>
          <w:tblHeader/>
          <w:jc w:val="center"/>
        </w:trPr>
        <w:tc>
          <w:tcPr>
            <w:tcW w:w="1563" w:type="dxa"/>
            <w:vAlign w:val="center"/>
          </w:tcPr>
          <w:p>
            <w:pPr>
              <w:pStyle w:val="84"/>
              <w:rPr>
                <w:color w:val="auto"/>
                <w:highlight w:val="none"/>
              </w:rPr>
            </w:pPr>
            <w:r>
              <w:rPr>
                <w:color w:val="auto"/>
                <w:highlight w:val="none"/>
              </w:rPr>
              <w:t>年蒸发量</w:t>
            </w:r>
          </w:p>
        </w:tc>
        <w:tc>
          <w:tcPr>
            <w:tcW w:w="3117" w:type="dxa"/>
            <w:vAlign w:val="center"/>
          </w:tcPr>
          <w:p>
            <w:pPr>
              <w:pStyle w:val="84"/>
              <w:rPr>
                <w:color w:val="auto"/>
                <w:highlight w:val="none"/>
              </w:rPr>
            </w:pPr>
            <w:r>
              <w:rPr>
                <w:rFonts w:hint="eastAsia"/>
                <w:color w:val="auto"/>
                <w:highlight w:val="none"/>
                <w:lang w:eastAsia="zh-CN"/>
              </w:rPr>
              <w:t>942.2mm</w:t>
            </w:r>
          </w:p>
        </w:tc>
        <w:tc>
          <w:tcPr>
            <w:tcW w:w="4167" w:type="dxa"/>
            <w:vAlign w:val="center"/>
          </w:tcPr>
          <w:p>
            <w:pPr>
              <w:pStyle w:val="84"/>
              <w:rPr>
                <w:color w:val="auto"/>
                <w:highlight w:val="none"/>
              </w:rPr>
            </w:pPr>
            <w:r>
              <w:rPr>
                <w:color w:val="auto"/>
                <w:highlight w:val="none"/>
              </w:rPr>
              <w:t>1614.8mm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exact"/>
          <w:tblHeader/>
          <w:jc w:val="center"/>
        </w:trPr>
        <w:tc>
          <w:tcPr>
            <w:tcW w:w="1563" w:type="dxa"/>
            <w:vAlign w:val="center"/>
          </w:tcPr>
          <w:p>
            <w:pPr>
              <w:pStyle w:val="84"/>
              <w:rPr>
                <w:color w:val="auto"/>
                <w:highlight w:val="none"/>
              </w:rPr>
            </w:pPr>
            <w:r>
              <w:rPr>
                <w:color w:val="auto"/>
                <w:highlight w:val="none"/>
              </w:rPr>
              <w:t>年降水量</w:t>
            </w:r>
          </w:p>
        </w:tc>
        <w:tc>
          <w:tcPr>
            <w:tcW w:w="3117" w:type="dxa"/>
            <w:vAlign w:val="center"/>
          </w:tcPr>
          <w:p>
            <w:pPr>
              <w:pStyle w:val="84"/>
              <w:rPr>
                <w:color w:val="auto"/>
                <w:highlight w:val="none"/>
              </w:rPr>
            </w:pPr>
            <w:r>
              <w:rPr>
                <w:rFonts w:hint="eastAsia"/>
                <w:color w:val="auto"/>
                <w:highlight w:val="none"/>
                <w:lang w:val="en-US" w:eastAsia="zh-CN"/>
              </w:rPr>
              <w:t>309</w:t>
            </w:r>
            <w:r>
              <w:rPr>
                <w:color w:val="auto"/>
                <w:highlight w:val="none"/>
              </w:rPr>
              <w:t>mm</w:t>
            </w:r>
          </w:p>
        </w:tc>
        <w:tc>
          <w:tcPr>
            <w:tcW w:w="4167" w:type="dxa"/>
            <w:vAlign w:val="center"/>
          </w:tcPr>
          <w:p>
            <w:pPr>
              <w:pStyle w:val="84"/>
              <w:rPr>
                <w:color w:val="auto"/>
                <w:highlight w:val="none"/>
              </w:rPr>
            </w:pPr>
            <w:r>
              <w:rPr>
                <w:color w:val="auto"/>
                <w:highlight w:val="none"/>
              </w:rPr>
              <w:t>250mm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exact"/>
          <w:tblHeader/>
          <w:jc w:val="center"/>
        </w:trPr>
        <w:tc>
          <w:tcPr>
            <w:tcW w:w="1563" w:type="dxa"/>
            <w:vAlign w:val="center"/>
          </w:tcPr>
          <w:p>
            <w:pPr>
              <w:pStyle w:val="84"/>
              <w:rPr>
                <w:color w:val="auto"/>
                <w:highlight w:val="none"/>
              </w:rPr>
            </w:pPr>
            <w:r>
              <w:rPr>
                <w:color w:val="auto"/>
                <w:highlight w:val="none"/>
              </w:rPr>
              <w:t>平均风速</w:t>
            </w:r>
          </w:p>
        </w:tc>
        <w:tc>
          <w:tcPr>
            <w:tcW w:w="3117" w:type="dxa"/>
            <w:vAlign w:val="center"/>
          </w:tcPr>
          <w:p>
            <w:pPr>
              <w:pStyle w:val="84"/>
              <w:rPr>
                <w:rFonts w:hint="eastAsia" w:eastAsia="仿宋_GB2312"/>
                <w:color w:val="auto"/>
                <w:highlight w:val="none"/>
                <w:lang w:eastAsia="zh-CN"/>
              </w:rPr>
            </w:pPr>
            <w:r>
              <w:rPr>
                <w:rFonts w:hint="eastAsia"/>
                <w:color w:val="auto"/>
                <w:highlight w:val="none"/>
                <w:lang w:eastAsia="zh-CN"/>
              </w:rPr>
              <w:t>2m/s</w:t>
            </w:r>
          </w:p>
        </w:tc>
        <w:tc>
          <w:tcPr>
            <w:tcW w:w="4167" w:type="dxa"/>
            <w:vAlign w:val="center"/>
          </w:tcPr>
          <w:p>
            <w:pPr>
              <w:pStyle w:val="84"/>
              <w:rPr>
                <w:color w:val="auto"/>
                <w:highlight w:val="none"/>
              </w:rPr>
            </w:pPr>
            <w:r>
              <w:rPr>
                <w:color w:val="auto"/>
                <w:highlight w:val="none"/>
              </w:rPr>
              <w:t>2.55m/s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66" w:hRule="exact"/>
          <w:tblHeader/>
          <w:jc w:val="center"/>
        </w:trPr>
        <w:tc>
          <w:tcPr>
            <w:tcW w:w="1563" w:type="dxa"/>
            <w:vAlign w:val="center"/>
          </w:tcPr>
          <w:p>
            <w:pPr>
              <w:pStyle w:val="84"/>
              <w:rPr>
                <w:color w:val="auto"/>
                <w:highlight w:val="none"/>
              </w:rPr>
            </w:pPr>
            <w:r>
              <w:rPr>
                <w:color w:val="auto"/>
                <w:highlight w:val="none"/>
              </w:rPr>
              <w:t>项目建设产生水土流失特点</w:t>
            </w:r>
          </w:p>
        </w:tc>
        <w:tc>
          <w:tcPr>
            <w:tcW w:w="7284" w:type="dxa"/>
            <w:gridSpan w:val="2"/>
            <w:vAlign w:val="center"/>
          </w:tcPr>
          <w:p>
            <w:pPr>
              <w:pStyle w:val="84"/>
              <w:rPr>
                <w:color w:val="auto"/>
                <w:highlight w:val="none"/>
              </w:rPr>
            </w:pPr>
            <w:r>
              <w:rPr>
                <w:color w:val="auto"/>
                <w:highlight w:val="none"/>
              </w:rPr>
              <w:t>项目区清表、开挖、填筑，机械、人员活动等，使占地区地表原状土壤结构和植被受到扰动，改变了现状地形，使原有水土保持功能减弱甚至丧失，如不及时采取有效的防治措施，将不可避免地造成水土流失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exact"/>
          <w:tblHeader/>
          <w:jc w:val="center"/>
        </w:trPr>
        <w:tc>
          <w:tcPr>
            <w:tcW w:w="1563" w:type="dxa"/>
            <w:vAlign w:val="center"/>
          </w:tcPr>
          <w:p>
            <w:pPr>
              <w:pStyle w:val="84"/>
              <w:rPr>
                <w:color w:val="auto"/>
                <w:highlight w:val="none"/>
              </w:rPr>
            </w:pPr>
            <w:r>
              <w:rPr>
                <w:color w:val="auto"/>
                <w:highlight w:val="none"/>
              </w:rPr>
              <w:t>结论</w:t>
            </w:r>
          </w:p>
        </w:tc>
        <w:tc>
          <w:tcPr>
            <w:tcW w:w="7284" w:type="dxa"/>
            <w:gridSpan w:val="2"/>
            <w:vAlign w:val="center"/>
          </w:tcPr>
          <w:p>
            <w:pPr>
              <w:pStyle w:val="84"/>
              <w:rPr>
                <w:color w:val="auto"/>
                <w:highlight w:val="none"/>
              </w:rPr>
            </w:pPr>
            <w:r>
              <w:rPr>
                <w:color w:val="auto"/>
                <w:highlight w:val="none"/>
              </w:rPr>
              <w:t>具有较强的类比性</w:t>
            </w:r>
          </w:p>
        </w:tc>
      </w:tr>
    </w:tbl>
    <w:p>
      <w:pPr>
        <w:pStyle w:val="56"/>
        <w:ind w:firstLine="480"/>
        <w:rPr>
          <w:color w:val="auto"/>
          <w:highlight w:val="none"/>
        </w:rPr>
      </w:pPr>
      <w:r>
        <w:rPr>
          <w:color w:val="auto"/>
          <w:highlight w:val="none"/>
        </w:rPr>
        <w:t>类比工程通过现场调查观测的监测方法，积累比较全面的水土流失现状调查资料。根据对类比工程的水土保持监测数据进行比较分析，在现场调查的时候对原地貌主要侵蚀类型进行实验测定，并咨询当地水土保持专家后修正确定侵蚀模数（按不利情况考虑，扰动后模数的取值大多在实测值的基础上进行了适当修正）。根据类比工程“新疆金龙水泥有限公司技改二期 4000t/d 熟料新型干法水泥生产线”的监测数据确定类比项目扰动后土壤侵蚀模数为</w:t>
      </w:r>
      <w:r>
        <w:rPr>
          <w:rFonts w:hint="eastAsia"/>
          <w:color w:val="auto"/>
          <w:highlight w:val="none"/>
          <w:lang w:val="en-US" w:eastAsia="zh-CN"/>
        </w:rPr>
        <w:t>50</w:t>
      </w:r>
      <w:r>
        <w:rPr>
          <w:color w:val="auto"/>
          <w:highlight w:val="none"/>
        </w:rPr>
        <w:t>00t/（km².a），最终确定本项目扰动后扰动后土壤侵蚀模数为</w:t>
      </w:r>
      <w:r>
        <w:rPr>
          <w:rFonts w:hint="eastAsia"/>
          <w:color w:val="auto"/>
          <w:highlight w:val="none"/>
          <w:lang w:val="en-US" w:eastAsia="zh-CN"/>
        </w:rPr>
        <w:t>50</w:t>
      </w:r>
      <w:r>
        <w:rPr>
          <w:color w:val="auto"/>
          <w:highlight w:val="none"/>
        </w:rPr>
        <w:t>00t/（km².a）。</w:t>
      </w:r>
    </w:p>
    <w:p>
      <w:pPr>
        <w:pStyle w:val="72"/>
        <w:rPr>
          <w:color w:val="auto"/>
          <w:highlight w:val="none"/>
        </w:rPr>
      </w:pPr>
      <w:r>
        <w:rPr>
          <w:color w:val="auto"/>
          <w:highlight w:val="none"/>
        </w:rPr>
        <w:t>4.3.3.3 自然恢复期侵蚀模数的确定</w:t>
      </w:r>
    </w:p>
    <w:p>
      <w:pPr>
        <w:pStyle w:val="56"/>
        <w:ind w:firstLine="480"/>
        <w:rPr>
          <w:color w:val="auto"/>
          <w:highlight w:val="none"/>
        </w:rPr>
      </w:pPr>
      <w:r>
        <w:rPr>
          <w:color w:val="auto"/>
          <w:highlight w:val="none"/>
        </w:rPr>
        <w:t>自然恢复期内项目建设区由于地表所受人为扰动减少，侵蚀模数在自然恢复期内随着地表逐渐的稳定，其数值逐渐减少，但在此区域缺少这方面的监测资料，因此根据当地水土保持工作经验，结合咨询相关专家，确定本工程各预测单元的自然恢复期为3-5年，考虑到项目区属典型的冲洪积平原区，项目区土壤条件差，因此本项目自然恢复期考虑为5年。项目区经过5年的自然恢复，能够恢复到原地貌水平。</w:t>
      </w:r>
    </w:p>
    <w:p>
      <w:pPr>
        <w:pStyle w:val="56"/>
        <w:ind w:firstLine="480"/>
        <w:rPr>
          <w:color w:val="auto"/>
          <w:highlight w:val="none"/>
        </w:rPr>
      </w:pPr>
      <w:r>
        <w:rPr>
          <w:color w:val="auto"/>
          <w:highlight w:val="none"/>
        </w:rPr>
        <w:t>本项目各防治分区施工扰动后的土壤侵蚀模数见表4.3-4。</w:t>
      </w:r>
    </w:p>
    <w:p>
      <w:pPr>
        <w:pStyle w:val="75"/>
        <w:rPr>
          <w:color w:val="auto"/>
          <w:highlight w:val="none"/>
        </w:rPr>
      </w:pPr>
      <w:r>
        <w:rPr>
          <w:color w:val="auto"/>
          <w:highlight w:val="none"/>
        </w:rPr>
        <w:t>表4.3-4   扰动原地貌前后侵蚀模数变化汇总表   单位：t/（km²·a）</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52"/>
        <w:gridCol w:w="1346"/>
        <w:gridCol w:w="1134"/>
        <w:gridCol w:w="939"/>
        <w:gridCol w:w="1058"/>
        <w:gridCol w:w="1142"/>
        <w:gridCol w:w="1077"/>
        <w:gridCol w:w="9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801" w:type="pct"/>
            <w:vMerge w:val="restart"/>
            <w:shd w:val="clear" w:color="auto" w:fill="auto"/>
            <w:vAlign w:val="center"/>
          </w:tcPr>
          <w:p>
            <w:pPr>
              <w:pStyle w:val="84"/>
              <w:rPr>
                <w:color w:val="auto"/>
                <w:highlight w:val="none"/>
              </w:rPr>
            </w:pPr>
            <w:r>
              <w:rPr>
                <w:color w:val="auto"/>
                <w:highlight w:val="none"/>
              </w:rPr>
              <w:t>预测单元</w:t>
            </w:r>
          </w:p>
        </w:tc>
        <w:tc>
          <w:tcPr>
            <w:tcW w:w="743" w:type="pct"/>
            <w:vMerge w:val="restart"/>
            <w:shd w:val="clear" w:color="auto" w:fill="auto"/>
            <w:vAlign w:val="center"/>
          </w:tcPr>
          <w:p>
            <w:pPr>
              <w:pStyle w:val="84"/>
              <w:rPr>
                <w:color w:val="auto"/>
                <w:highlight w:val="none"/>
              </w:rPr>
            </w:pPr>
            <w:r>
              <w:rPr>
                <w:color w:val="auto"/>
                <w:highlight w:val="none"/>
              </w:rPr>
              <w:t>原地貌土壤侵蚀模数(t/km</w:t>
            </w:r>
            <w:r>
              <w:rPr>
                <w:color w:val="auto"/>
                <w:highlight w:val="none"/>
                <w:vertAlign w:val="superscript"/>
              </w:rPr>
              <w:t>2</w:t>
            </w:r>
            <w:r>
              <w:rPr>
                <w:rFonts w:eastAsia="宋体"/>
                <w:color w:val="auto"/>
                <w:highlight w:val="none"/>
              </w:rPr>
              <w:t>﹒</w:t>
            </w:r>
            <w:r>
              <w:rPr>
                <w:color w:val="auto"/>
                <w:highlight w:val="none"/>
              </w:rPr>
              <w:t>a)</w:t>
            </w:r>
          </w:p>
        </w:tc>
        <w:tc>
          <w:tcPr>
            <w:tcW w:w="3455" w:type="pct"/>
            <w:gridSpan w:val="6"/>
            <w:shd w:val="clear" w:color="auto" w:fill="auto"/>
            <w:vAlign w:val="center"/>
          </w:tcPr>
          <w:p>
            <w:pPr>
              <w:pStyle w:val="84"/>
              <w:rPr>
                <w:color w:val="auto"/>
                <w:highlight w:val="none"/>
              </w:rPr>
            </w:pPr>
            <w:r>
              <w:rPr>
                <w:color w:val="auto"/>
                <w:highlight w:val="none"/>
              </w:rPr>
              <w:t>扰动后土壤侵蚀模数(t/km</w:t>
            </w:r>
            <w:r>
              <w:rPr>
                <w:color w:val="auto"/>
                <w:highlight w:val="none"/>
                <w:vertAlign w:val="superscript"/>
              </w:rPr>
              <w:t>2</w:t>
            </w:r>
            <w:r>
              <w:rPr>
                <w:rFonts w:eastAsia="宋体"/>
                <w:color w:val="auto"/>
                <w:highlight w:val="none"/>
              </w:rPr>
              <w:t>﹒</w:t>
            </w:r>
            <w:r>
              <w:rPr>
                <w:color w:val="auto"/>
                <w:highlight w:val="none"/>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801" w:type="pct"/>
            <w:vMerge w:val="continue"/>
            <w:vAlign w:val="center"/>
          </w:tcPr>
          <w:p>
            <w:pPr>
              <w:pStyle w:val="84"/>
              <w:rPr>
                <w:color w:val="auto"/>
                <w:highlight w:val="none"/>
              </w:rPr>
            </w:pPr>
          </w:p>
        </w:tc>
        <w:tc>
          <w:tcPr>
            <w:tcW w:w="743" w:type="pct"/>
            <w:vMerge w:val="continue"/>
            <w:vAlign w:val="center"/>
          </w:tcPr>
          <w:p>
            <w:pPr>
              <w:pStyle w:val="84"/>
              <w:rPr>
                <w:color w:val="auto"/>
                <w:highlight w:val="none"/>
              </w:rPr>
            </w:pPr>
          </w:p>
        </w:tc>
        <w:tc>
          <w:tcPr>
            <w:tcW w:w="626" w:type="pct"/>
            <w:vMerge w:val="restart"/>
            <w:shd w:val="clear" w:color="auto" w:fill="auto"/>
            <w:vAlign w:val="center"/>
          </w:tcPr>
          <w:p>
            <w:pPr>
              <w:pStyle w:val="84"/>
              <w:rPr>
                <w:color w:val="auto"/>
                <w:highlight w:val="none"/>
              </w:rPr>
            </w:pPr>
            <w:r>
              <w:rPr>
                <w:color w:val="auto"/>
                <w:highlight w:val="none"/>
              </w:rPr>
              <w:t>施工期（包括施工准备期</w:t>
            </w:r>
          </w:p>
        </w:tc>
        <w:tc>
          <w:tcPr>
            <w:tcW w:w="2828" w:type="pct"/>
            <w:gridSpan w:val="5"/>
            <w:shd w:val="clear" w:color="auto" w:fill="auto"/>
            <w:vAlign w:val="center"/>
          </w:tcPr>
          <w:p>
            <w:pPr>
              <w:pStyle w:val="84"/>
              <w:rPr>
                <w:color w:val="auto"/>
                <w:highlight w:val="none"/>
              </w:rPr>
            </w:pPr>
            <w:r>
              <w:rPr>
                <w:color w:val="auto"/>
                <w:highlight w:val="none"/>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801" w:type="pct"/>
            <w:vMerge w:val="continue"/>
            <w:vAlign w:val="center"/>
          </w:tcPr>
          <w:p>
            <w:pPr>
              <w:pStyle w:val="84"/>
              <w:rPr>
                <w:color w:val="auto"/>
                <w:highlight w:val="none"/>
              </w:rPr>
            </w:pPr>
          </w:p>
        </w:tc>
        <w:tc>
          <w:tcPr>
            <w:tcW w:w="743" w:type="pct"/>
            <w:vMerge w:val="continue"/>
            <w:vAlign w:val="center"/>
          </w:tcPr>
          <w:p>
            <w:pPr>
              <w:pStyle w:val="84"/>
              <w:rPr>
                <w:color w:val="auto"/>
                <w:highlight w:val="none"/>
              </w:rPr>
            </w:pPr>
          </w:p>
        </w:tc>
        <w:tc>
          <w:tcPr>
            <w:tcW w:w="626" w:type="pct"/>
            <w:vMerge w:val="continue"/>
            <w:vAlign w:val="center"/>
          </w:tcPr>
          <w:p>
            <w:pPr>
              <w:pStyle w:val="84"/>
              <w:rPr>
                <w:color w:val="auto"/>
                <w:highlight w:val="none"/>
              </w:rPr>
            </w:pPr>
          </w:p>
        </w:tc>
        <w:tc>
          <w:tcPr>
            <w:tcW w:w="518" w:type="pct"/>
            <w:shd w:val="clear" w:color="auto" w:fill="auto"/>
            <w:vAlign w:val="center"/>
          </w:tcPr>
          <w:p>
            <w:pPr>
              <w:pStyle w:val="84"/>
              <w:rPr>
                <w:color w:val="auto"/>
                <w:highlight w:val="none"/>
              </w:rPr>
            </w:pPr>
            <w:r>
              <w:rPr>
                <w:color w:val="auto"/>
                <w:highlight w:val="none"/>
              </w:rPr>
              <w:t>第一年</w:t>
            </w:r>
          </w:p>
        </w:tc>
        <w:tc>
          <w:tcPr>
            <w:tcW w:w="584" w:type="pct"/>
            <w:shd w:val="clear" w:color="auto" w:fill="auto"/>
            <w:vAlign w:val="center"/>
          </w:tcPr>
          <w:p>
            <w:pPr>
              <w:pStyle w:val="84"/>
              <w:rPr>
                <w:color w:val="auto"/>
                <w:highlight w:val="none"/>
              </w:rPr>
            </w:pPr>
            <w:r>
              <w:rPr>
                <w:color w:val="auto"/>
                <w:highlight w:val="none"/>
              </w:rPr>
              <w:t>第二年</w:t>
            </w:r>
          </w:p>
        </w:tc>
        <w:tc>
          <w:tcPr>
            <w:tcW w:w="630" w:type="pct"/>
            <w:shd w:val="clear" w:color="auto" w:fill="auto"/>
            <w:vAlign w:val="center"/>
          </w:tcPr>
          <w:p>
            <w:pPr>
              <w:pStyle w:val="84"/>
              <w:rPr>
                <w:color w:val="auto"/>
                <w:highlight w:val="none"/>
              </w:rPr>
            </w:pPr>
            <w:r>
              <w:rPr>
                <w:color w:val="auto"/>
                <w:highlight w:val="none"/>
              </w:rPr>
              <w:t>第三年</w:t>
            </w:r>
          </w:p>
        </w:tc>
        <w:tc>
          <w:tcPr>
            <w:tcW w:w="594" w:type="pct"/>
            <w:shd w:val="clear" w:color="auto" w:fill="auto"/>
            <w:vAlign w:val="center"/>
          </w:tcPr>
          <w:p>
            <w:pPr>
              <w:pStyle w:val="84"/>
              <w:rPr>
                <w:color w:val="auto"/>
                <w:highlight w:val="none"/>
              </w:rPr>
            </w:pPr>
            <w:r>
              <w:rPr>
                <w:color w:val="auto"/>
                <w:highlight w:val="none"/>
              </w:rPr>
              <w:t>第四年</w:t>
            </w:r>
          </w:p>
        </w:tc>
        <w:tc>
          <w:tcPr>
            <w:tcW w:w="501" w:type="pct"/>
            <w:shd w:val="clear" w:color="auto" w:fill="auto"/>
            <w:vAlign w:val="center"/>
          </w:tcPr>
          <w:p>
            <w:pPr>
              <w:pStyle w:val="84"/>
              <w:rPr>
                <w:color w:val="auto"/>
                <w:highlight w:val="none"/>
              </w:rPr>
            </w:pPr>
            <w:r>
              <w:rPr>
                <w:color w:val="auto"/>
                <w:highlight w:val="none"/>
              </w:rPr>
              <w:t>第五年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801" w:type="pct"/>
            <w:shd w:val="clear" w:color="auto" w:fill="auto"/>
            <w:noWrap/>
            <w:vAlign w:val="center"/>
          </w:tcPr>
          <w:p>
            <w:pPr>
              <w:pStyle w:val="84"/>
              <w:rPr>
                <w:color w:val="auto"/>
                <w:highlight w:val="none"/>
              </w:rPr>
            </w:pPr>
            <w:r>
              <w:rPr>
                <w:color w:val="auto"/>
                <w:highlight w:val="none"/>
              </w:rPr>
              <w:t>建构筑物区</w:t>
            </w:r>
          </w:p>
        </w:tc>
        <w:tc>
          <w:tcPr>
            <w:tcW w:w="743" w:type="pct"/>
            <w:shd w:val="clear" w:color="auto" w:fill="auto"/>
            <w:vAlign w:val="center"/>
          </w:tcPr>
          <w:p>
            <w:pPr>
              <w:pStyle w:val="84"/>
              <w:rPr>
                <w:color w:val="auto"/>
                <w:highlight w:val="none"/>
              </w:rPr>
            </w:pPr>
            <w:r>
              <w:rPr>
                <w:color w:val="auto"/>
                <w:highlight w:val="none"/>
              </w:rPr>
              <w:t>1000</w:t>
            </w:r>
          </w:p>
        </w:tc>
        <w:tc>
          <w:tcPr>
            <w:tcW w:w="626" w:type="pct"/>
            <w:shd w:val="clear" w:color="auto" w:fill="auto"/>
            <w:vAlign w:val="center"/>
          </w:tcPr>
          <w:p>
            <w:pPr>
              <w:pStyle w:val="84"/>
              <w:rPr>
                <w:color w:val="auto"/>
                <w:highlight w:val="none"/>
              </w:rPr>
            </w:pPr>
            <w:r>
              <w:rPr>
                <w:color w:val="auto"/>
                <w:highlight w:val="none"/>
              </w:rPr>
              <w:t>5000</w:t>
            </w:r>
          </w:p>
        </w:tc>
        <w:tc>
          <w:tcPr>
            <w:tcW w:w="518" w:type="pct"/>
            <w:shd w:val="clear" w:color="auto" w:fill="auto"/>
            <w:vAlign w:val="center"/>
          </w:tcPr>
          <w:p>
            <w:pPr>
              <w:pStyle w:val="84"/>
              <w:rPr>
                <w:color w:val="auto"/>
                <w:highlight w:val="none"/>
              </w:rPr>
            </w:pPr>
            <w:r>
              <w:rPr>
                <w:color w:val="auto"/>
                <w:highlight w:val="none"/>
              </w:rPr>
              <w:t>　</w:t>
            </w:r>
          </w:p>
        </w:tc>
        <w:tc>
          <w:tcPr>
            <w:tcW w:w="584" w:type="pct"/>
            <w:shd w:val="clear" w:color="auto" w:fill="auto"/>
            <w:vAlign w:val="center"/>
          </w:tcPr>
          <w:p>
            <w:pPr>
              <w:pStyle w:val="84"/>
              <w:rPr>
                <w:color w:val="auto"/>
                <w:highlight w:val="none"/>
              </w:rPr>
            </w:pPr>
            <w:r>
              <w:rPr>
                <w:color w:val="auto"/>
                <w:highlight w:val="none"/>
              </w:rPr>
              <w:t>　</w:t>
            </w:r>
          </w:p>
        </w:tc>
        <w:tc>
          <w:tcPr>
            <w:tcW w:w="630" w:type="pct"/>
            <w:shd w:val="clear" w:color="auto" w:fill="auto"/>
            <w:noWrap/>
            <w:vAlign w:val="center"/>
          </w:tcPr>
          <w:p>
            <w:pPr>
              <w:pStyle w:val="84"/>
              <w:rPr>
                <w:color w:val="auto"/>
                <w:highlight w:val="none"/>
              </w:rPr>
            </w:pPr>
            <w:r>
              <w:rPr>
                <w:color w:val="auto"/>
                <w:highlight w:val="none"/>
              </w:rPr>
              <w:t>　</w:t>
            </w:r>
          </w:p>
        </w:tc>
        <w:tc>
          <w:tcPr>
            <w:tcW w:w="594" w:type="pct"/>
            <w:shd w:val="clear" w:color="auto" w:fill="auto"/>
            <w:noWrap/>
            <w:vAlign w:val="center"/>
          </w:tcPr>
          <w:p>
            <w:pPr>
              <w:pStyle w:val="84"/>
              <w:rPr>
                <w:color w:val="auto"/>
                <w:highlight w:val="none"/>
              </w:rPr>
            </w:pPr>
            <w:r>
              <w:rPr>
                <w:color w:val="auto"/>
                <w:highlight w:val="none"/>
              </w:rPr>
              <w:t>　</w:t>
            </w:r>
          </w:p>
        </w:tc>
        <w:tc>
          <w:tcPr>
            <w:tcW w:w="501" w:type="pct"/>
            <w:shd w:val="clear" w:color="auto" w:fill="auto"/>
            <w:noWrap/>
            <w:vAlign w:val="center"/>
          </w:tcPr>
          <w:p>
            <w:pPr>
              <w:pStyle w:val="84"/>
              <w:rPr>
                <w:color w:val="auto"/>
                <w:highlight w:val="none"/>
              </w:rPr>
            </w:pPr>
            <w:r>
              <w:rPr>
                <w:color w:val="auto"/>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801" w:type="pct"/>
            <w:shd w:val="clear" w:color="auto" w:fill="auto"/>
            <w:noWrap/>
            <w:vAlign w:val="center"/>
          </w:tcPr>
          <w:p>
            <w:pPr>
              <w:pStyle w:val="84"/>
              <w:rPr>
                <w:color w:val="auto"/>
                <w:highlight w:val="none"/>
              </w:rPr>
            </w:pPr>
            <w:r>
              <w:rPr>
                <w:color w:val="auto"/>
                <w:highlight w:val="none"/>
              </w:rPr>
              <w:t>绿化区</w:t>
            </w:r>
          </w:p>
        </w:tc>
        <w:tc>
          <w:tcPr>
            <w:tcW w:w="743" w:type="pct"/>
            <w:shd w:val="clear" w:color="auto" w:fill="auto"/>
            <w:vAlign w:val="center"/>
          </w:tcPr>
          <w:p>
            <w:pPr>
              <w:pStyle w:val="84"/>
              <w:rPr>
                <w:color w:val="auto"/>
                <w:highlight w:val="none"/>
              </w:rPr>
            </w:pPr>
            <w:r>
              <w:rPr>
                <w:color w:val="auto"/>
                <w:highlight w:val="none"/>
              </w:rPr>
              <w:t>1000</w:t>
            </w:r>
          </w:p>
        </w:tc>
        <w:tc>
          <w:tcPr>
            <w:tcW w:w="626" w:type="pct"/>
            <w:shd w:val="clear" w:color="auto" w:fill="auto"/>
            <w:vAlign w:val="center"/>
          </w:tcPr>
          <w:p>
            <w:pPr>
              <w:pStyle w:val="84"/>
              <w:rPr>
                <w:color w:val="auto"/>
                <w:highlight w:val="none"/>
              </w:rPr>
            </w:pPr>
            <w:r>
              <w:rPr>
                <w:color w:val="auto"/>
                <w:highlight w:val="none"/>
              </w:rPr>
              <w:t>5000</w:t>
            </w:r>
          </w:p>
        </w:tc>
        <w:tc>
          <w:tcPr>
            <w:tcW w:w="939" w:type="dxa"/>
            <w:shd w:val="clear" w:color="auto" w:fill="auto"/>
            <w:vAlign w:val="center"/>
          </w:tcPr>
          <w:p>
            <w:pPr>
              <w:pStyle w:val="84"/>
              <w:bidi w:val="0"/>
              <w:rPr>
                <w:color w:val="auto"/>
                <w:highlight w:val="none"/>
              </w:rPr>
            </w:pPr>
            <w:r>
              <w:rPr>
                <w:rFonts w:hint="default"/>
                <w:color w:val="auto"/>
                <w:highlight w:val="none"/>
                <w:lang w:val="en-US" w:eastAsia="zh-CN"/>
              </w:rPr>
              <w:t>3800</w:t>
            </w:r>
          </w:p>
        </w:tc>
        <w:tc>
          <w:tcPr>
            <w:tcW w:w="1058" w:type="dxa"/>
            <w:shd w:val="clear" w:color="auto" w:fill="auto"/>
            <w:vAlign w:val="center"/>
          </w:tcPr>
          <w:p>
            <w:pPr>
              <w:pStyle w:val="84"/>
              <w:bidi w:val="0"/>
              <w:rPr>
                <w:color w:val="auto"/>
                <w:highlight w:val="none"/>
              </w:rPr>
            </w:pPr>
            <w:r>
              <w:rPr>
                <w:rFonts w:hint="eastAsia"/>
                <w:color w:val="auto"/>
                <w:highlight w:val="none"/>
                <w:lang w:val="en-US" w:eastAsia="zh-CN"/>
              </w:rPr>
              <w:t>2700</w:t>
            </w:r>
          </w:p>
        </w:tc>
        <w:tc>
          <w:tcPr>
            <w:tcW w:w="1142" w:type="dxa"/>
            <w:shd w:val="clear" w:color="auto" w:fill="auto"/>
            <w:noWrap/>
            <w:vAlign w:val="center"/>
          </w:tcPr>
          <w:p>
            <w:pPr>
              <w:pStyle w:val="84"/>
              <w:bidi w:val="0"/>
              <w:rPr>
                <w:color w:val="auto"/>
                <w:highlight w:val="none"/>
              </w:rPr>
            </w:pPr>
            <w:r>
              <w:rPr>
                <w:rFonts w:hint="eastAsia"/>
                <w:color w:val="auto"/>
                <w:highlight w:val="none"/>
                <w:lang w:val="en-US" w:eastAsia="zh-CN"/>
              </w:rPr>
              <w:t>1600</w:t>
            </w:r>
          </w:p>
        </w:tc>
        <w:tc>
          <w:tcPr>
            <w:tcW w:w="1077" w:type="dxa"/>
            <w:shd w:val="clear" w:color="auto" w:fill="auto"/>
            <w:noWrap/>
            <w:vAlign w:val="center"/>
          </w:tcPr>
          <w:p>
            <w:pPr>
              <w:pStyle w:val="84"/>
              <w:bidi w:val="0"/>
              <w:rPr>
                <w:color w:val="auto"/>
                <w:highlight w:val="none"/>
              </w:rPr>
            </w:pPr>
            <w:r>
              <w:rPr>
                <w:rFonts w:hint="eastAsia"/>
                <w:color w:val="auto"/>
                <w:highlight w:val="none"/>
                <w:lang w:val="en-US" w:eastAsia="zh-CN"/>
              </w:rPr>
              <w:t>1300</w:t>
            </w:r>
          </w:p>
        </w:tc>
        <w:tc>
          <w:tcPr>
            <w:tcW w:w="912" w:type="dxa"/>
            <w:shd w:val="clear" w:color="auto" w:fill="auto"/>
            <w:noWrap/>
            <w:vAlign w:val="center"/>
          </w:tcPr>
          <w:p>
            <w:pPr>
              <w:pStyle w:val="84"/>
              <w:bidi w:val="0"/>
              <w:rPr>
                <w:color w:val="auto"/>
                <w:highlight w:val="none"/>
              </w:rPr>
            </w:pPr>
            <w:r>
              <w:rPr>
                <w:rFonts w:hint="eastAsia"/>
                <w:color w:val="auto"/>
                <w:highlight w:val="none"/>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801" w:type="pct"/>
            <w:shd w:val="clear" w:color="auto" w:fill="auto"/>
            <w:noWrap/>
            <w:vAlign w:val="center"/>
          </w:tcPr>
          <w:p>
            <w:pPr>
              <w:pStyle w:val="84"/>
              <w:rPr>
                <w:color w:val="auto"/>
                <w:highlight w:val="none"/>
              </w:rPr>
            </w:pPr>
            <w:r>
              <w:rPr>
                <w:color w:val="auto"/>
                <w:highlight w:val="none"/>
              </w:rPr>
              <w:t>道路及硬化区</w:t>
            </w:r>
          </w:p>
        </w:tc>
        <w:tc>
          <w:tcPr>
            <w:tcW w:w="743" w:type="pct"/>
            <w:shd w:val="clear" w:color="auto" w:fill="auto"/>
            <w:vAlign w:val="center"/>
          </w:tcPr>
          <w:p>
            <w:pPr>
              <w:pStyle w:val="84"/>
              <w:rPr>
                <w:color w:val="auto"/>
                <w:highlight w:val="none"/>
              </w:rPr>
            </w:pPr>
            <w:r>
              <w:rPr>
                <w:color w:val="auto"/>
                <w:highlight w:val="none"/>
              </w:rPr>
              <w:t>1000</w:t>
            </w:r>
          </w:p>
        </w:tc>
        <w:tc>
          <w:tcPr>
            <w:tcW w:w="626" w:type="pct"/>
            <w:shd w:val="clear" w:color="auto" w:fill="auto"/>
            <w:vAlign w:val="center"/>
          </w:tcPr>
          <w:p>
            <w:pPr>
              <w:pStyle w:val="84"/>
              <w:rPr>
                <w:color w:val="auto"/>
                <w:highlight w:val="none"/>
              </w:rPr>
            </w:pPr>
            <w:r>
              <w:rPr>
                <w:color w:val="auto"/>
                <w:highlight w:val="none"/>
              </w:rPr>
              <w:t>5000</w:t>
            </w:r>
          </w:p>
        </w:tc>
        <w:tc>
          <w:tcPr>
            <w:tcW w:w="939" w:type="dxa"/>
            <w:shd w:val="clear" w:color="auto" w:fill="auto"/>
            <w:vAlign w:val="center"/>
          </w:tcPr>
          <w:p>
            <w:pPr>
              <w:pStyle w:val="84"/>
              <w:ind w:firstLine="0" w:firstLineChars="0"/>
              <w:rPr>
                <w:color w:val="auto"/>
                <w:highlight w:val="none"/>
              </w:rPr>
            </w:pPr>
            <w:r>
              <w:rPr>
                <w:color w:val="auto"/>
                <w:highlight w:val="none"/>
              </w:rPr>
              <w:t>　</w:t>
            </w:r>
          </w:p>
        </w:tc>
        <w:tc>
          <w:tcPr>
            <w:tcW w:w="1058" w:type="dxa"/>
            <w:shd w:val="clear" w:color="auto" w:fill="auto"/>
            <w:vAlign w:val="center"/>
          </w:tcPr>
          <w:p>
            <w:pPr>
              <w:pStyle w:val="84"/>
              <w:ind w:firstLine="0" w:firstLineChars="0"/>
              <w:rPr>
                <w:color w:val="auto"/>
                <w:highlight w:val="none"/>
              </w:rPr>
            </w:pPr>
            <w:r>
              <w:rPr>
                <w:color w:val="auto"/>
                <w:highlight w:val="none"/>
              </w:rPr>
              <w:t>　</w:t>
            </w:r>
          </w:p>
        </w:tc>
        <w:tc>
          <w:tcPr>
            <w:tcW w:w="1142" w:type="dxa"/>
            <w:shd w:val="clear" w:color="auto" w:fill="auto"/>
            <w:noWrap/>
            <w:vAlign w:val="center"/>
          </w:tcPr>
          <w:p>
            <w:pPr>
              <w:pStyle w:val="84"/>
              <w:ind w:firstLine="0" w:firstLineChars="0"/>
              <w:rPr>
                <w:color w:val="auto"/>
                <w:highlight w:val="none"/>
              </w:rPr>
            </w:pPr>
            <w:r>
              <w:rPr>
                <w:color w:val="auto"/>
                <w:highlight w:val="none"/>
              </w:rPr>
              <w:t>　</w:t>
            </w:r>
          </w:p>
        </w:tc>
        <w:tc>
          <w:tcPr>
            <w:tcW w:w="1077" w:type="dxa"/>
            <w:shd w:val="clear" w:color="auto" w:fill="auto"/>
            <w:noWrap/>
            <w:vAlign w:val="center"/>
          </w:tcPr>
          <w:p>
            <w:pPr>
              <w:pStyle w:val="84"/>
              <w:ind w:firstLine="0" w:firstLineChars="0"/>
              <w:rPr>
                <w:color w:val="auto"/>
                <w:highlight w:val="none"/>
              </w:rPr>
            </w:pPr>
            <w:r>
              <w:rPr>
                <w:color w:val="auto"/>
                <w:highlight w:val="none"/>
              </w:rPr>
              <w:t>　</w:t>
            </w:r>
          </w:p>
        </w:tc>
        <w:tc>
          <w:tcPr>
            <w:tcW w:w="912" w:type="dxa"/>
            <w:shd w:val="clear" w:color="auto" w:fill="auto"/>
            <w:noWrap/>
            <w:vAlign w:val="center"/>
          </w:tcPr>
          <w:p>
            <w:pPr>
              <w:pStyle w:val="84"/>
              <w:ind w:firstLine="0" w:firstLineChars="0"/>
              <w:rPr>
                <w:color w:val="auto"/>
                <w:highlight w:val="none"/>
              </w:rPr>
            </w:pPr>
            <w:r>
              <w:rPr>
                <w:color w:val="auto"/>
                <w:highlight w:val="none"/>
              </w:rPr>
              <w:t>　</w:t>
            </w:r>
          </w:p>
        </w:tc>
      </w:tr>
    </w:tbl>
    <w:p>
      <w:pPr>
        <w:pStyle w:val="56"/>
        <w:spacing w:line="240" w:lineRule="auto"/>
        <w:ind w:firstLine="0" w:firstLineChars="0"/>
        <w:rPr>
          <w:color w:val="auto"/>
          <w:sz w:val="22"/>
          <w:highlight w:val="none"/>
        </w:rPr>
      </w:pPr>
      <w:r>
        <w:rPr>
          <w:color w:val="auto"/>
          <w:sz w:val="22"/>
          <w:highlight w:val="none"/>
        </w:rPr>
        <w:t>注：本项目管线工程区和施工生产区占地中的重复占地，水土流失预测时重复占地面积均纳入道路及硬化区内，不再重复计列。</w:t>
      </w:r>
    </w:p>
    <w:p>
      <w:pPr>
        <w:pStyle w:val="69"/>
        <w:spacing w:before="120" w:beforeLines="50"/>
        <w:rPr>
          <w:color w:val="auto"/>
          <w:highlight w:val="none"/>
        </w:rPr>
      </w:pPr>
      <w:r>
        <w:rPr>
          <w:color w:val="auto"/>
          <w:highlight w:val="none"/>
        </w:rPr>
        <w:t>4.3.4 预测结果</w:t>
      </w:r>
    </w:p>
    <w:p>
      <w:pPr>
        <w:pStyle w:val="56"/>
        <w:ind w:firstLine="480"/>
        <w:rPr>
          <w:color w:val="auto"/>
          <w:highlight w:val="none"/>
        </w:rPr>
      </w:pPr>
      <w:bookmarkStart w:id="105" w:name="_Toc20665"/>
      <w:bookmarkStart w:id="106" w:name="_Toc26990"/>
      <w:r>
        <w:rPr>
          <w:color w:val="auto"/>
          <w:highlight w:val="none"/>
        </w:rPr>
        <w:t>根据《生产建设项目水土保持技术标准》（GB 50433-2018）确定的土壤流失预测方法，经计算，本项目扰动后产生的流失总量</w:t>
      </w:r>
      <w:r>
        <w:rPr>
          <w:rFonts w:hint="eastAsia"/>
          <w:color w:val="auto"/>
          <w:highlight w:val="none"/>
          <w:lang w:eastAsia="zh-CN"/>
        </w:rPr>
        <w:t>410t</w:t>
      </w:r>
      <w:r>
        <w:rPr>
          <w:color w:val="auto"/>
          <w:highlight w:val="none"/>
        </w:rPr>
        <w:t>，其中背景流失量</w:t>
      </w:r>
      <w:r>
        <w:rPr>
          <w:rFonts w:hint="eastAsia"/>
          <w:color w:val="auto"/>
          <w:highlight w:val="none"/>
          <w:lang w:eastAsia="zh-CN"/>
        </w:rPr>
        <w:t>117t</w:t>
      </w:r>
      <w:r>
        <w:rPr>
          <w:color w:val="auto"/>
          <w:highlight w:val="none"/>
        </w:rPr>
        <w:t>，新增流失量</w:t>
      </w:r>
      <w:r>
        <w:rPr>
          <w:rFonts w:hint="eastAsia"/>
          <w:color w:val="auto"/>
          <w:highlight w:val="none"/>
          <w:lang w:eastAsia="zh-CN"/>
        </w:rPr>
        <w:t>293t</w:t>
      </w:r>
      <w:r>
        <w:rPr>
          <w:color w:val="auto"/>
          <w:highlight w:val="none"/>
        </w:rPr>
        <w:t>。</w:t>
      </w:r>
    </w:p>
    <w:p>
      <w:pPr>
        <w:pStyle w:val="75"/>
        <w:rPr>
          <w:color w:val="auto"/>
          <w:highlight w:val="none"/>
        </w:rPr>
      </w:pPr>
      <w:r>
        <w:rPr>
          <w:color w:val="auto"/>
          <w:highlight w:val="none"/>
        </w:rPr>
        <w:t>表4.3-5         本项目水土流失预测结果</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6"/>
        <w:gridCol w:w="760"/>
        <w:gridCol w:w="1020"/>
        <w:gridCol w:w="958"/>
        <w:gridCol w:w="1129"/>
        <w:gridCol w:w="753"/>
        <w:gridCol w:w="751"/>
        <w:gridCol w:w="751"/>
        <w:gridCol w:w="891"/>
        <w:gridCol w:w="8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 w:type="pct"/>
            <w:shd w:val="clear" w:color="auto" w:fill="auto"/>
            <w:vAlign w:val="center"/>
          </w:tcPr>
          <w:p>
            <w:pPr>
              <w:pStyle w:val="84"/>
              <w:rPr>
                <w:color w:val="auto"/>
                <w:highlight w:val="none"/>
              </w:rPr>
            </w:pPr>
            <w:r>
              <w:rPr>
                <w:color w:val="auto"/>
                <w:highlight w:val="none"/>
              </w:rPr>
              <w:t>预测单元</w:t>
            </w:r>
          </w:p>
        </w:tc>
        <w:tc>
          <w:tcPr>
            <w:tcW w:w="1017" w:type="pct"/>
            <w:gridSpan w:val="2"/>
            <w:shd w:val="clear" w:color="auto" w:fill="auto"/>
            <w:vAlign w:val="center"/>
          </w:tcPr>
          <w:p>
            <w:pPr>
              <w:pStyle w:val="84"/>
              <w:rPr>
                <w:color w:val="auto"/>
                <w:highlight w:val="none"/>
              </w:rPr>
            </w:pPr>
            <w:r>
              <w:rPr>
                <w:color w:val="auto"/>
                <w:highlight w:val="none"/>
              </w:rPr>
              <w:t>预测时段</w:t>
            </w:r>
          </w:p>
        </w:tc>
        <w:tc>
          <w:tcPr>
            <w:tcW w:w="546" w:type="pct"/>
            <w:shd w:val="clear" w:color="auto" w:fill="auto"/>
            <w:vAlign w:val="center"/>
          </w:tcPr>
          <w:p>
            <w:pPr>
              <w:pStyle w:val="84"/>
              <w:rPr>
                <w:color w:val="auto"/>
                <w:highlight w:val="none"/>
              </w:rPr>
            </w:pPr>
            <w:r>
              <w:rPr>
                <w:color w:val="auto"/>
                <w:highlight w:val="none"/>
              </w:rPr>
              <w:t>侵蚀背景值t/(km²·a)</w:t>
            </w:r>
          </w:p>
        </w:tc>
        <w:tc>
          <w:tcPr>
            <w:tcW w:w="640" w:type="pct"/>
            <w:shd w:val="clear" w:color="auto" w:fill="auto"/>
            <w:vAlign w:val="center"/>
          </w:tcPr>
          <w:p>
            <w:pPr>
              <w:pStyle w:val="84"/>
              <w:rPr>
                <w:color w:val="auto"/>
                <w:highlight w:val="none"/>
              </w:rPr>
            </w:pPr>
            <w:r>
              <w:rPr>
                <w:color w:val="auto"/>
                <w:highlight w:val="none"/>
              </w:rPr>
              <w:t>扰动后侵蚀模数t/(km²·a)</w:t>
            </w:r>
          </w:p>
        </w:tc>
        <w:tc>
          <w:tcPr>
            <w:tcW w:w="433" w:type="pct"/>
            <w:shd w:val="clear" w:color="auto" w:fill="auto"/>
            <w:vAlign w:val="center"/>
          </w:tcPr>
          <w:p>
            <w:pPr>
              <w:pStyle w:val="84"/>
              <w:rPr>
                <w:color w:val="auto"/>
                <w:highlight w:val="none"/>
              </w:rPr>
            </w:pPr>
            <w:r>
              <w:rPr>
                <w:color w:val="auto"/>
                <w:highlight w:val="none"/>
              </w:rPr>
              <w:t>侵蚀面积(hm²)</w:t>
            </w:r>
          </w:p>
        </w:tc>
        <w:tc>
          <w:tcPr>
            <w:tcW w:w="432" w:type="pct"/>
            <w:shd w:val="clear" w:color="auto" w:fill="auto"/>
            <w:vAlign w:val="center"/>
          </w:tcPr>
          <w:p>
            <w:pPr>
              <w:pStyle w:val="84"/>
              <w:rPr>
                <w:color w:val="auto"/>
                <w:highlight w:val="none"/>
              </w:rPr>
            </w:pPr>
            <w:r>
              <w:rPr>
                <w:color w:val="auto"/>
                <w:highlight w:val="none"/>
              </w:rPr>
              <w:t>侵蚀时间(年)</w:t>
            </w:r>
          </w:p>
        </w:tc>
        <w:tc>
          <w:tcPr>
            <w:tcW w:w="432" w:type="pct"/>
            <w:shd w:val="clear" w:color="auto" w:fill="auto"/>
            <w:vAlign w:val="center"/>
          </w:tcPr>
          <w:p>
            <w:pPr>
              <w:pStyle w:val="84"/>
              <w:rPr>
                <w:color w:val="auto"/>
                <w:highlight w:val="none"/>
              </w:rPr>
            </w:pPr>
            <w:r>
              <w:rPr>
                <w:color w:val="auto"/>
                <w:highlight w:val="none"/>
              </w:rPr>
              <w:t>背景流失量(t)</w:t>
            </w:r>
          </w:p>
        </w:tc>
        <w:tc>
          <w:tcPr>
            <w:tcW w:w="509" w:type="pct"/>
            <w:shd w:val="clear" w:color="auto" w:fill="auto"/>
            <w:vAlign w:val="center"/>
          </w:tcPr>
          <w:p>
            <w:pPr>
              <w:pStyle w:val="84"/>
              <w:rPr>
                <w:color w:val="auto"/>
                <w:highlight w:val="none"/>
              </w:rPr>
            </w:pPr>
            <w:r>
              <w:rPr>
                <w:color w:val="auto"/>
                <w:highlight w:val="none"/>
              </w:rPr>
              <w:t>预测流失量(t)</w:t>
            </w:r>
          </w:p>
        </w:tc>
        <w:tc>
          <w:tcPr>
            <w:tcW w:w="459" w:type="pct"/>
            <w:shd w:val="clear" w:color="auto" w:fill="auto"/>
            <w:vAlign w:val="center"/>
          </w:tcPr>
          <w:p>
            <w:pPr>
              <w:pStyle w:val="84"/>
              <w:rPr>
                <w:color w:val="auto"/>
                <w:highlight w:val="none"/>
              </w:rPr>
            </w:pPr>
            <w:r>
              <w:rPr>
                <w:color w:val="auto"/>
                <w:highlight w:val="none"/>
              </w:rPr>
              <w:t>新增流失量(t)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 w:type="pct"/>
            <w:shd w:val="clear" w:color="auto" w:fill="auto"/>
            <w:noWrap/>
            <w:vAlign w:val="center"/>
          </w:tcPr>
          <w:p>
            <w:pPr>
              <w:pStyle w:val="84"/>
              <w:bidi w:val="0"/>
              <w:rPr>
                <w:color w:val="auto"/>
                <w:highlight w:val="none"/>
              </w:rPr>
            </w:pPr>
            <w:r>
              <w:rPr>
                <w:rFonts w:hint="eastAsia"/>
                <w:color w:val="auto"/>
                <w:highlight w:val="none"/>
                <w:lang w:val="en-US" w:eastAsia="zh-CN"/>
              </w:rPr>
              <w:t>建构筑物区</w:t>
            </w:r>
          </w:p>
        </w:tc>
        <w:tc>
          <w:tcPr>
            <w:tcW w:w="1017" w:type="pct"/>
            <w:gridSpan w:val="2"/>
            <w:shd w:val="clear" w:color="auto" w:fill="auto"/>
            <w:vAlign w:val="center"/>
          </w:tcPr>
          <w:p>
            <w:pPr>
              <w:pStyle w:val="84"/>
              <w:bidi w:val="0"/>
              <w:rPr>
                <w:color w:val="auto"/>
                <w:highlight w:val="none"/>
              </w:rPr>
            </w:pPr>
            <w:r>
              <w:rPr>
                <w:rFonts w:hint="eastAsia"/>
                <w:color w:val="auto"/>
                <w:highlight w:val="none"/>
                <w:lang w:val="en-US" w:eastAsia="zh-CN"/>
              </w:rPr>
              <w:t>施工期</w:t>
            </w:r>
          </w:p>
        </w:tc>
        <w:tc>
          <w:tcPr>
            <w:tcW w:w="546" w:type="pct"/>
            <w:shd w:val="clear" w:color="auto" w:fill="auto"/>
            <w:vAlign w:val="center"/>
          </w:tcPr>
          <w:p>
            <w:pPr>
              <w:pStyle w:val="84"/>
              <w:bidi w:val="0"/>
              <w:rPr>
                <w:color w:val="auto"/>
                <w:highlight w:val="none"/>
              </w:rPr>
            </w:pPr>
            <w:r>
              <w:rPr>
                <w:rFonts w:hint="default"/>
                <w:color w:val="auto"/>
                <w:highlight w:val="none"/>
                <w:lang w:val="en-US" w:eastAsia="zh-CN"/>
              </w:rPr>
              <w:t xml:space="preserve">1000 </w:t>
            </w:r>
          </w:p>
        </w:tc>
        <w:tc>
          <w:tcPr>
            <w:tcW w:w="640" w:type="pct"/>
            <w:shd w:val="clear" w:color="auto" w:fill="auto"/>
            <w:vAlign w:val="center"/>
          </w:tcPr>
          <w:p>
            <w:pPr>
              <w:pStyle w:val="84"/>
              <w:bidi w:val="0"/>
              <w:rPr>
                <w:color w:val="auto"/>
                <w:highlight w:val="none"/>
              </w:rPr>
            </w:pPr>
            <w:r>
              <w:rPr>
                <w:rFonts w:hint="eastAsia"/>
                <w:color w:val="auto"/>
                <w:highlight w:val="none"/>
                <w:lang w:val="en-US" w:eastAsia="zh-CN"/>
              </w:rPr>
              <w:t xml:space="preserve">5000 </w:t>
            </w:r>
          </w:p>
        </w:tc>
        <w:tc>
          <w:tcPr>
            <w:tcW w:w="433" w:type="pct"/>
            <w:shd w:val="clear" w:color="auto" w:fill="auto"/>
            <w:vAlign w:val="center"/>
          </w:tcPr>
          <w:p>
            <w:pPr>
              <w:pStyle w:val="84"/>
              <w:bidi w:val="0"/>
              <w:rPr>
                <w:color w:val="auto"/>
                <w:highlight w:val="none"/>
              </w:rPr>
            </w:pPr>
            <w:r>
              <w:rPr>
                <w:rFonts w:hint="default"/>
                <w:color w:val="auto"/>
                <w:highlight w:val="none"/>
                <w:lang w:val="en-US" w:eastAsia="zh-CN"/>
              </w:rPr>
              <w:t xml:space="preserve">0.73 </w:t>
            </w:r>
          </w:p>
        </w:tc>
        <w:tc>
          <w:tcPr>
            <w:tcW w:w="432" w:type="pct"/>
            <w:shd w:val="clear" w:color="auto" w:fill="auto"/>
            <w:vAlign w:val="center"/>
          </w:tcPr>
          <w:p>
            <w:pPr>
              <w:pStyle w:val="84"/>
              <w:bidi w:val="0"/>
              <w:rPr>
                <w:color w:val="auto"/>
                <w:highlight w:val="none"/>
              </w:rPr>
            </w:pPr>
            <w:r>
              <w:rPr>
                <w:rFonts w:hint="default"/>
                <w:color w:val="auto"/>
                <w:highlight w:val="none"/>
                <w:lang w:val="en-US" w:eastAsia="zh-CN"/>
              </w:rPr>
              <w:t xml:space="preserve">1.67 </w:t>
            </w:r>
          </w:p>
        </w:tc>
        <w:tc>
          <w:tcPr>
            <w:tcW w:w="782" w:type="dxa"/>
            <w:shd w:val="clear" w:color="auto" w:fill="auto"/>
            <w:vAlign w:val="center"/>
          </w:tcPr>
          <w:p>
            <w:pPr>
              <w:pStyle w:val="84"/>
              <w:bidi w:val="0"/>
              <w:rPr>
                <w:color w:val="auto"/>
                <w:highlight w:val="none"/>
              </w:rPr>
            </w:pPr>
            <w:r>
              <w:rPr>
                <w:rFonts w:hint="eastAsia"/>
                <w:color w:val="auto"/>
                <w:highlight w:val="none"/>
                <w:lang w:val="en-US" w:eastAsia="zh-CN"/>
              </w:rPr>
              <w:t xml:space="preserve">12 </w:t>
            </w:r>
          </w:p>
        </w:tc>
        <w:tc>
          <w:tcPr>
            <w:tcW w:w="860" w:type="dxa"/>
            <w:shd w:val="clear" w:color="auto" w:fill="auto"/>
            <w:vAlign w:val="center"/>
          </w:tcPr>
          <w:p>
            <w:pPr>
              <w:pStyle w:val="84"/>
              <w:bidi w:val="0"/>
              <w:rPr>
                <w:color w:val="auto"/>
                <w:highlight w:val="none"/>
              </w:rPr>
            </w:pPr>
            <w:r>
              <w:rPr>
                <w:rFonts w:hint="eastAsia"/>
                <w:color w:val="auto"/>
                <w:highlight w:val="none"/>
                <w:lang w:val="en-US" w:eastAsia="zh-CN"/>
              </w:rPr>
              <w:t xml:space="preserve">61 </w:t>
            </w:r>
          </w:p>
        </w:tc>
        <w:tc>
          <w:tcPr>
            <w:tcW w:w="801" w:type="dxa"/>
            <w:shd w:val="clear" w:color="auto" w:fill="auto"/>
            <w:vAlign w:val="center"/>
          </w:tcPr>
          <w:p>
            <w:pPr>
              <w:pStyle w:val="84"/>
              <w:bidi w:val="0"/>
              <w:rPr>
                <w:color w:val="auto"/>
                <w:highlight w:val="none"/>
              </w:rPr>
            </w:pPr>
            <w:r>
              <w:rPr>
                <w:rFonts w:hint="eastAsia"/>
                <w:color w:val="auto"/>
                <w:highlight w:val="none"/>
                <w:lang w:val="en-US" w:eastAsia="zh-CN"/>
              </w:rPr>
              <w:t xml:space="preserve">49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 w:type="pct"/>
            <w:vMerge w:val="restart"/>
            <w:shd w:val="clear" w:color="auto" w:fill="auto"/>
            <w:noWrap/>
            <w:vAlign w:val="center"/>
          </w:tcPr>
          <w:p>
            <w:pPr>
              <w:pStyle w:val="84"/>
              <w:bidi w:val="0"/>
              <w:rPr>
                <w:color w:val="auto"/>
                <w:highlight w:val="none"/>
              </w:rPr>
            </w:pPr>
            <w:r>
              <w:rPr>
                <w:rFonts w:hint="eastAsia"/>
                <w:color w:val="auto"/>
                <w:highlight w:val="none"/>
                <w:lang w:val="en-US" w:eastAsia="zh-CN"/>
              </w:rPr>
              <w:t>绿化区</w:t>
            </w:r>
          </w:p>
        </w:tc>
        <w:tc>
          <w:tcPr>
            <w:tcW w:w="1017" w:type="pct"/>
            <w:gridSpan w:val="2"/>
            <w:shd w:val="clear" w:color="auto" w:fill="auto"/>
            <w:vAlign w:val="center"/>
          </w:tcPr>
          <w:p>
            <w:pPr>
              <w:pStyle w:val="84"/>
              <w:bidi w:val="0"/>
              <w:rPr>
                <w:color w:val="auto"/>
                <w:highlight w:val="none"/>
              </w:rPr>
            </w:pPr>
            <w:r>
              <w:rPr>
                <w:rFonts w:hint="eastAsia"/>
                <w:color w:val="auto"/>
                <w:highlight w:val="none"/>
                <w:lang w:val="en-US" w:eastAsia="zh-CN"/>
              </w:rPr>
              <w:t>施工期</w:t>
            </w:r>
          </w:p>
        </w:tc>
        <w:tc>
          <w:tcPr>
            <w:tcW w:w="546" w:type="pct"/>
            <w:shd w:val="clear" w:color="auto" w:fill="auto"/>
            <w:vAlign w:val="center"/>
          </w:tcPr>
          <w:p>
            <w:pPr>
              <w:pStyle w:val="84"/>
              <w:bidi w:val="0"/>
              <w:rPr>
                <w:color w:val="auto"/>
                <w:highlight w:val="none"/>
              </w:rPr>
            </w:pPr>
            <w:r>
              <w:rPr>
                <w:rFonts w:hint="default"/>
                <w:color w:val="auto"/>
                <w:highlight w:val="none"/>
                <w:lang w:val="en-US" w:eastAsia="zh-CN"/>
              </w:rPr>
              <w:t xml:space="preserve">1000 </w:t>
            </w:r>
          </w:p>
        </w:tc>
        <w:tc>
          <w:tcPr>
            <w:tcW w:w="640" w:type="pct"/>
            <w:shd w:val="clear" w:color="auto" w:fill="auto"/>
            <w:vAlign w:val="center"/>
          </w:tcPr>
          <w:p>
            <w:pPr>
              <w:pStyle w:val="84"/>
              <w:bidi w:val="0"/>
              <w:rPr>
                <w:color w:val="auto"/>
                <w:highlight w:val="none"/>
              </w:rPr>
            </w:pPr>
            <w:r>
              <w:rPr>
                <w:rFonts w:hint="eastAsia"/>
                <w:color w:val="auto"/>
                <w:highlight w:val="none"/>
                <w:lang w:val="en-US" w:eastAsia="zh-CN"/>
              </w:rPr>
              <w:t xml:space="preserve">5000 </w:t>
            </w:r>
          </w:p>
        </w:tc>
        <w:tc>
          <w:tcPr>
            <w:tcW w:w="433" w:type="pct"/>
            <w:shd w:val="clear" w:color="auto" w:fill="auto"/>
            <w:vAlign w:val="center"/>
          </w:tcPr>
          <w:p>
            <w:pPr>
              <w:pStyle w:val="84"/>
              <w:bidi w:val="0"/>
              <w:rPr>
                <w:color w:val="auto"/>
                <w:highlight w:val="none"/>
              </w:rPr>
            </w:pPr>
            <w:r>
              <w:rPr>
                <w:rFonts w:hint="default"/>
                <w:color w:val="auto"/>
                <w:highlight w:val="none"/>
                <w:lang w:val="en-US" w:eastAsia="zh-CN"/>
              </w:rPr>
              <w:t xml:space="preserve">1.21 </w:t>
            </w:r>
          </w:p>
        </w:tc>
        <w:tc>
          <w:tcPr>
            <w:tcW w:w="432" w:type="pct"/>
            <w:shd w:val="clear" w:color="auto" w:fill="auto"/>
            <w:vAlign w:val="center"/>
          </w:tcPr>
          <w:p>
            <w:pPr>
              <w:pStyle w:val="84"/>
              <w:bidi w:val="0"/>
              <w:rPr>
                <w:color w:val="auto"/>
                <w:highlight w:val="none"/>
              </w:rPr>
            </w:pPr>
            <w:r>
              <w:rPr>
                <w:rFonts w:hint="default"/>
                <w:color w:val="auto"/>
                <w:highlight w:val="none"/>
                <w:lang w:val="en-US" w:eastAsia="zh-CN"/>
              </w:rPr>
              <w:t xml:space="preserve">2.00 </w:t>
            </w:r>
          </w:p>
        </w:tc>
        <w:tc>
          <w:tcPr>
            <w:tcW w:w="782" w:type="dxa"/>
            <w:shd w:val="clear" w:color="auto" w:fill="auto"/>
            <w:vAlign w:val="center"/>
          </w:tcPr>
          <w:p>
            <w:pPr>
              <w:pStyle w:val="84"/>
              <w:bidi w:val="0"/>
              <w:rPr>
                <w:color w:val="auto"/>
                <w:highlight w:val="none"/>
              </w:rPr>
            </w:pPr>
            <w:r>
              <w:rPr>
                <w:rFonts w:hint="eastAsia"/>
                <w:color w:val="auto"/>
                <w:highlight w:val="none"/>
                <w:lang w:val="en-US" w:eastAsia="zh-CN"/>
              </w:rPr>
              <w:t xml:space="preserve">24 </w:t>
            </w:r>
          </w:p>
        </w:tc>
        <w:tc>
          <w:tcPr>
            <w:tcW w:w="860" w:type="dxa"/>
            <w:shd w:val="clear" w:color="auto" w:fill="auto"/>
            <w:vAlign w:val="center"/>
          </w:tcPr>
          <w:p>
            <w:pPr>
              <w:pStyle w:val="84"/>
              <w:bidi w:val="0"/>
              <w:rPr>
                <w:color w:val="auto"/>
                <w:highlight w:val="none"/>
              </w:rPr>
            </w:pPr>
            <w:r>
              <w:rPr>
                <w:rFonts w:hint="eastAsia"/>
                <w:color w:val="auto"/>
                <w:highlight w:val="none"/>
                <w:lang w:val="en-US" w:eastAsia="zh-CN"/>
              </w:rPr>
              <w:t xml:space="preserve">121 </w:t>
            </w:r>
          </w:p>
        </w:tc>
        <w:tc>
          <w:tcPr>
            <w:tcW w:w="801" w:type="dxa"/>
            <w:shd w:val="clear" w:color="auto" w:fill="auto"/>
            <w:vAlign w:val="center"/>
          </w:tcPr>
          <w:p>
            <w:pPr>
              <w:pStyle w:val="84"/>
              <w:bidi w:val="0"/>
              <w:rPr>
                <w:color w:val="auto"/>
                <w:highlight w:val="none"/>
              </w:rPr>
            </w:pPr>
            <w:r>
              <w:rPr>
                <w:rFonts w:hint="eastAsia"/>
                <w:color w:val="auto"/>
                <w:highlight w:val="none"/>
                <w:lang w:val="en-US" w:eastAsia="zh-CN"/>
              </w:rPr>
              <w:t xml:space="preserve">97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 w:type="pct"/>
            <w:vMerge w:val="continue"/>
            <w:vAlign w:val="center"/>
          </w:tcPr>
          <w:p>
            <w:pPr>
              <w:pStyle w:val="84"/>
              <w:bidi w:val="0"/>
              <w:rPr>
                <w:color w:val="auto"/>
                <w:highlight w:val="none"/>
              </w:rPr>
            </w:pPr>
          </w:p>
        </w:tc>
        <w:tc>
          <w:tcPr>
            <w:tcW w:w="437" w:type="pct"/>
            <w:vMerge w:val="restart"/>
            <w:shd w:val="clear" w:color="auto" w:fill="auto"/>
            <w:vAlign w:val="center"/>
          </w:tcPr>
          <w:p>
            <w:pPr>
              <w:pStyle w:val="84"/>
              <w:bidi w:val="0"/>
              <w:rPr>
                <w:color w:val="auto"/>
                <w:highlight w:val="none"/>
              </w:rPr>
            </w:pPr>
            <w:r>
              <w:rPr>
                <w:rFonts w:hint="eastAsia"/>
                <w:color w:val="auto"/>
                <w:highlight w:val="none"/>
                <w:lang w:val="en-US" w:eastAsia="zh-CN"/>
              </w:rPr>
              <w:t>自然恢复期</w:t>
            </w:r>
          </w:p>
        </w:tc>
        <w:tc>
          <w:tcPr>
            <w:tcW w:w="580" w:type="pct"/>
            <w:shd w:val="clear" w:color="auto" w:fill="auto"/>
            <w:vAlign w:val="center"/>
          </w:tcPr>
          <w:p>
            <w:pPr>
              <w:pStyle w:val="84"/>
              <w:bidi w:val="0"/>
              <w:rPr>
                <w:color w:val="auto"/>
                <w:highlight w:val="none"/>
              </w:rPr>
            </w:pPr>
            <w:r>
              <w:rPr>
                <w:rFonts w:hint="eastAsia"/>
                <w:color w:val="auto"/>
                <w:highlight w:val="none"/>
                <w:lang w:val="en-US" w:eastAsia="zh-CN"/>
              </w:rPr>
              <w:t>第一年</w:t>
            </w:r>
          </w:p>
        </w:tc>
        <w:tc>
          <w:tcPr>
            <w:tcW w:w="546" w:type="pct"/>
            <w:shd w:val="clear" w:color="auto" w:fill="auto"/>
            <w:vAlign w:val="center"/>
          </w:tcPr>
          <w:p>
            <w:pPr>
              <w:pStyle w:val="84"/>
              <w:bidi w:val="0"/>
              <w:rPr>
                <w:color w:val="auto"/>
                <w:highlight w:val="none"/>
              </w:rPr>
            </w:pPr>
            <w:r>
              <w:rPr>
                <w:rFonts w:hint="default"/>
                <w:color w:val="auto"/>
                <w:highlight w:val="none"/>
                <w:lang w:val="en-US" w:eastAsia="zh-CN"/>
              </w:rPr>
              <w:t xml:space="preserve">1000 </w:t>
            </w:r>
          </w:p>
        </w:tc>
        <w:tc>
          <w:tcPr>
            <w:tcW w:w="640" w:type="pct"/>
            <w:shd w:val="clear" w:color="auto" w:fill="auto"/>
            <w:vAlign w:val="center"/>
          </w:tcPr>
          <w:p>
            <w:pPr>
              <w:pStyle w:val="84"/>
              <w:bidi w:val="0"/>
              <w:rPr>
                <w:color w:val="auto"/>
                <w:highlight w:val="none"/>
              </w:rPr>
            </w:pPr>
            <w:r>
              <w:rPr>
                <w:rFonts w:hint="default"/>
                <w:color w:val="auto"/>
                <w:highlight w:val="none"/>
                <w:lang w:val="en-US" w:eastAsia="zh-CN"/>
              </w:rPr>
              <w:t xml:space="preserve">3800 </w:t>
            </w:r>
          </w:p>
        </w:tc>
        <w:tc>
          <w:tcPr>
            <w:tcW w:w="433" w:type="pct"/>
            <w:shd w:val="clear" w:color="auto" w:fill="auto"/>
            <w:vAlign w:val="center"/>
          </w:tcPr>
          <w:p>
            <w:pPr>
              <w:pStyle w:val="84"/>
              <w:bidi w:val="0"/>
              <w:rPr>
                <w:color w:val="auto"/>
                <w:highlight w:val="none"/>
              </w:rPr>
            </w:pPr>
            <w:r>
              <w:rPr>
                <w:rFonts w:hint="default"/>
                <w:color w:val="auto"/>
                <w:highlight w:val="none"/>
                <w:lang w:val="en-US" w:eastAsia="zh-CN"/>
              </w:rPr>
              <w:t xml:space="preserve">1.21 </w:t>
            </w:r>
          </w:p>
        </w:tc>
        <w:tc>
          <w:tcPr>
            <w:tcW w:w="432" w:type="pct"/>
            <w:shd w:val="clear" w:color="auto" w:fill="auto"/>
            <w:vAlign w:val="center"/>
          </w:tcPr>
          <w:p>
            <w:pPr>
              <w:pStyle w:val="84"/>
              <w:bidi w:val="0"/>
              <w:rPr>
                <w:color w:val="auto"/>
                <w:highlight w:val="none"/>
              </w:rPr>
            </w:pPr>
            <w:r>
              <w:rPr>
                <w:rFonts w:hint="default"/>
                <w:color w:val="auto"/>
                <w:highlight w:val="none"/>
                <w:lang w:val="en-US" w:eastAsia="zh-CN"/>
              </w:rPr>
              <w:t xml:space="preserve">1 </w:t>
            </w:r>
          </w:p>
        </w:tc>
        <w:tc>
          <w:tcPr>
            <w:tcW w:w="782" w:type="dxa"/>
            <w:shd w:val="clear" w:color="auto" w:fill="auto"/>
            <w:vAlign w:val="center"/>
          </w:tcPr>
          <w:p>
            <w:pPr>
              <w:pStyle w:val="84"/>
              <w:bidi w:val="0"/>
              <w:rPr>
                <w:color w:val="auto"/>
                <w:highlight w:val="none"/>
              </w:rPr>
            </w:pPr>
            <w:r>
              <w:rPr>
                <w:rFonts w:hint="eastAsia"/>
                <w:color w:val="auto"/>
                <w:highlight w:val="none"/>
                <w:lang w:val="en-US" w:eastAsia="zh-CN"/>
              </w:rPr>
              <w:t xml:space="preserve">12 </w:t>
            </w:r>
          </w:p>
        </w:tc>
        <w:tc>
          <w:tcPr>
            <w:tcW w:w="860" w:type="dxa"/>
            <w:shd w:val="clear" w:color="auto" w:fill="auto"/>
            <w:vAlign w:val="center"/>
          </w:tcPr>
          <w:p>
            <w:pPr>
              <w:pStyle w:val="84"/>
              <w:bidi w:val="0"/>
              <w:rPr>
                <w:color w:val="auto"/>
                <w:highlight w:val="none"/>
              </w:rPr>
            </w:pPr>
            <w:r>
              <w:rPr>
                <w:rFonts w:hint="eastAsia"/>
                <w:color w:val="auto"/>
                <w:highlight w:val="none"/>
                <w:lang w:val="en-US" w:eastAsia="zh-CN"/>
              </w:rPr>
              <w:t xml:space="preserve">46 </w:t>
            </w:r>
          </w:p>
        </w:tc>
        <w:tc>
          <w:tcPr>
            <w:tcW w:w="801" w:type="dxa"/>
            <w:shd w:val="clear" w:color="auto" w:fill="auto"/>
            <w:vAlign w:val="center"/>
          </w:tcPr>
          <w:p>
            <w:pPr>
              <w:pStyle w:val="84"/>
              <w:bidi w:val="0"/>
              <w:rPr>
                <w:color w:val="auto"/>
                <w:highlight w:val="none"/>
              </w:rPr>
            </w:pPr>
            <w:r>
              <w:rPr>
                <w:rFonts w:hint="eastAsia"/>
                <w:color w:val="auto"/>
                <w:highlight w:val="none"/>
                <w:lang w:val="en-US" w:eastAsia="zh-CN"/>
              </w:rPr>
              <w:t xml:space="preserve">34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 w:type="pct"/>
            <w:vMerge w:val="continue"/>
            <w:vAlign w:val="center"/>
          </w:tcPr>
          <w:p>
            <w:pPr>
              <w:pStyle w:val="84"/>
              <w:bidi w:val="0"/>
              <w:rPr>
                <w:color w:val="auto"/>
                <w:highlight w:val="none"/>
              </w:rPr>
            </w:pPr>
          </w:p>
        </w:tc>
        <w:tc>
          <w:tcPr>
            <w:tcW w:w="437" w:type="pct"/>
            <w:vMerge w:val="continue"/>
            <w:vAlign w:val="center"/>
          </w:tcPr>
          <w:p>
            <w:pPr>
              <w:pStyle w:val="84"/>
              <w:bidi w:val="0"/>
              <w:rPr>
                <w:color w:val="auto"/>
                <w:highlight w:val="none"/>
              </w:rPr>
            </w:pPr>
          </w:p>
        </w:tc>
        <w:tc>
          <w:tcPr>
            <w:tcW w:w="580" w:type="pct"/>
            <w:shd w:val="clear" w:color="auto" w:fill="auto"/>
            <w:vAlign w:val="center"/>
          </w:tcPr>
          <w:p>
            <w:pPr>
              <w:pStyle w:val="84"/>
              <w:bidi w:val="0"/>
              <w:rPr>
                <w:color w:val="auto"/>
                <w:highlight w:val="none"/>
              </w:rPr>
            </w:pPr>
            <w:r>
              <w:rPr>
                <w:rFonts w:hint="eastAsia"/>
                <w:color w:val="auto"/>
                <w:highlight w:val="none"/>
                <w:lang w:val="en-US" w:eastAsia="zh-CN"/>
              </w:rPr>
              <w:t>第二年</w:t>
            </w:r>
          </w:p>
        </w:tc>
        <w:tc>
          <w:tcPr>
            <w:tcW w:w="546" w:type="pct"/>
            <w:shd w:val="clear" w:color="auto" w:fill="auto"/>
            <w:vAlign w:val="center"/>
          </w:tcPr>
          <w:p>
            <w:pPr>
              <w:pStyle w:val="84"/>
              <w:bidi w:val="0"/>
              <w:rPr>
                <w:color w:val="auto"/>
                <w:highlight w:val="none"/>
              </w:rPr>
            </w:pPr>
            <w:r>
              <w:rPr>
                <w:rFonts w:hint="default"/>
                <w:color w:val="auto"/>
                <w:highlight w:val="none"/>
                <w:lang w:val="en-US" w:eastAsia="zh-CN"/>
              </w:rPr>
              <w:t xml:space="preserve">1000 </w:t>
            </w:r>
          </w:p>
        </w:tc>
        <w:tc>
          <w:tcPr>
            <w:tcW w:w="640" w:type="pct"/>
            <w:shd w:val="clear" w:color="auto" w:fill="auto"/>
            <w:vAlign w:val="center"/>
          </w:tcPr>
          <w:p>
            <w:pPr>
              <w:pStyle w:val="84"/>
              <w:bidi w:val="0"/>
              <w:rPr>
                <w:color w:val="auto"/>
                <w:highlight w:val="none"/>
              </w:rPr>
            </w:pPr>
            <w:r>
              <w:rPr>
                <w:rFonts w:hint="default"/>
                <w:color w:val="auto"/>
                <w:highlight w:val="none"/>
                <w:lang w:val="en-US" w:eastAsia="zh-CN"/>
              </w:rPr>
              <w:t xml:space="preserve">2700 </w:t>
            </w:r>
          </w:p>
        </w:tc>
        <w:tc>
          <w:tcPr>
            <w:tcW w:w="433" w:type="pct"/>
            <w:shd w:val="clear" w:color="auto" w:fill="auto"/>
            <w:vAlign w:val="center"/>
          </w:tcPr>
          <w:p>
            <w:pPr>
              <w:pStyle w:val="84"/>
              <w:bidi w:val="0"/>
              <w:rPr>
                <w:color w:val="auto"/>
                <w:highlight w:val="none"/>
              </w:rPr>
            </w:pPr>
            <w:r>
              <w:rPr>
                <w:rFonts w:hint="default"/>
                <w:color w:val="auto"/>
                <w:highlight w:val="none"/>
                <w:lang w:val="en-US" w:eastAsia="zh-CN"/>
              </w:rPr>
              <w:t xml:space="preserve">1.21 </w:t>
            </w:r>
          </w:p>
        </w:tc>
        <w:tc>
          <w:tcPr>
            <w:tcW w:w="432" w:type="pct"/>
            <w:shd w:val="clear" w:color="auto" w:fill="auto"/>
            <w:vAlign w:val="center"/>
          </w:tcPr>
          <w:p>
            <w:pPr>
              <w:pStyle w:val="84"/>
              <w:bidi w:val="0"/>
              <w:rPr>
                <w:color w:val="auto"/>
                <w:highlight w:val="none"/>
              </w:rPr>
            </w:pPr>
            <w:r>
              <w:rPr>
                <w:rFonts w:hint="default"/>
                <w:color w:val="auto"/>
                <w:highlight w:val="none"/>
                <w:lang w:val="en-US" w:eastAsia="zh-CN"/>
              </w:rPr>
              <w:t xml:space="preserve">1 </w:t>
            </w:r>
          </w:p>
        </w:tc>
        <w:tc>
          <w:tcPr>
            <w:tcW w:w="782" w:type="dxa"/>
            <w:shd w:val="clear" w:color="auto" w:fill="auto"/>
            <w:vAlign w:val="center"/>
          </w:tcPr>
          <w:p>
            <w:pPr>
              <w:pStyle w:val="84"/>
              <w:bidi w:val="0"/>
              <w:rPr>
                <w:color w:val="auto"/>
                <w:highlight w:val="none"/>
              </w:rPr>
            </w:pPr>
            <w:r>
              <w:rPr>
                <w:rFonts w:hint="eastAsia"/>
                <w:color w:val="auto"/>
                <w:highlight w:val="none"/>
                <w:lang w:val="en-US" w:eastAsia="zh-CN"/>
              </w:rPr>
              <w:t xml:space="preserve">12 </w:t>
            </w:r>
          </w:p>
        </w:tc>
        <w:tc>
          <w:tcPr>
            <w:tcW w:w="860" w:type="dxa"/>
            <w:shd w:val="clear" w:color="auto" w:fill="auto"/>
            <w:vAlign w:val="center"/>
          </w:tcPr>
          <w:p>
            <w:pPr>
              <w:pStyle w:val="84"/>
              <w:bidi w:val="0"/>
              <w:rPr>
                <w:color w:val="auto"/>
                <w:highlight w:val="none"/>
              </w:rPr>
            </w:pPr>
            <w:r>
              <w:rPr>
                <w:rFonts w:hint="eastAsia"/>
                <w:color w:val="auto"/>
                <w:highlight w:val="none"/>
                <w:lang w:val="en-US" w:eastAsia="zh-CN"/>
              </w:rPr>
              <w:t xml:space="preserve">33 </w:t>
            </w:r>
          </w:p>
        </w:tc>
        <w:tc>
          <w:tcPr>
            <w:tcW w:w="801" w:type="dxa"/>
            <w:shd w:val="clear" w:color="auto" w:fill="auto"/>
            <w:vAlign w:val="center"/>
          </w:tcPr>
          <w:p>
            <w:pPr>
              <w:pStyle w:val="84"/>
              <w:bidi w:val="0"/>
              <w:rPr>
                <w:color w:val="auto"/>
                <w:highlight w:val="none"/>
              </w:rPr>
            </w:pPr>
            <w:r>
              <w:rPr>
                <w:rFonts w:hint="eastAsia"/>
                <w:color w:val="auto"/>
                <w:highlight w:val="none"/>
                <w:lang w:val="en-US" w:eastAsia="zh-CN"/>
              </w:rPr>
              <w:t xml:space="preserve">21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 w:type="pct"/>
            <w:vMerge w:val="continue"/>
            <w:vAlign w:val="center"/>
          </w:tcPr>
          <w:p>
            <w:pPr>
              <w:pStyle w:val="84"/>
              <w:bidi w:val="0"/>
              <w:rPr>
                <w:color w:val="auto"/>
                <w:highlight w:val="none"/>
              </w:rPr>
            </w:pPr>
          </w:p>
        </w:tc>
        <w:tc>
          <w:tcPr>
            <w:tcW w:w="437" w:type="pct"/>
            <w:vMerge w:val="continue"/>
            <w:vAlign w:val="center"/>
          </w:tcPr>
          <w:p>
            <w:pPr>
              <w:pStyle w:val="84"/>
              <w:bidi w:val="0"/>
              <w:rPr>
                <w:color w:val="auto"/>
                <w:highlight w:val="none"/>
              </w:rPr>
            </w:pPr>
          </w:p>
        </w:tc>
        <w:tc>
          <w:tcPr>
            <w:tcW w:w="580" w:type="pct"/>
            <w:shd w:val="clear" w:color="auto" w:fill="auto"/>
            <w:vAlign w:val="center"/>
          </w:tcPr>
          <w:p>
            <w:pPr>
              <w:pStyle w:val="84"/>
              <w:bidi w:val="0"/>
              <w:rPr>
                <w:color w:val="auto"/>
                <w:highlight w:val="none"/>
              </w:rPr>
            </w:pPr>
            <w:r>
              <w:rPr>
                <w:rFonts w:hint="eastAsia"/>
                <w:color w:val="auto"/>
                <w:highlight w:val="none"/>
                <w:lang w:val="en-US" w:eastAsia="zh-CN"/>
              </w:rPr>
              <w:t>第三年</w:t>
            </w:r>
          </w:p>
        </w:tc>
        <w:tc>
          <w:tcPr>
            <w:tcW w:w="546" w:type="pct"/>
            <w:shd w:val="clear" w:color="auto" w:fill="auto"/>
            <w:vAlign w:val="center"/>
          </w:tcPr>
          <w:p>
            <w:pPr>
              <w:pStyle w:val="84"/>
              <w:bidi w:val="0"/>
              <w:rPr>
                <w:color w:val="auto"/>
                <w:highlight w:val="none"/>
              </w:rPr>
            </w:pPr>
            <w:r>
              <w:rPr>
                <w:rFonts w:hint="default"/>
                <w:color w:val="auto"/>
                <w:highlight w:val="none"/>
                <w:lang w:val="en-US" w:eastAsia="zh-CN"/>
              </w:rPr>
              <w:t xml:space="preserve">1000 </w:t>
            </w:r>
          </w:p>
        </w:tc>
        <w:tc>
          <w:tcPr>
            <w:tcW w:w="640" w:type="pct"/>
            <w:shd w:val="clear" w:color="auto" w:fill="auto"/>
            <w:vAlign w:val="center"/>
          </w:tcPr>
          <w:p>
            <w:pPr>
              <w:pStyle w:val="84"/>
              <w:bidi w:val="0"/>
              <w:rPr>
                <w:color w:val="auto"/>
                <w:highlight w:val="none"/>
              </w:rPr>
            </w:pPr>
            <w:r>
              <w:rPr>
                <w:rFonts w:hint="default"/>
                <w:color w:val="auto"/>
                <w:highlight w:val="none"/>
                <w:lang w:val="en-US" w:eastAsia="zh-CN"/>
              </w:rPr>
              <w:t xml:space="preserve">1600 </w:t>
            </w:r>
          </w:p>
        </w:tc>
        <w:tc>
          <w:tcPr>
            <w:tcW w:w="433" w:type="pct"/>
            <w:shd w:val="clear" w:color="auto" w:fill="auto"/>
            <w:vAlign w:val="center"/>
          </w:tcPr>
          <w:p>
            <w:pPr>
              <w:pStyle w:val="84"/>
              <w:bidi w:val="0"/>
              <w:rPr>
                <w:color w:val="auto"/>
                <w:highlight w:val="none"/>
              </w:rPr>
            </w:pPr>
            <w:r>
              <w:rPr>
                <w:rFonts w:hint="default"/>
                <w:color w:val="auto"/>
                <w:highlight w:val="none"/>
                <w:lang w:val="en-US" w:eastAsia="zh-CN"/>
              </w:rPr>
              <w:t xml:space="preserve">1.21 </w:t>
            </w:r>
          </w:p>
        </w:tc>
        <w:tc>
          <w:tcPr>
            <w:tcW w:w="432" w:type="pct"/>
            <w:shd w:val="clear" w:color="auto" w:fill="auto"/>
            <w:vAlign w:val="center"/>
          </w:tcPr>
          <w:p>
            <w:pPr>
              <w:pStyle w:val="84"/>
              <w:bidi w:val="0"/>
              <w:rPr>
                <w:color w:val="auto"/>
                <w:highlight w:val="none"/>
              </w:rPr>
            </w:pPr>
            <w:r>
              <w:rPr>
                <w:rFonts w:hint="default"/>
                <w:color w:val="auto"/>
                <w:highlight w:val="none"/>
                <w:lang w:val="en-US" w:eastAsia="zh-CN"/>
              </w:rPr>
              <w:t xml:space="preserve">1 </w:t>
            </w:r>
          </w:p>
        </w:tc>
        <w:tc>
          <w:tcPr>
            <w:tcW w:w="782" w:type="dxa"/>
            <w:shd w:val="clear" w:color="auto" w:fill="auto"/>
            <w:vAlign w:val="center"/>
          </w:tcPr>
          <w:p>
            <w:pPr>
              <w:pStyle w:val="84"/>
              <w:bidi w:val="0"/>
              <w:rPr>
                <w:color w:val="auto"/>
                <w:highlight w:val="none"/>
              </w:rPr>
            </w:pPr>
            <w:r>
              <w:rPr>
                <w:rFonts w:hint="eastAsia"/>
                <w:color w:val="auto"/>
                <w:highlight w:val="none"/>
                <w:lang w:val="en-US" w:eastAsia="zh-CN"/>
              </w:rPr>
              <w:t xml:space="preserve">12 </w:t>
            </w:r>
          </w:p>
        </w:tc>
        <w:tc>
          <w:tcPr>
            <w:tcW w:w="860" w:type="dxa"/>
            <w:shd w:val="clear" w:color="auto" w:fill="auto"/>
            <w:vAlign w:val="center"/>
          </w:tcPr>
          <w:p>
            <w:pPr>
              <w:pStyle w:val="84"/>
              <w:bidi w:val="0"/>
              <w:rPr>
                <w:color w:val="auto"/>
                <w:highlight w:val="none"/>
              </w:rPr>
            </w:pPr>
            <w:r>
              <w:rPr>
                <w:rFonts w:hint="eastAsia"/>
                <w:color w:val="auto"/>
                <w:highlight w:val="none"/>
                <w:lang w:val="en-US" w:eastAsia="zh-CN"/>
              </w:rPr>
              <w:t xml:space="preserve">19 </w:t>
            </w:r>
          </w:p>
        </w:tc>
        <w:tc>
          <w:tcPr>
            <w:tcW w:w="801" w:type="dxa"/>
            <w:shd w:val="clear" w:color="auto" w:fill="auto"/>
            <w:vAlign w:val="center"/>
          </w:tcPr>
          <w:p>
            <w:pPr>
              <w:pStyle w:val="84"/>
              <w:bidi w:val="0"/>
              <w:rPr>
                <w:color w:val="auto"/>
                <w:highlight w:val="none"/>
              </w:rPr>
            </w:pPr>
            <w:r>
              <w:rPr>
                <w:rFonts w:hint="eastAsia"/>
                <w:color w:val="auto"/>
                <w:highlight w:val="none"/>
                <w:lang w:val="en-US" w:eastAsia="zh-CN"/>
              </w:rPr>
              <w:t xml:space="preserve">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 w:type="pct"/>
            <w:vMerge w:val="continue"/>
            <w:vAlign w:val="center"/>
          </w:tcPr>
          <w:p>
            <w:pPr>
              <w:pStyle w:val="84"/>
              <w:bidi w:val="0"/>
              <w:rPr>
                <w:color w:val="auto"/>
                <w:highlight w:val="none"/>
              </w:rPr>
            </w:pPr>
          </w:p>
        </w:tc>
        <w:tc>
          <w:tcPr>
            <w:tcW w:w="437" w:type="pct"/>
            <w:vMerge w:val="continue"/>
            <w:vAlign w:val="center"/>
          </w:tcPr>
          <w:p>
            <w:pPr>
              <w:pStyle w:val="84"/>
              <w:bidi w:val="0"/>
              <w:rPr>
                <w:color w:val="auto"/>
                <w:highlight w:val="none"/>
              </w:rPr>
            </w:pPr>
          </w:p>
        </w:tc>
        <w:tc>
          <w:tcPr>
            <w:tcW w:w="580" w:type="pct"/>
            <w:shd w:val="clear" w:color="auto" w:fill="auto"/>
            <w:vAlign w:val="center"/>
          </w:tcPr>
          <w:p>
            <w:pPr>
              <w:pStyle w:val="84"/>
              <w:bidi w:val="0"/>
              <w:rPr>
                <w:color w:val="auto"/>
                <w:highlight w:val="none"/>
              </w:rPr>
            </w:pPr>
            <w:r>
              <w:rPr>
                <w:rFonts w:hint="eastAsia"/>
                <w:color w:val="auto"/>
                <w:highlight w:val="none"/>
                <w:lang w:val="en-US" w:eastAsia="zh-CN"/>
              </w:rPr>
              <w:t>第四年</w:t>
            </w:r>
          </w:p>
        </w:tc>
        <w:tc>
          <w:tcPr>
            <w:tcW w:w="546" w:type="pct"/>
            <w:shd w:val="clear" w:color="auto" w:fill="auto"/>
            <w:vAlign w:val="center"/>
          </w:tcPr>
          <w:p>
            <w:pPr>
              <w:pStyle w:val="84"/>
              <w:bidi w:val="0"/>
              <w:rPr>
                <w:color w:val="auto"/>
                <w:highlight w:val="none"/>
              </w:rPr>
            </w:pPr>
            <w:r>
              <w:rPr>
                <w:rFonts w:hint="default"/>
                <w:color w:val="auto"/>
                <w:highlight w:val="none"/>
                <w:lang w:val="en-US" w:eastAsia="zh-CN"/>
              </w:rPr>
              <w:t xml:space="preserve">1000 </w:t>
            </w:r>
          </w:p>
        </w:tc>
        <w:tc>
          <w:tcPr>
            <w:tcW w:w="640" w:type="pct"/>
            <w:shd w:val="clear" w:color="auto" w:fill="auto"/>
            <w:vAlign w:val="center"/>
          </w:tcPr>
          <w:p>
            <w:pPr>
              <w:pStyle w:val="84"/>
              <w:bidi w:val="0"/>
              <w:rPr>
                <w:color w:val="auto"/>
                <w:highlight w:val="none"/>
              </w:rPr>
            </w:pPr>
            <w:r>
              <w:rPr>
                <w:rFonts w:hint="default"/>
                <w:color w:val="auto"/>
                <w:highlight w:val="none"/>
                <w:lang w:val="en-US" w:eastAsia="zh-CN"/>
              </w:rPr>
              <w:t xml:space="preserve">1300 </w:t>
            </w:r>
          </w:p>
        </w:tc>
        <w:tc>
          <w:tcPr>
            <w:tcW w:w="433" w:type="pct"/>
            <w:shd w:val="clear" w:color="auto" w:fill="auto"/>
            <w:vAlign w:val="center"/>
          </w:tcPr>
          <w:p>
            <w:pPr>
              <w:pStyle w:val="84"/>
              <w:bidi w:val="0"/>
              <w:rPr>
                <w:color w:val="auto"/>
                <w:highlight w:val="none"/>
              </w:rPr>
            </w:pPr>
            <w:r>
              <w:rPr>
                <w:rFonts w:hint="default"/>
                <w:color w:val="auto"/>
                <w:highlight w:val="none"/>
                <w:lang w:val="en-US" w:eastAsia="zh-CN"/>
              </w:rPr>
              <w:t xml:space="preserve">1.21 </w:t>
            </w:r>
          </w:p>
        </w:tc>
        <w:tc>
          <w:tcPr>
            <w:tcW w:w="432" w:type="pct"/>
            <w:shd w:val="clear" w:color="auto" w:fill="auto"/>
            <w:vAlign w:val="center"/>
          </w:tcPr>
          <w:p>
            <w:pPr>
              <w:pStyle w:val="84"/>
              <w:bidi w:val="0"/>
              <w:rPr>
                <w:color w:val="auto"/>
                <w:highlight w:val="none"/>
              </w:rPr>
            </w:pPr>
            <w:r>
              <w:rPr>
                <w:rFonts w:hint="default"/>
                <w:color w:val="auto"/>
                <w:highlight w:val="none"/>
                <w:lang w:val="en-US" w:eastAsia="zh-CN"/>
              </w:rPr>
              <w:t xml:space="preserve">1 </w:t>
            </w:r>
          </w:p>
        </w:tc>
        <w:tc>
          <w:tcPr>
            <w:tcW w:w="782" w:type="dxa"/>
            <w:shd w:val="clear" w:color="auto" w:fill="auto"/>
            <w:vAlign w:val="center"/>
          </w:tcPr>
          <w:p>
            <w:pPr>
              <w:pStyle w:val="84"/>
              <w:bidi w:val="0"/>
              <w:rPr>
                <w:color w:val="auto"/>
                <w:highlight w:val="none"/>
              </w:rPr>
            </w:pPr>
            <w:r>
              <w:rPr>
                <w:rFonts w:hint="eastAsia"/>
                <w:color w:val="auto"/>
                <w:highlight w:val="none"/>
                <w:lang w:val="en-US" w:eastAsia="zh-CN"/>
              </w:rPr>
              <w:t xml:space="preserve">12 </w:t>
            </w:r>
          </w:p>
        </w:tc>
        <w:tc>
          <w:tcPr>
            <w:tcW w:w="860" w:type="dxa"/>
            <w:shd w:val="clear" w:color="auto" w:fill="auto"/>
            <w:vAlign w:val="center"/>
          </w:tcPr>
          <w:p>
            <w:pPr>
              <w:pStyle w:val="84"/>
              <w:bidi w:val="0"/>
              <w:rPr>
                <w:color w:val="auto"/>
                <w:highlight w:val="none"/>
              </w:rPr>
            </w:pPr>
            <w:r>
              <w:rPr>
                <w:rFonts w:hint="eastAsia"/>
                <w:color w:val="auto"/>
                <w:highlight w:val="none"/>
                <w:lang w:val="en-US" w:eastAsia="zh-CN"/>
              </w:rPr>
              <w:t xml:space="preserve">16 </w:t>
            </w:r>
          </w:p>
        </w:tc>
        <w:tc>
          <w:tcPr>
            <w:tcW w:w="801" w:type="dxa"/>
            <w:shd w:val="clear" w:color="auto" w:fill="auto"/>
            <w:vAlign w:val="center"/>
          </w:tcPr>
          <w:p>
            <w:pPr>
              <w:pStyle w:val="84"/>
              <w:bidi w:val="0"/>
              <w:rPr>
                <w:color w:val="auto"/>
                <w:highlight w:val="none"/>
              </w:rPr>
            </w:pPr>
            <w:r>
              <w:rPr>
                <w:rFonts w:hint="eastAsia"/>
                <w:color w:val="auto"/>
                <w:highlight w:val="none"/>
                <w:lang w:val="en-US" w:eastAsia="zh-CN"/>
              </w:rPr>
              <w:t xml:space="preserve">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 w:type="pct"/>
            <w:vMerge w:val="continue"/>
            <w:vAlign w:val="center"/>
          </w:tcPr>
          <w:p>
            <w:pPr>
              <w:pStyle w:val="84"/>
              <w:bidi w:val="0"/>
              <w:rPr>
                <w:color w:val="auto"/>
                <w:highlight w:val="none"/>
              </w:rPr>
            </w:pPr>
          </w:p>
        </w:tc>
        <w:tc>
          <w:tcPr>
            <w:tcW w:w="437" w:type="pct"/>
            <w:vMerge w:val="continue"/>
            <w:vAlign w:val="center"/>
          </w:tcPr>
          <w:p>
            <w:pPr>
              <w:pStyle w:val="84"/>
              <w:bidi w:val="0"/>
              <w:rPr>
                <w:color w:val="auto"/>
                <w:highlight w:val="none"/>
              </w:rPr>
            </w:pPr>
          </w:p>
        </w:tc>
        <w:tc>
          <w:tcPr>
            <w:tcW w:w="580" w:type="pct"/>
            <w:shd w:val="clear" w:color="auto" w:fill="auto"/>
            <w:vAlign w:val="center"/>
          </w:tcPr>
          <w:p>
            <w:pPr>
              <w:pStyle w:val="84"/>
              <w:bidi w:val="0"/>
              <w:rPr>
                <w:color w:val="auto"/>
                <w:highlight w:val="none"/>
              </w:rPr>
            </w:pPr>
            <w:r>
              <w:rPr>
                <w:rFonts w:hint="eastAsia"/>
                <w:color w:val="auto"/>
                <w:highlight w:val="none"/>
                <w:lang w:val="en-US" w:eastAsia="zh-CN"/>
              </w:rPr>
              <w:t>第五年</w:t>
            </w:r>
          </w:p>
        </w:tc>
        <w:tc>
          <w:tcPr>
            <w:tcW w:w="546" w:type="pct"/>
            <w:shd w:val="clear" w:color="auto" w:fill="auto"/>
            <w:vAlign w:val="center"/>
          </w:tcPr>
          <w:p>
            <w:pPr>
              <w:pStyle w:val="84"/>
              <w:bidi w:val="0"/>
              <w:rPr>
                <w:color w:val="auto"/>
                <w:highlight w:val="none"/>
              </w:rPr>
            </w:pPr>
            <w:r>
              <w:rPr>
                <w:rFonts w:hint="default"/>
                <w:color w:val="auto"/>
                <w:highlight w:val="none"/>
                <w:lang w:val="en-US" w:eastAsia="zh-CN"/>
              </w:rPr>
              <w:t xml:space="preserve">1000 </w:t>
            </w:r>
          </w:p>
        </w:tc>
        <w:tc>
          <w:tcPr>
            <w:tcW w:w="640" w:type="pct"/>
            <w:shd w:val="clear" w:color="auto" w:fill="auto"/>
            <w:vAlign w:val="center"/>
          </w:tcPr>
          <w:p>
            <w:pPr>
              <w:pStyle w:val="84"/>
              <w:bidi w:val="0"/>
              <w:rPr>
                <w:color w:val="auto"/>
                <w:highlight w:val="none"/>
              </w:rPr>
            </w:pPr>
            <w:r>
              <w:rPr>
                <w:rFonts w:hint="default"/>
                <w:color w:val="auto"/>
                <w:highlight w:val="none"/>
                <w:lang w:val="en-US" w:eastAsia="zh-CN"/>
              </w:rPr>
              <w:t xml:space="preserve">1000 </w:t>
            </w:r>
          </w:p>
        </w:tc>
        <w:tc>
          <w:tcPr>
            <w:tcW w:w="433" w:type="pct"/>
            <w:shd w:val="clear" w:color="auto" w:fill="auto"/>
            <w:vAlign w:val="center"/>
          </w:tcPr>
          <w:p>
            <w:pPr>
              <w:pStyle w:val="84"/>
              <w:bidi w:val="0"/>
              <w:rPr>
                <w:color w:val="auto"/>
                <w:highlight w:val="none"/>
              </w:rPr>
            </w:pPr>
            <w:r>
              <w:rPr>
                <w:rFonts w:hint="default"/>
                <w:color w:val="auto"/>
                <w:highlight w:val="none"/>
                <w:lang w:val="en-US" w:eastAsia="zh-CN"/>
              </w:rPr>
              <w:t xml:space="preserve">1.21 </w:t>
            </w:r>
          </w:p>
        </w:tc>
        <w:tc>
          <w:tcPr>
            <w:tcW w:w="432" w:type="pct"/>
            <w:shd w:val="clear" w:color="auto" w:fill="auto"/>
            <w:vAlign w:val="center"/>
          </w:tcPr>
          <w:p>
            <w:pPr>
              <w:pStyle w:val="84"/>
              <w:bidi w:val="0"/>
              <w:rPr>
                <w:color w:val="auto"/>
                <w:highlight w:val="none"/>
              </w:rPr>
            </w:pPr>
            <w:r>
              <w:rPr>
                <w:rFonts w:hint="default"/>
                <w:color w:val="auto"/>
                <w:highlight w:val="none"/>
                <w:lang w:val="en-US" w:eastAsia="zh-CN"/>
              </w:rPr>
              <w:t xml:space="preserve">1 </w:t>
            </w:r>
          </w:p>
        </w:tc>
        <w:tc>
          <w:tcPr>
            <w:tcW w:w="782" w:type="dxa"/>
            <w:shd w:val="clear" w:color="auto" w:fill="auto"/>
            <w:vAlign w:val="center"/>
          </w:tcPr>
          <w:p>
            <w:pPr>
              <w:pStyle w:val="84"/>
              <w:bidi w:val="0"/>
              <w:rPr>
                <w:color w:val="auto"/>
                <w:highlight w:val="none"/>
              </w:rPr>
            </w:pPr>
            <w:r>
              <w:rPr>
                <w:rFonts w:hint="eastAsia"/>
                <w:color w:val="auto"/>
                <w:highlight w:val="none"/>
                <w:lang w:val="en-US" w:eastAsia="zh-CN"/>
              </w:rPr>
              <w:t xml:space="preserve">12 </w:t>
            </w:r>
          </w:p>
        </w:tc>
        <w:tc>
          <w:tcPr>
            <w:tcW w:w="860" w:type="dxa"/>
            <w:shd w:val="clear" w:color="auto" w:fill="auto"/>
            <w:vAlign w:val="center"/>
          </w:tcPr>
          <w:p>
            <w:pPr>
              <w:pStyle w:val="84"/>
              <w:bidi w:val="0"/>
              <w:rPr>
                <w:color w:val="auto"/>
                <w:highlight w:val="none"/>
              </w:rPr>
            </w:pPr>
            <w:r>
              <w:rPr>
                <w:rFonts w:hint="eastAsia"/>
                <w:color w:val="auto"/>
                <w:highlight w:val="none"/>
                <w:lang w:val="en-US" w:eastAsia="zh-CN"/>
              </w:rPr>
              <w:t xml:space="preserve">12 </w:t>
            </w:r>
          </w:p>
        </w:tc>
        <w:tc>
          <w:tcPr>
            <w:tcW w:w="801" w:type="dxa"/>
            <w:shd w:val="clear" w:color="auto" w:fill="auto"/>
            <w:vAlign w:val="center"/>
          </w:tcPr>
          <w:p>
            <w:pPr>
              <w:pStyle w:val="84"/>
              <w:bidi w:val="0"/>
              <w:rPr>
                <w:color w:val="auto"/>
                <w:highlight w:val="none"/>
              </w:rPr>
            </w:pPr>
            <w:r>
              <w:rPr>
                <w:rFonts w:hint="eastAsia"/>
                <w:color w:val="auto"/>
                <w:highlight w:val="none"/>
                <w:lang w:val="en-US" w:eastAsia="zh-CN"/>
              </w:rP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 w:type="pct"/>
            <w:vMerge w:val="continue"/>
            <w:vAlign w:val="center"/>
          </w:tcPr>
          <w:p>
            <w:pPr>
              <w:pStyle w:val="84"/>
              <w:bidi w:val="0"/>
              <w:rPr>
                <w:color w:val="auto"/>
                <w:highlight w:val="none"/>
              </w:rPr>
            </w:pPr>
          </w:p>
        </w:tc>
        <w:tc>
          <w:tcPr>
            <w:tcW w:w="1017" w:type="pct"/>
            <w:gridSpan w:val="2"/>
            <w:shd w:val="clear" w:color="auto" w:fill="auto"/>
            <w:vAlign w:val="center"/>
          </w:tcPr>
          <w:p>
            <w:pPr>
              <w:pStyle w:val="84"/>
              <w:bidi w:val="0"/>
              <w:rPr>
                <w:color w:val="auto"/>
                <w:highlight w:val="none"/>
              </w:rPr>
            </w:pPr>
            <w:r>
              <w:rPr>
                <w:rFonts w:hint="eastAsia"/>
                <w:color w:val="auto"/>
                <w:highlight w:val="none"/>
                <w:lang w:val="en-US" w:eastAsia="zh-CN"/>
              </w:rPr>
              <w:t>小计</w:t>
            </w:r>
          </w:p>
        </w:tc>
        <w:tc>
          <w:tcPr>
            <w:tcW w:w="546" w:type="pct"/>
            <w:shd w:val="clear" w:color="auto" w:fill="auto"/>
            <w:vAlign w:val="center"/>
          </w:tcPr>
          <w:p>
            <w:pPr>
              <w:pStyle w:val="84"/>
              <w:bidi w:val="0"/>
              <w:rPr>
                <w:color w:val="auto"/>
                <w:highlight w:val="none"/>
              </w:rPr>
            </w:pPr>
          </w:p>
        </w:tc>
        <w:tc>
          <w:tcPr>
            <w:tcW w:w="640" w:type="pct"/>
            <w:shd w:val="clear" w:color="auto" w:fill="auto"/>
            <w:vAlign w:val="center"/>
          </w:tcPr>
          <w:p>
            <w:pPr>
              <w:pStyle w:val="84"/>
              <w:bidi w:val="0"/>
              <w:rPr>
                <w:color w:val="auto"/>
                <w:highlight w:val="none"/>
              </w:rPr>
            </w:pPr>
          </w:p>
        </w:tc>
        <w:tc>
          <w:tcPr>
            <w:tcW w:w="433" w:type="pct"/>
            <w:shd w:val="clear" w:color="auto" w:fill="auto"/>
            <w:vAlign w:val="center"/>
          </w:tcPr>
          <w:p>
            <w:pPr>
              <w:pStyle w:val="84"/>
              <w:bidi w:val="0"/>
              <w:rPr>
                <w:color w:val="auto"/>
                <w:highlight w:val="none"/>
              </w:rPr>
            </w:pPr>
          </w:p>
        </w:tc>
        <w:tc>
          <w:tcPr>
            <w:tcW w:w="432" w:type="pct"/>
            <w:shd w:val="clear" w:color="auto" w:fill="auto"/>
            <w:vAlign w:val="center"/>
          </w:tcPr>
          <w:p>
            <w:pPr>
              <w:pStyle w:val="84"/>
              <w:bidi w:val="0"/>
              <w:rPr>
                <w:color w:val="auto"/>
                <w:highlight w:val="none"/>
              </w:rPr>
            </w:pPr>
          </w:p>
        </w:tc>
        <w:tc>
          <w:tcPr>
            <w:tcW w:w="782" w:type="dxa"/>
            <w:shd w:val="clear" w:color="auto" w:fill="auto"/>
            <w:vAlign w:val="center"/>
          </w:tcPr>
          <w:p>
            <w:pPr>
              <w:pStyle w:val="84"/>
              <w:bidi w:val="0"/>
              <w:rPr>
                <w:color w:val="auto"/>
                <w:highlight w:val="none"/>
              </w:rPr>
            </w:pPr>
            <w:r>
              <w:rPr>
                <w:rFonts w:hint="eastAsia"/>
                <w:color w:val="auto"/>
                <w:highlight w:val="none"/>
                <w:lang w:val="en-US" w:eastAsia="zh-CN"/>
              </w:rPr>
              <w:t xml:space="preserve">85 </w:t>
            </w:r>
          </w:p>
        </w:tc>
        <w:tc>
          <w:tcPr>
            <w:tcW w:w="860" w:type="dxa"/>
            <w:shd w:val="clear" w:color="auto" w:fill="auto"/>
            <w:vAlign w:val="center"/>
          </w:tcPr>
          <w:p>
            <w:pPr>
              <w:pStyle w:val="84"/>
              <w:bidi w:val="0"/>
              <w:rPr>
                <w:color w:val="auto"/>
                <w:highlight w:val="none"/>
              </w:rPr>
            </w:pPr>
            <w:r>
              <w:rPr>
                <w:rFonts w:hint="eastAsia"/>
                <w:color w:val="auto"/>
                <w:highlight w:val="none"/>
                <w:lang w:val="en-US" w:eastAsia="zh-CN"/>
              </w:rPr>
              <w:t xml:space="preserve">247 </w:t>
            </w:r>
          </w:p>
        </w:tc>
        <w:tc>
          <w:tcPr>
            <w:tcW w:w="801" w:type="dxa"/>
            <w:shd w:val="clear" w:color="auto" w:fill="auto"/>
            <w:vAlign w:val="center"/>
          </w:tcPr>
          <w:p>
            <w:pPr>
              <w:pStyle w:val="84"/>
              <w:bidi w:val="0"/>
              <w:rPr>
                <w:color w:val="auto"/>
                <w:highlight w:val="none"/>
              </w:rPr>
            </w:pPr>
            <w:r>
              <w:rPr>
                <w:rFonts w:hint="eastAsia"/>
                <w:color w:val="auto"/>
                <w:highlight w:val="none"/>
                <w:lang w:val="en-US" w:eastAsia="zh-CN"/>
              </w:rPr>
              <w:t xml:space="preserve">162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 w:type="pct"/>
            <w:vAlign w:val="center"/>
          </w:tcPr>
          <w:p>
            <w:pPr>
              <w:pStyle w:val="84"/>
              <w:bidi w:val="0"/>
              <w:rPr>
                <w:color w:val="auto"/>
                <w:highlight w:val="none"/>
              </w:rPr>
            </w:pPr>
            <w:r>
              <w:rPr>
                <w:rFonts w:hint="eastAsia"/>
                <w:color w:val="auto"/>
                <w:highlight w:val="none"/>
                <w:lang w:val="en-US" w:eastAsia="zh-CN"/>
              </w:rPr>
              <w:t>道路及硬化区</w:t>
            </w:r>
          </w:p>
        </w:tc>
        <w:tc>
          <w:tcPr>
            <w:tcW w:w="1017" w:type="pct"/>
            <w:gridSpan w:val="2"/>
            <w:shd w:val="clear" w:color="auto" w:fill="auto"/>
            <w:vAlign w:val="center"/>
          </w:tcPr>
          <w:p>
            <w:pPr>
              <w:pStyle w:val="84"/>
              <w:bidi w:val="0"/>
              <w:rPr>
                <w:color w:val="auto"/>
                <w:highlight w:val="none"/>
              </w:rPr>
            </w:pPr>
            <w:r>
              <w:rPr>
                <w:rFonts w:hint="eastAsia"/>
                <w:color w:val="auto"/>
                <w:highlight w:val="none"/>
                <w:lang w:val="en-US" w:eastAsia="zh-CN"/>
              </w:rPr>
              <w:t>施工期</w:t>
            </w:r>
          </w:p>
        </w:tc>
        <w:tc>
          <w:tcPr>
            <w:tcW w:w="546" w:type="pct"/>
            <w:shd w:val="clear" w:color="auto" w:fill="auto"/>
            <w:vAlign w:val="center"/>
          </w:tcPr>
          <w:p>
            <w:pPr>
              <w:pStyle w:val="84"/>
              <w:bidi w:val="0"/>
              <w:rPr>
                <w:color w:val="auto"/>
                <w:highlight w:val="none"/>
              </w:rPr>
            </w:pPr>
            <w:r>
              <w:rPr>
                <w:rFonts w:hint="default"/>
                <w:color w:val="auto"/>
                <w:highlight w:val="none"/>
                <w:lang w:val="en-US" w:eastAsia="zh-CN"/>
              </w:rPr>
              <w:t xml:space="preserve">1000 </w:t>
            </w:r>
          </w:p>
        </w:tc>
        <w:tc>
          <w:tcPr>
            <w:tcW w:w="640" w:type="pct"/>
            <w:shd w:val="clear" w:color="auto" w:fill="auto"/>
            <w:vAlign w:val="center"/>
          </w:tcPr>
          <w:p>
            <w:pPr>
              <w:pStyle w:val="84"/>
              <w:bidi w:val="0"/>
              <w:rPr>
                <w:color w:val="auto"/>
                <w:highlight w:val="none"/>
              </w:rPr>
            </w:pPr>
            <w:r>
              <w:rPr>
                <w:rFonts w:hint="eastAsia"/>
                <w:color w:val="auto"/>
                <w:highlight w:val="none"/>
                <w:lang w:val="en-US" w:eastAsia="zh-CN"/>
              </w:rPr>
              <w:t xml:space="preserve">5000 </w:t>
            </w:r>
          </w:p>
        </w:tc>
        <w:tc>
          <w:tcPr>
            <w:tcW w:w="433" w:type="pct"/>
            <w:shd w:val="clear" w:color="auto" w:fill="auto"/>
            <w:vAlign w:val="center"/>
          </w:tcPr>
          <w:p>
            <w:pPr>
              <w:pStyle w:val="84"/>
              <w:bidi w:val="0"/>
              <w:rPr>
                <w:color w:val="auto"/>
                <w:highlight w:val="none"/>
              </w:rPr>
            </w:pPr>
            <w:r>
              <w:rPr>
                <w:rFonts w:hint="default"/>
                <w:color w:val="auto"/>
                <w:highlight w:val="none"/>
                <w:lang w:val="en-US" w:eastAsia="zh-CN"/>
              </w:rPr>
              <w:t xml:space="preserve">1.02 </w:t>
            </w:r>
          </w:p>
        </w:tc>
        <w:tc>
          <w:tcPr>
            <w:tcW w:w="432" w:type="pct"/>
            <w:shd w:val="clear" w:color="auto" w:fill="auto"/>
            <w:vAlign w:val="center"/>
          </w:tcPr>
          <w:p>
            <w:pPr>
              <w:pStyle w:val="84"/>
              <w:bidi w:val="0"/>
              <w:rPr>
                <w:color w:val="auto"/>
                <w:highlight w:val="none"/>
              </w:rPr>
            </w:pPr>
            <w:r>
              <w:rPr>
                <w:rFonts w:hint="default"/>
                <w:color w:val="auto"/>
                <w:highlight w:val="none"/>
                <w:lang w:val="en-US" w:eastAsia="zh-CN"/>
              </w:rPr>
              <w:t xml:space="preserve">2.00 </w:t>
            </w:r>
          </w:p>
        </w:tc>
        <w:tc>
          <w:tcPr>
            <w:tcW w:w="782" w:type="dxa"/>
            <w:shd w:val="clear" w:color="auto" w:fill="auto"/>
            <w:vAlign w:val="center"/>
          </w:tcPr>
          <w:p>
            <w:pPr>
              <w:pStyle w:val="84"/>
              <w:bidi w:val="0"/>
              <w:rPr>
                <w:color w:val="auto"/>
                <w:highlight w:val="none"/>
              </w:rPr>
            </w:pPr>
            <w:r>
              <w:rPr>
                <w:rFonts w:hint="eastAsia"/>
                <w:color w:val="auto"/>
                <w:highlight w:val="none"/>
                <w:lang w:val="en-US" w:eastAsia="zh-CN"/>
              </w:rPr>
              <w:t xml:space="preserve">20 </w:t>
            </w:r>
          </w:p>
        </w:tc>
        <w:tc>
          <w:tcPr>
            <w:tcW w:w="860" w:type="dxa"/>
            <w:shd w:val="clear" w:color="auto" w:fill="auto"/>
            <w:vAlign w:val="center"/>
          </w:tcPr>
          <w:p>
            <w:pPr>
              <w:pStyle w:val="84"/>
              <w:bidi w:val="0"/>
              <w:rPr>
                <w:color w:val="auto"/>
                <w:highlight w:val="none"/>
              </w:rPr>
            </w:pPr>
            <w:r>
              <w:rPr>
                <w:rFonts w:hint="eastAsia"/>
                <w:color w:val="auto"/>
                <w:highlight w:val="none"/>
                <w:lang w:val="en-US" w:eastAsia="zh-CN"/>
              </w:rPr>
              <w:t xml:space="preserve">102 </w:t>
            </w:r>
          </w:p>
        </w:tc>
        <w:tc>
          <w:tcPr>
            <w:tcW w:w="801" w:type="dxa"/>
            <w:shd w:val="clear" w:color="auto" w:fill="auto"/>
            <w:vAlign w:val="center"/>
          </w:tcPr>
          <w:p>
            <w:pPr>
              <w:pStyle w:val="84"/>
              <w:bidi w:val="0"/>
              <w:rPr>
                <w:color w:val="auto"/>
                <w:highlight w:val="none"/>
              </w:rPr>
            </w:pPr>
            <w:r>
              <w:rPr>
                <w:rFonts w:hint="eastAsia"/>
                <w:color w:val="auto"/>
                <w:highlight w:val="none"/>
                <w:lang w:val="en-US" w:eastAsia="zh-CN"/>
              </w:rPr>
              <w:t xml:space="preserve">82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 w:type="pct"/>
            <w:vMerge w:val="restart"/>
            <w:shd w:val="clear" w:color="auto" w:fill="auto"/>
            <w:noWrap/>
            <w:vAlign w:val="center"/>
          </w:tcPr>
          <w:p>
            <w:pPr>
              <w:pStyle w:val="84"/>
              <w:bidi w:val="0"/>
              <w:rPr>
                <w:color w:val="auto"/>
                <w:highlight w:val="none"/>
              </w:rPr>
            </w:pPr>
            <w:r>
              <w:rPr>
                <w:rFonts w:hint="eastAsia"/>
                <w:color w:val="auto"/>
                <w:highlight w:val="none"/>
                <w:lang w:val="en-US" w:eastAsia="zh-CN"/>
              </w:rPr>
              <w:t>合计</w:t>
            </w:r>
          </w:p>
        </w:tc>
        <w:tc>
          <w:tcPr>
            <w:tcW w:w="1017" w:type="pct"/>
            <w:gridSpan w:val="2"/>
            <w:shd w:val="clear" w:color="auto" w:fill="auto"/>
            <w:vAlign w:val="center"/>
          </w:tcPr>
          <w:p>
            <w:pPr>
              <w:pStyle w:val="84"/>
              <w:bidi w:val="0"/>
              <w:rPr>
                <w:color w:val="auto"/>
                <w:highlight w:val="none"/>
              </w:rPr>
            </w:pPr>
            <w:r>
              <w:rPr>
                <w:rFonts w:hint="eastAsia"/>
                <w:color w:val="auto"/>
                <w:highlight w:val="none"/>
                <w:lang w:val="en-US" w:eastAsia="zh-CN"/>
              </w:rPr>
              <w:t>施工期</w:t>
            </w:r>
          </w:p>
        </w:tc>
        <w:tc>
          <w:tcPr>
            <w:tcW w:w="546" w:type="pct"/>
            <w:shd w:val="clear" w:color="auto" w:fill="auto"/>
            <w:vAlign w:val="center"/>
          </w:tcPr>
          <w:p>
            <w:pPr>
              <w:pStyle w:val="84"/>
              <w:bidi w:val="0"/>
              <w:rPr>
                <w:color w:val="auto"/>
                <w:highlight w:val="none"/>
              </w:rPr>
            </w:pPr>
          </w:p>
        </w:tc>
        <w:tc>
          <w:tcPr>
            <w:tcW w:w="640" w:type="pct"/>
            <w:shd w:val="clear" w:color="auto" w:fill="auto"/>
            <w:vAlign w:val="center"/>
          </w:tcPr>
          <w:p>
            <w:pPr>
              <w:pStyle w:val="84"/>
              <w:bidi w:val="0"/>
              <w:rPr>
                <w:color w:val="auto"/>
                <w:highlight w:val="none"/>
              </w:rPr>
            </w:pPr>
          </w:p>
        </w:tc>
        <w:tc>
          <w:tcPr>
            <w:tcW w:w="433" w:type="pct"/>
            <w:shd w:val="clear" w:color="auto" w:fill="auto"/>
            <w:vAlign w:val="center"/>
          </w:tcPr>
          <w:p>
            <w:pPr>
              <w:pStyle w:val="84"/>
              <w:bidi w:val="0"/>
              <w:rPr>
                <w:color w:val="auto"/>
                <w:highlight w:val="none"/>
              </w:rPr>
            </w:pPr>
          </w:p>
        </w:tc>
        <w:tc>
          <w:tcPr>
            <w:tcW w:w="432" w:type="pct"/>
            <w:shd w:val="clear" w:color="auto" w:fill="auto"/>
            <w:vAlign w:val="center"/>
          </w:tcPr>
          <w:p>
            <w:pPr>
              <w:pStyle w:val="84"/>
              <w:bidi w:val="0"/>
              <w:rPr>
                <w:color w:val="auto"/>
                <w:highlight w:val="none"/>
              </w:rPr>
            </w:pPr>
          </w:p>
        </w:tc>
        <w:tc>
          <w:tcPr>
            <w:tcW w:w="782" w:type="dxa"/>
            <w:shd w:val="clear" w:color="auto" w:fill="auto"/>
            <w:vAlign w:val="center"/>
          </w:tcPr>
          <w:p>
            <w:pPr>
              <w:pStyle w:val="84"/>
              <w:bidi w:val="0"/>
              <w:rPr>
                <w:color w:val="auto"/>
                <w:highlight w:val="none"/>
              </w:rPr>
            </w:pPr>
            <w:r>
              <w:rPr>
                <w:rFonts w:hint="default"/>
                <w:color w:val="auto"/>
                <w:highlight w:val="none"/>
                <w:lang w:val="en-US" w:eastAsia="zh-CN"/>
              </w:rPr>
              <w:t xml:space="preserve">57 </w:t>
            </w:r>
          </w:p>
        </w:tc>
        <w:tc>
          <w:tcPr>
            <w:tcW w:w="860" w:type="dxa"/>
            <w:shd w:val="clear" w:color="auto" w:fill="auto"/>
            <w:vAlign w:val="center"/>
          </w:tcPr>
          <w:p>
            <w:pPr>
              <w:pStyle w:val="84"/>
              <w:bidi w:val="0"/>
              <w:rPr>
                <w:color w:val="auto"/>
                <w:highlight w:val="none"/>
              </w:rPr>
            </w:pPr>
            <w:r>
              <w:rPr>
                <w:rFonts w:hint="default"/>
                <w:color w:val="auto"/>
                <w:highlight w:val="none"/>
                <w:lang w:val="en-US" w:eastAsia="zh-CN"/>
              </w:rPr>
              <w:t xml:space="preserve">284 </w:t>
            </w:r>
          </w:p>
        </w:tc>
        <w:tc>
          <w:tcPr>
            <w:tcW w:w="801" w:type="dxa"/>
            <w:shd w:val="clear" w:color="auto" w:fill="auto"/>
            <w:vAlign w:val="center"/>
          </w:tcPr>
          <w:p>
            <w:pPr>
              <w:pStyle w:val="84"/>
              <w:bidi w:val="0"/>
              <w:rPr>
                <w:color w:val="auto"/>
                <w:highlight w:val="none"/>
              </w:rPr>
            </w:pPr>
            <w:r>
              <w:rPr>
                <w:rFonts w:hint="eastAsia"/>
                <w:color w:val="auto"/>
                <w:highlight w:val="none"/>
                <w:lang w:val="en-US" w:eastAsia="zh-CN"/>
              </w:rPr>
              <w:t xml:space="preserve">227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 w:type="pct"/>
            <w:vMerge w:val="continue"/>
            <w:vAlign w:val="center"/>
          </w:tcPr>
          <w:p>
            <w:pPr>
              <w:pStyle w:val="84"/>
              <w:bidi w:val="0"/>
              <w:rPr>
                <w:color w:val="auto"/>
                <w:highlight w:val="none"/>
              </w:rPr>
            </w:pPr>
          </w:p>
        </w:tc>
        <w:tc>
          <w:tcPr>
            <w:tcW w:w="1017" w:type="pct"/>
            <w:gridSpan w:val="2"/>
            <w:shd w:val="clear" w:color="auto" w:fill="auto"/>
            <w:vAlign w:val="center"/>
          </w:tcPr>
          <w:p>
            <w:pPr>
              <w:pStyle w:val="84"/>
              <w:bidi w:val="0"/>
              <w:rPr>
                <w:color w:val="auto"/>
                <w:highlight w:val="none"/>
              </w:rPr>
            </w:pPr>
            <w:r>
              <w:rPr>
                <w:rFonts w:hint="eastAsia"/>
                <w:color w:val="auto"/>
                <w:highlight w:val="none"/>
                <w:lang w:val="en-US" w:eastAsia="zh-CN"/>
              </w:rPr>
              <w:t>自然恢复期</w:t>
            </w:r>
          </w:p>
        </w:tc>
        <w:tc>
          <w:tcPr>
            <w:tcW w:w="546" w:type="pct"/>
            <w:shd w:val="clear" w:color="auto" w:fill="auto"/>
            <w:vAlign w:val="center"/>
          </w:tcPr>
          <w:p>
            <w:pPr>
              <w:pStyle w:val="84"/>
              <w:bidi w:val="0"/>
              <w:rPr>
                <w:color w:val="auto"/>
                <w:highlight w:val="none"/>
              </w:rPr>
            </w:pPr>
          </w:p>
        </w:tc>
        <w:tc>
          <w:tcPr>
            <w:tcW w:w="640" w:type="pct"/>
            <w:shd w:val="clear" w:color="auto" w:fill="auto"/>
            <w:vAlign w:val="center"/>
          </w:tcPr>
          <w:p>
            <w:pPr>
              <w:pStyle w:val="84"/>
              <w:bidi w:val="0"/>
              <w:rPr>
                <w:color w:val="auto"/>
                <w:highlight w:val="none"/>
              </w:rPr>
            </w:pPr>
          </w:p>
        </w:tc>
        <w:tc>
          <w:tcPr>
            <w:tcW w:w="433" w:type="pct"/>
            <w:shd w:val="clear" w:color="auto" w:fill="auto"/>
            <w:vAlign w:val="center"/>
          </w:tcPr>
          <w:p>
            <w:pPr>
              <w:pStyle w:val="84"/>
              <w:bidi w:val="0"/>
              <w:rPr>
                <w:color w:val="auto"/>
                <w:highlight w:val="none"/>
              </w:rPr>
            </w:pPr>
          </w:p>
        </w:tc>
        <w:tc>
          <w:tcPr>
            <w:tcW w:w="432" w:type="pct"/>
            <w:shd w:val="clear" w:color="auto" w:fill="auto"/>
            <w:vAlign w:val="center"/>
          </w:tcPr>
          <w:p>
            <w:pPr>
              <w:pStyle w:val="84"/>
              <w:bidi w:val="0"/>
              <w:rPr>
                <w:color w:val="auto"/>
                <w:highlight w:val="none"/>
              </w:rPr>
            </w:pPr>
          </w:p>
        </w:tc>
        <w:tc>
          <w:tcPr>
            <w:tcW w:w="782" w:type="dxa"/>
            <w:shd w:val="clear" w:color="auto" w:fill="auto"/>
            <w:vAlign w:val="center"/>
          </w:tcPr>
          <w:p>
            <w:pPr>
              <w:pStyle w:val="84"/>
              <w:bidi w:val="0"/>
              <w:rPr>
                <w:color w:val="auto"/>
                <w:highlight w:val="none"/>
              </w:rPr>
            </w:pPr>
            <w:r>
              <w:rPr>
                <w:rFonts w:hint="default"/>
                <w:color w:val="auto"/>
                <w:highlight w:val="none"/>
                <w:lang w:val="en-US" w:eastAsia="zh-CN"/>
              </w:rPr>
              <w:t xml:space="preserve">61 </w:t>
            </w:r>
          </w:p>
        </w:tc>
        <w:tc>
          <w:tcPr>
            <w:tcW w:w="860" w:type="dxa"/>
            <w:shd w:val="clear" w:color="auto" w:fill="auto"/>
            <w:vAlign w:val="center"/>
          </w:tcPr>
          <w:p>
            <w:pPr>
              <w:pStyle w:val="84"/>
              <w:bidi w:val="0"/>
              <w:rPr>
                <w:color w:val="auto"/>
                <w:highlight w:val="none"/>
              </w:rPr>
            </w:pPr>
            <w:r>
              <w:rPr>
                <w:rFonts w:hint="default"/>
                <w:color w:val="auto"/>
                <w:highlight w:val="none"/>
                <w:lang w:val="en-US" w:eastAsia="zh-CN"/>
              </w:rPr>
              <w:t xml:space="preserve">126 </w:t>
            </w:r>
          </w:p>
        </w:tc>
        <w:tc>
          <w:tcPr>
            <w:tcW w:w="801" w:type="dxa"/>
            <w:shd w:val="clear" w:color="auto" w:fill="auto"/>
            <w:vAlign w:val="center"/>
          </w:tcPr>
          <w:p>
            <w:pPr>
              <w:pStyle w:val="84"/>
              <w:bidi w:val="0"/>
              <w:rPr>
                <w:color w:val="auto"/>
                <w:highlight w:val="none"/>
              </w:rPr>
            </w:pPr>
            <w:r>
              <w:rPr>
                <w:rFonts w:hint="eastAsia"/>
                <w:color w:val="auto"/>
                <w:highlight w:val="none"/>
                <w:lang w:val="en-US" w:eastAsia="zh-CN"/>
              </w:rPr>
              <w:t xml:space="preserve">65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8" w:type="pct"/>
            <w:vMerge w:val="continue"/>
            <w:vAlign w:val="center"/>
          </w:tcPr>
          <w:p>
            <w:pPr>
              <w:pStyle w:val="84"/>
              <w:bidi w:val="0"/>
              <w:rPr>
                <w:color w:val="auto"/>
                <w:highlight w:val="none"/>
              </w:rPr>
            </w:pPr>
          </w:p>
        </w:tc>
        <w:tc>
          <w:tcPr>
            <w:tcW w:w="1017" w:type="pct"/>
            <w:gridSpan w:val="2"/>
            <w:shd w:val="clear" w:color="auto" w:fill="auto"/>
            <w:vAlign w:val="center"/>
          </w:tcPr>
          <w:p>
            <w:pPr>
              <w:pStyle w:val="84"/>
              <w:bidi w:val="0"/>
              <w:rPr>
                <w:color w:val="auto"/>
                <w:highlight w:val="none"/>
              </w:rPr>
            </w:pPr>
            <w:r>
              <w:rPr>
                <w:rFonts w:hint="eastAsia"/>
                <w:color w:val="auto"/>
                <w:highlight w:val="none"/>
                <w:lang w:val="en-US" w:eastAsia="zh-CN"/>
              </w:rPr>
              <w:t>合计</w:t>
            </w:r>
          </w:p>
        </w:tc>
        <w:tc>
          <w:tcPr>
            <w:tcW w:w="546" w:type="pct"/>
            <w:shd w:val="clear" w:color="auto" w:fill="auto"/>
            <w:vAlign w:val="center"/>
          </w:tcPr>
          <w:p>
            <w:pPr>
              <w:pStyle w:val="84"/>
              <w:bidi w:val="0"/>
              <w:rPr>
                <w:color w:val="auto"/>
                <w:highlight w:val="none"/>
              </w:rPr>
            </w:pPr>
          </w:p>
        </w:tc>
        <w:tc>
          <w:tcPr>
            <w:tcW w:w="640" w:type="pct"/>
            <w:shd w:val="clear" w:color="auto" w:fill="auto"/>
            <w:vAlign w:val="center"/>
          </w:tcPr>
          <w:p>
            <w:pPr>
              <w:pStyle w:val="84"/>
              <w:bidi w:val="0"/>
              <w:rPr>
                <w:color w:val="auto"/>
                <w:highlight w:val="none"/>
              </w:rPr>
            </w:pPr>
          </w:p>
        </w:tc>
        <w:tc>
          <w:tcPr>
            <w:tcW w:w="433" w:type="pct"/>
            <w:shd w:val="clear" w:color="auto" w:fill="auto"/>
            <w:vAlign w:val="center"/>
          </w:tcPr>
          <w:p>
            <w:pPr>
              <w:pStyle w:val="84"/>
              <w:bidi w:val="0"/>
              <w:rPr>
                <w:color w:val="auto"/>
                <w:highlight w:val="none"/>
              </w:rPr>
            </w:pPr>
          </w:p>
        </w:tc>
        <w:tc>
          <w:tcPr>
            <w:tcW w:w="432" w:type="pct"/>
            <w:shd w:val="clear" w:color="auto" w:fill="auto"/>
            <w:vAlign w:val="center"/>
          </w:tcPr>
          <w:p>
            <w:pPr>
              <w:pStyle w:val="84"/>
              <w:bidi w:val="0"/>
              <w:rPr>
                <w:color w:val="auto"/>
                <w:highlight w:val="none"/>
              </w:rPr>
            </w:pPr>
          </w:p>
        </w:tc>
        <w:tc>
          <w:tcPr>
            <w:tcW w:w="782" w:type="dxa"/>
            <w:shd w:val="clear" w:color="auto" w:fill="auto"/>
            <w:vAlign w:val="center"/>
          </w:tcPr>
          <w:p>
            <w:pPr>
              <w:pStyle w:val="84"/>
              <w:bidi w:val="0"/>
              <w:rPr>
                <w:color w:val="auto"/>
                <w:highlight w:val="none"/>
              </w:rPr>
            </w:pPr>
            <w:r>
              <w:rPr>
                <w:rFonts w:hint="default"/>
                <w:color w:val="auto"/>
                <w:highlight w:val="none"/>
                <w:lang w:val="en-US" w:eastAsia="zh-CN"/>
              </w:rPr>
              <w:t xml:space="preserve">117 </w:t>
            </w:r>
          </w:p>
        </w:tc>
        <w:tc>
          <w:tcPr>
            <w:tcW w:w="860" w:type="dxa"/>
            <w:shd w:val="clear" w:color="auto" w:fill="auto"/>
            <w:vAlign w:val="center"/>
          </w:tcPr>
          <w:p>
            <w:pPr>
              <w:pStyle w:val="84"/>
              <w:bidi w:val="0"/>
              <w:rPr>
                <w:color w:val="auto"/>
                <w:highlight w:val="none"/>
              </w:rPr>
            </w:pPr>
            <w:r>
              <w:rPr>
                <w:rFonts w:hint="default"/>
                <w:color w:val="auto"/>
                <w:highlight w:val="none"/>
                <w:lang w:val="en-US" w:eastAsia="zh-CN"/>
              </w:rPr>
              <w:t xml:space="preserve">410 </w:t>
            </w:r>
          </w:p>
        </w:tc>
        <w:tc>
          <w:tcPr>
            <w:tcW w:w="801" w:type="dxa"/>
            <w:shd w:val="clear" w:color="auto" w:fill="auto"/>
            <w:vAlign w:val="center"/>
          </w:tcPr>
          <w:p>
            <w:pPr>
              <w:pStyle w:val="84"/>
              <w:bidi w:val="0"/>
              <w:rPr>
                <w:color w:val="auto"/>
                <w:highlight w:val="none"/>
              </w:rPr>
            </w:pPr>
            <w:r>
              <w:rPr>
                <w:rFonts w:hint="eastAsia"/>
                <w:color w:val="auto"/>
                <w:highlight w:val="none"/>
                <w:lang w:val="en-US" w:eastAsia="zh-CN"/>
              </w:rPr>
              <w:t xml:space="preserve">293 </w:t>
            </w:r>
          </w:p>
        </w:tc>
      </w:tr>
    </w:tbl>
    <w:p>
      <w:pPr>
        <w:pStyle w:val="56"/>
        <w:spacing w:line="240" w:lineRule="auto"/>
        <w:ind w:firstLine="0" w:firstLineChars="0"/>
        <w:rPr>
          <w:color w:val="auto"/>
          <w:sz w:val="22"/>
          <w:highlight w:val="none"/>
        </w:rPr>
      </w:pPr>
      <w:r>
        <w:rPr>
          <w:color w:val="auto"/>
          <w:sz w:val="22"/>
          <w:highlight w:val="none"/>
        </w:rPr>
        <w:t>注：本项目管线工程区和施工生产区占地中的重复占地，水土流失预测时重复占地面积均纳入道路及硬化区内，不再重复计列。</w:t>
      </w:r>
    </w:p>
    <w:p>
      <w:pPr>
        <w:pStyle w:val="66"/>
        <w:rPr>
          <w:color w:val="auto"/>
          <w:highlight w:val="none"/>
        </w:rPr>
      </w:pPr>
      <w:bookmarkStart w:id="107" w:name="_Toc978"/>
      <w:r>
        <w:rPr>
          <w:color w:val="auto"/>
          <w:highlight w:val="none"/>
        </w:rPr>
        <w:t>4.4 水土流失危害分析</w:t>
      </w:r>
      <w:bookmarkEnd w:id="105"/>
      <w:bookmarkEnd w:id="106"/>
      <w:bookmarkEnd w:id="107"/>
    </w:p>
    <w:p>
      <w:pPr>
        <w:pStyle w:val="56"/>
        <w:ind w:firstLine="480"/>
        <w:rPr>
          <w:color w:val="auto"/>
          <w:highlight w:val="none"/>
        </w:rPr>
      </w:pPr>
      <w:r>
        <w:rPr>
          <w:color w:val="auto"/>
          <w:highlight w:val="none"/>
        </w:rPr>
        <w:t>根据本项目地形地貌和施工建设的特点，本项目建设不会引发泥石流、地面塌陷、大型滑坡等严重生态影响。但本项目建设过程中场地平整、建筑物基础以及管沟开挖回填，建设期间期间占地范围内临时堆土堆料、车辆碾压等活动破坏了地表植被、表层结皮，使项目区地表裸露，使地表失去了原有的抗冲抗蚀能力，从而加剧了项目区的水土流失。若不采取有效的水土流失防治措施，将产生一定的水土流失危害：</w:t>
      </w:r>
    </w:p>
    <w:p>
      <w:pPr>
        <w:pStyle w:val="56"/>
        <w:ind w:firstLine="480"/>
        <w:rPr>
          <w:color w:val="auto"/>
          <w:highlight w:val="none"/>
        </w:rPr>
      </w:pPr>
      <w:r>
        <w:rPr>
          <w:color w:val="auto"/>
          <w:highlight w:val="none"/>
        </w:rPr>
        <w:t>（1）可能造成土地生产力的下降</w:t>
      </w:r>
    </w:p>
    <w:p>
      <w:pPr>
        <w:pStyle w:val="56"/>
        <w:ind w:firstLine="480"/>
        <w:rPr>
          <w:color w:val="auto"/>
          <w:highlight w:val="none"/>
        </w:rPr>
      </w:pPr>
      <w:r>
        <w:rPr>
          <w:color w:val="auto"/>
          <w:highlight w:val="none"/>
        </w:rPr>
        <w:t>土壤生产力的高低与土地理化性质密切相关，本工程建设可能对周边土地生产力的影响体现在如下方面：扰动地表土壤侵蚀强度的增加会使项目区及周边地表组成物质中细粒含量减少，粗粒含量增加，土壤机械组成粗化，有机质流失，进而导致项目区及周边土地生产力降低。</w:t>
      </w:r>
    </w:p>
    <w:p>
      <w:pPr>
        <w:pStyle w:val="56"/>
        <w:ind w:firstLine="480"/>
        <w:rPr>
          <w:color w:val="auto"/>
          <w:highlight w:val="none"/>
        </w:rPr>
      </w:pPr>
      <w:r>
        <w:rPr>
          <w:color w:val="auto"/>
          <w:highlight w:val="none"/>
        </w:rPr>
        <w:t>（2）加大项目区水土流失强度</w:t>
      </w:r>
    </w:p>
    <w:p>
      <w:pPr>
        <w:pStyle w:val="56"/>
        <w:ind w:firstLine="480"/>
        <w:rPr>
          <w:color w:val="auto"/>
          <w:highlight w:val="none"/>
        </w:rPr>
      </w:pPr>
      <w:r>
        <w:rPr>
          <w:color w:val="auto"/>
          <w:highlight w:val="none"/>
        </w:rPr>
        <w:t>根据前文描述的项目区气象资料及区域地表物质组成，工程建设造成区域地表被长期吹蚀及水蚀，改变项目区地表状况，使其丧失抗侵蚀能力，水力侵蚀及风力侵蚀强度将增大。</w:t>
      </w:r>
    </w:p>
    <w:p>
      <w:pPr>
        <w:pStyle w:val="56"/>
        <w:ind w:firstLine="480"/>
        <w:rPr>
          <w:color w:val="auto"/>
          <w:highlight w:val="none"/>
        </w:rPr>
      </w:pPr>
      <w:r>
        <w:rPr>
          <w:color w:val="auto"/>
          <w:highlight w:val="none"/>
        </w:rPr>
        <w:t>（3）对周边环境的影响</w:t>
      </w:r>
    </w:p>
    <w:p>
      <w:pPr>
        <w:pStyle w:val="56"/>
        <w:ind w:firstLine="480"/>
        <w:rPr>
          <w:color w:val="auto"/>
          <w:highlight w:val="none"/>
        </w:rPr>
      </w:pPr>
      <w:r>
        <w:rPr>
          <w:color w:val="auto"/>
          <w:highlight w:val="none"/>
        </w:rPr>
        <w:t>水蚀及风蚀强度的增加，使区域水土流失加剧，周边地表裸露疏松，出现更多扬沙天气，使区域大气环境、水环境和生态环境受到一定影响。</w:t>
      </w:r>
    </w:p>
    <w:p>
      <w:pPr>
        <w:pStyle w:val="66"/>
        <w:rPr>
          <w:color w:val="auto"/>
          <w:highlight w:val="none"/>
        </w:rPr>
      </w:pPr>
      <w:bookmarkStart w:id="108" w:name="_Toc320819410"/>
      <w:bookmarkStart w:id="109" w:name="_Toc301080363"/>
      <w:bookmarkStart w:id="110" w:name="_Toc289049623"/>
      <w:bookmarkStart w:id="111" w:name="_Toc229448543"/>
      <w:bookmarkStart w:id="112" w:name="_Toc320819105"/>
      <w:bookmarkStart w:id="113" w:name="_Toc211660632"/>
      <w:bookmarkStart w:id="114" w:name="_Toc301080780"/>
      <w:bookmarkStart w:id="115" w:name="_Toc16887"/>
      <w:bookmarkStart w:id="116" w:name="_Toc6763"/>
      <w:bookmarkStart w:id="117" w:name="_Toc31199"/>
      <w:r>
        <w:rPr>
          <w:color w:val="auto"/>
          <w:highlight w:val="none"/>
        </w:rPr>
        <w:t>4.5</w:t>
      </w:r>
      <w:bookmarkEnd w:id="108"/>
      <w:bookmarkEnd w:id="109"/>
      <w:bookmarkEnd w:id="110"/>
      <w:bookmarkEnd w:id="111"/>
      <w:bookmarkEnd w:id="112"/>
      <w:bookmarkEnd w:id="113"/>
      <w:bookmarkEnd w:id="114"/>
      <w:r>
        <w:rPr>
          <w:color w:val="auto"/>
          <w:highlight w:val="none"/>
        </w:rPr>
        <w:t>指导性意见</w:t>
      </w:r>
      <w:bookmarkEnd w:id="115"/>
      <w:bookmarkEnd w:id="116"/>
      <w:bookmarkEnd w:id="117"/>
    </w:p>
    <w:p>
      <w:pPr>
        <w:pStyle w:val="69"/>
        <w:rPr>
          <w:color w:val="auto"/>
          <w:highlight w:val="none"/>
        </w:rPr>
      </w:pPr>
      <w:bookmarkStart w:id="118" w:name="_Toc407014551"/>
      <w:bookmarkStart w:id="119" w:name="_Toc417412337"/>
      <w:r>
        <w:rPr>
          <w:color w:val="auto"/>
          <w:highlight w:val="none"/>
        </w:rPr>
        <w:t>4.5.1 重点防治区的确定</w:t>
      </w:r>
    </w:p>
    <w:p>
      <w:pPr>
        <w:pStyle w:val="56"/>
        <w:ind w:firstLine="480"/>
        <w:rPr>
          <w:color w:val="auto"/>
          <w:highlight w:val="none"/>
        </w:rPr>
      </w:pPr>
      <w:r>
        <w:rPr>
          <w:color w:val="auto"/>
          <w:highlight w:val="none"/>
        </w:rPr>
        <w:t>根据下表统计分析计算，本项目水土流失防治重点区域为</w:t>
      </w:r>
      <w:r>
        <w:rPr>
          <w:rFonts w:hint="eastAsia"/>
          <w:color w:val="auto"/>
          <w:highlight w:val="none"/>
          <w:lang w:eastAsia="zh-CN"/>
        </w:rPr>
        <w:t>绿化</w:t>
      </w:r>
      <w:r>
        <w:rPr>
          <w:color w:val="auto"/>
          <w:highlight w:val="none"/>
        </w:rPr>
        <w:t>区。上述区域水土流失影响范围大，土壤侵蚀量较大，因此道路及硬化区应为项目水土流失防治和监测的重点区域。水土流失重点时段为施工期。</w:t>
      </w:r>
    </w:p>
    <w:p>
      <w:pPr>
        <w:pStyle w:val="56"/>
        <w:ind w:firstLine="480"/>
        <w:rPr>
          <w:color w:val="auto"/>
          <w:highlight w:val="none"/>
        </w:rPr>
      </w:pPr>
      <w:r>
        <w:rPr>
          <w:color w:val="auto"/>
          <w:highlight w:val="none"/>
        </w:rPr>
        <w:t>各预测时段水土流失量汇总表，见表4.5-1。</w:t>
      </w:r>
    </w:p>
    <w:p>
      <w:pPr>
        <w:pStyle w:val="75"/>
        <w:rPr>
          <w:color w:val="auto"/>
          <w:highlight w:val="none"/>
        </w:rPr>
      </w:pPr>
      <w:r>
        <w:rPr>
          <w:color w:val="auto"/>
          <w:highlight w:val="none"/>
        </w:rPr>
        <w:t>表4.5-1    各预测时段水土流失量汇总表</w:t>
      </w:r>
    </w:p>
    <w:tbl>
      <w:tblPr>
        <w:tblStyle w:val="27"/>
        <w:tblW w:w="500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82"/>
        <w:gridCol w:w="2277"/>
        <w:gridCol w:w="2422"/>
        <w:gridCol w:w="18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368" w:type="pct"/>
            <w:shd w:val="clear" w:color="auto" w:fill="auto"/>
            <w:noWrap/>
            <w:vAlign w:val="center"/>
          </w:tcPr>
          <w:p>
            <w:pPr>
              <w:pStyle w:val="84"/>
              <w:bidi w:val="0"/>
              <w:rPr>
                <w:color w:val="auto"/>
                <w:highlight w:val="none"/>
              </w:rPr>
            </w:pPr>
            <w:r>
              <w:rPr>
                <w:color w:val="auto"/>
                <w:highlight w:val="none"/>
              </w:rPr>
              <w:t>时期</w:t>
            </w:r>
          </w:p>
        </w:tc>
        <w:tc>
          <w:tcPr>
            <w:tcW w:w="1255" w:type="pct"/>
            <w:shd w:val="clear" w:color="auto" w:fill="auto"/>
            <w:noWrap/>
            <w:vAlign w:val="center"/>
          </w:tcPr>
          <w:p>
            <w:pPr>
              <w:pStyle w:val="84"/>
              <w:bidi w:val="0"/>
              <w:rPr>
                <w:color w:val="auto"/>
                <w:highlight w:val="none"/>
              </w:rPr>
            </w:pPr>
            <w:r>
              <w:rPr>
                <w:color w:val="auto"/>
                <w:highlight w:val="none"/>
              </w:rPr>
              <w:t>水土流失总量(t)</w:t>
            </w:r>
          </w:p>
        </w:tc>
        <w:tc>
          <w:tcPr>
            <w:tcW w:w="1335" w:type="pct"/>
            <w:shd w:val="clear" w:color="auto" w:fill="auto"/>
            <w:noWrap/>
            <w:vAlign w:val="center"/>
          </w:tcPr>
          <w:p>
            <w:pPr>
              <w:pStyle w:val="84"/>
              <w:bidi w:val="0"/>
              <w:rPr>
                <w:color w:val="auto"/>
                <w:highlight w:val="none"/>
              </w:rPr>
            </w:pPr>
            <w:r>
              <w:rPr>
                <w:color w:val="auto"/>
                <w:highlight w:val="none"/>
              </w:rPr>
              <w:t>新增水土流失量(t)</w:t>
            </w:r>
          </w:p>
        </w:tc>
        <w:tc>
          <w:tcPr>
            <w:tcW w:w="1042" w:type="pct"/>
            <w:shd w:val="clear" w:color="auto" w:fill="auto"/>
            <w:noWrap/>
            <w:vAlign w:val="center"/>
          </w:tcPr>
          <w:p>
            <w:pPr>
              <w:pStyle w:val="84"/>
              <w:bidi w:val="0"/>
              <w:rPr>
                <w:color w:val="auto"/>
                <w:highlight w:val="none"/>
              </w:rPr>
            </w:pPr>
            <w:r>
              <w:rPr>
                <w:color w:val="auto"/>
                <w:highlight w:val="none"/>
              </w:rPr>
              <w:t>新增流失量比例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368" w:type="pct"/>
            <w:shd w:val="clear" w:color="auto" w:fill="auto"/>
            <w:noWrap/>
            <w:vAlign w:val="center"/>
          </w:tcPr>
          <w:p>
            <w:pPr>
              <w:pStyle w:val="84"/>
              <w:bidi w:val="0"/>
              <w:rPr>
                <w:color w:val="auto"/>
                <w:highlight w:val="none"/>
              </w:rPr>
            </w:pPr>
            <w:r>
              <w:rPr>
                <w:color w:val="auto"/>
                <w:highlight w:val="none"/>
              </w:rPr>
              <w:t>施工期（包括施工准备期</w:t>
            </w:r>
          </w:p>
        </w:tc>
        <w:tc>
          <w:tcPr>
            <w:tcW w:w="2277" w:type="dxa"/>
            <w:shd w:val="clear" w:color="auto" w:fill="auto"/>
            <w:noWrap/>
            <w:vAlign w:val="center"/>
          </w:tcPr>
          <w:p>
            <w:pPr>
              <w:pStyle w:val="84"/>
              <w:bidi w:val="0"/>
              <w:rPr>
                <w:color w:val="auto"/>
                <w:highlight w:val="none"/>
              </w:rPr>
            </w:pPr>
            <w:r>
              <w:rPr>
                <w:rFonts w:hint="eastAsia"/>
                <w:color w:val="auto"/>
                <w:highlight w:val="none"/>
                <w:lang w:val="en-US" w:eastAsia="zh-CN"/>
              </w:rPr>
              <w:t xml:space="preserve">284 </w:t>
            </w:r>
          </w:p>
        </w:tc>
        <w:tc>
          <w:tcPr>
            <w:tcW w:w="2422" w:type="dxa"/>
            <w:shd w:val="clear" w:color="auto" w:fill="auto"/>
            <w:noWrap/>
            <w:vAlign w:val="center"/>
          </w:tcPr>
          <w:p>
            <w:pPr>
              <w:pStyle w:val="84"/>
              <w:bidi w:val="0"/>
              <w:rPr>
                <w:color w:val="auto"/>
                <w:highlight w:val="none"/>
              </w:rPr>
            </w:pPr>
            <w:r>
              <w:rPr>
                <w:rFonts w:hint="eastAsia"/>
                <w:color w:val="auto"/>
                <w:highlight w:val="none"/>
                <w:lang w:val="en-US" w:eastAsia="zh-CN"/>
              </w:rPr>
              <w:t xml:space="preserve">227 </w:t>
            </w:r>
          </w:p>
        </w:tc>
        <w:tc>
          <w:tcPr>
            <w:tcW w:w="1042" w:type="pct"/>
            <w:shd w:val="clear" w:color="auto" w:fill="auto"/>
            <w:noWrap/>
            <w:vAlign w:val="center"/>
          </w:tcPr>
          <w:p>
            <w:pPr>
              <w:pStyle w:val="84"/>
              <w:bidi w:val="0"/>
              <w:rPr>
                <w:color w:val="auto"/>
                <w:highlight w:val="none"/>
              </w:rPr>
            </w:pPr>
            <w:r>
              <w:rPr>
                <w:color w:val="auto"/>
                <w:highlight w:val="none"/>
              </w:rPr>
              <w:t>77.</w:t>
            </w:r>
            <w:r>
              <w:rPr>
                <w:rFonts w:hint="eastAsia"/>
                <w:color w:val="auto"/>
                <w:highlight w:val="none"/>
                <w:lang w:val="en-US" w:eastAsia="zh-CN"/>
              </w:rPr>
              <w:t>66</w:t>
            </w: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368" w:type="pct"/>
            <w:shd w:val="clear" w:color="auto" w:fill="auto"/>
            <w:noWrap/>
            <w:vAlign w:val="center"/>
          </w:tcPr>
          <w:p>
            <w:pPr>
              <w:pStyle w:val="84"/>
              <w:bidi w:val="0"/>
              <w:rPr>
                <w:color w:val="auto"/>
                <w:highlight w:val="none"/>
              </w:rPr>
            </w:pPr>
            <w:r>
              <w:rPr>
                <w:color w:val="auto"/>
                <w:highlight w:val="none"/>
              </w:rPr>
              <w:t>自然恢复期</w:t>
            </w:r>
          </w:p>
        </w:tc>
        <w:tc>
          <w:tcPr>
            <w:tcW w:w="2277" w:type="dxa"/>
            <w:shd w:val="clear" w:color="auto" w:fill="auto"/>
            <w:noWrap/>
            <w:vAlign w:val="center"/>
          </w:tcPr>
          <w:p>
            <w:pPr>
              <w:pStyle w:val="84"/>
              <w:bidi w:val="0"/>
              <w:rPr>
                <w:color w:val="auto"/>
                <w:highlight w:val="none"/>
              </w:rPr>
            </w:pPr>
            <w:r>
              <w:rPr>
                <w:rFonts w:hint="eastAsia"/>
                <w:color w:val="auto"/>
                <w:highlight w:val="none"/>
                <w:lang w:val="en-US" w:eastAsia="zh-CN"/>
              </w:rPr>
              <w:t xml:space="preserve">126 </w:t>
            </w:r>
          </w:p>
        </w:tc>
        <w:tc>
          <w:tcPr>
            <w:tcW w:w="2422" w:type="dxa"/>
            <w:shd w:val="clear" w:color="auto" w:fill="auto"/>
            <w:noWrap/>
            <w:vAlign w:val="center"/>
          </w:tcPr>
          <w:p>
            <w:pPr>
              <w:pStyle w:val="84"/>
              <w:bidi w:val="0"/>
              <w:rPr>
                <w:color w:val="auto"/>
                <w:highlight w:val="none"/>
              </w:rPr>
            </w:pPr>
            <w:r>
              <w:rPr>
                <w:rFonts w:hint="eastAsia"/>
                <w:color w:val="auto"/>
                <w:highlight w:val="none"/>
                <w:lang w:val="en-US" w:eastAsia="zh-CN"/>
              </w:rPr>
              <w:t xml:space="preserve">65 </w:t>
            </w:r>
          </w:p>
        </w:tc>
        <w:tc>
          <w:tcPr>
            <w:tcW w:w="1042" w:type="pct"/>
            <w:shd w:val="clear" w:color="auto" w:fill="auto"/>
            <w:noWrap/>
            <w:vAlign w:val="center"/>
          </w:tcPr>
          <w:p>
            <w:pPr>
              <w:pStyle w:val="84"/>
              <w:bidi w:val="0"/>
              <w:rPr>
                <w:color w:val="auto"/>
                <w:highlight w:val="none"/>
              </w:rPr>
            </w:pPr>
            <w:r>
              <w:rPr>
                <w:color w:val="auto"/>
                <w:highlight w:val="none"/>
              </w:rPr>
              <w:t>22.</w:t>
            </w:r>
            <w:r>
              <w:rPr>
                <w:rFonts w:hint="eastAsia"/>
                <w:color w:val="auto"/>
                <w:highlight w:val="none"/>
                <w:lang w:val="en-US" w:eastAsia="zh-CN"/>
              </w:rPr>
              <w:t>34</w:t>
            </w: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368" w:type="pct"/>
            <w:shd w:val="clear" w:color="auto" w:fill="auto"/>
            <w:noWrap/>
            <w:vAlign w:val="center"/>
          </w:tcPr>
          <w:p>
            <w:pPr>
              <w:pStyle w:val="84"/>
              <w:bidi w:val="0"/>
              <w:rPr>
                <w:color w:val="auto"/>
                <w:highlight w:val="none"/>
              </w:rPr>
            </w:pPr>
            <w:r>
              <w:rPr>
                <w:color w:val="auto"/>
                <w:highlight w:val="none"/>
              </w:rPr>
              <w:t>合计</w:t>
            </w:r>
          </w:p>
        </w:tc>
        <w:tc>
          <w:tcPr>
            <w:tcW w:w="2277" w:type="dxa"/>
            <w:shd w:val="clear" w:color="auto" w:fill="auto"/>
            <w:noWrap/>
            <w:vAlign w:val="center"/>
          </w:tcPr>
          <w:p>
            <w:pPr>
              <w:pStyle w:val="84"/>
              <w:bidi w:val="0"/>
              <w:rPr>
                <w:color w:val="auto"/>
                <w:highlight w:val="none"/>
              </w:rPr>
            </w:pPr>
            <w:r>
              <w:rPr>
                <w:rFonts w:hint="eastAsia"/>
                <w:color w:val="auto"/>
                <w:highlight w:val="none"/>
                <w:lang w:val="en-US" w:eastAsia="zh-CN"/>
              </w:rPr>
              <w:t xml:space="preserve">410 </w:t>
            </w:r>
          </w:p>
        </w:tc>
        <w:tc>
          <w:tcPr>
            <w:tcW w:w="2422" w:type="dxa"/>
            <w:shd w:val="clear" w:color="auto" w:fill="auto"/>
            <w:noWrap/>
            <w:vAlign w:val="center"/>
          </w:tcPr>
          <w:p>
            <w:pPr>
              <w:pStyle w:val="84"/>
              <w:bidi w:val="0"/>
              <w:rPr>
                <w:color w:val="auto"/>
                <w:highlight w:val="none"/>
              </w:rPr>
            </w:pPr>
            <w:r>
              <w:rPr>
                <w:rFonts w:hint="eastAsia"/>
                <w:color w:val="auto"/>
                <w:highlight w:val="none"/>
                <w:lang w:val="en-US" w:eastAsia="zh-CN"/>
              </w:rPr>
              <w:t xml:space="preserve">293 </w:t>
            </w:r>
          </w:p>
        </w:tc>
        <w:tc>
          <w:tcPr>
            <w:tcW w:w="1042" w:type="pct"/>
            <w:shd w:val="clear" w:color="auto" w:fill="auto"/>
            <w:noWrap/>
            <w:vAlign w:val="center"/>
          </w:tcPr>
          <w:p>
            <w:pPr>
              <w:pStyle w:val="84"/>
              <w:bidi w:val="0"/>
              <w:rPr>
                <w:color w:val="auto"/>
                <w:highlight w:val="none"/>
              </w:rPr>
            </w:pPr>
            <w:r>
              <w:rPr>
                <w:color w:val="auto"/>
                <w:highlight w:val="none"/>
              </w:rPr>
              <w:t>100.00%</w:t>
            </w:r>
          </w:p>
        </w:tc>
      </w:tr>
    </w:tbl>
    <w:p>
      <w:pPr>
        <w:pStyle w:val="56"/>
        <w:ind w:firstLine="480"/>
        <w:rPr>
          <w:color w:val="auto"/>
          <w:highlight w:val="none"/>
        </w:rPr>
      </w:pPr>
      <w:r>
        <w:rPr>
          <w:color w:val="auto"/>
          <w:highlight w:val="none"/>
        </w:rPr>
        <w:t>各预测单元水土流失量汇总表，见表4.5-2。</w:t>
      </w:r>
    </w:p>
    <w:p>
      <w:pPr>
        <w:pStyle w:val="75"/>
        <w:rPr>
          <w:snapToGrid w:val="0"/>
          <w:color w:val="auto"/>
          <w:kern w:val="24"/>
          <w:highlight w:val="none"/>
        </w:rPr>
      </w:pPr>
      <w:r>
        <w:rPr>
          <w:snapToGrid w:val="0"/>
          <w:color w:val="auto"/>
          <w:kern w:val="24"/>
          <w:highlight w:val="none"/>
        </w:rPr>
        <w:t>表</w:t>
      </w:r>
      <w:r>
        <w:rPr>
          <w:color w:val="auto"/>
          <w:highlight w:val="none"/>
        </w:rPr>
        <w:t>4</w:t>
      </w:r>
      <w:r>
        <w:rPr>
          <w:snapToGrid w:val="0"/>
          <w:color w:val="auto"/>
          <w:kern w:val="24"/>
          <w:highlight w:val="none"/>
        </w:rPr>
        <w:t>.5-2    各预测单元水土流失量汇总表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61"/>
        <w:gridCol w:w="2482"/>
        <w:gridCol w:w="2239"/>
        <w:gridCol w:w="17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413" w:type="pct"/>
            <w:shd w:val="clear" w:color="auto" w:fill="auto"/>
            <w:vAlign w:val="center"/>
          </w:tcPr>
          <w:p>
            <w:pPr>
              <w:pStyle w:val="84"/>
              <w:rPr>
                <w:color w:val="auto"/>
                <w:highlight w:val="none"/>
              </w:rPr>
            </w:pPr>
            <w:r>
              <w:rPr>
                <w:color w:val="auto"/>
                <w:highlight w:val="none"/>
              </w:rPr>
              <w:t>防治分区</w:t>
            </w:r>
          </w:p>
        </w:tc>
        <w:tc>
          <w:tcPr>
            <w:tcW w:w="1369" w:type="pct"/>
            <w:shd w:val="clear" w:color="auto" w:fill="auto"/>
            <w:vAlign w:val="center"/>
          </w:tcPr>
          <w:p>
            <w:pPr>
              <w:pStyle w:val="84"/>
              <w:rPr>
                <w:color w:val="auto"/>
                <w:highlight w:val="none"/>
              </w:rPr>
            </w:pPr>
            <w:r>
              <w:rPr>
                <w:color w:val="auto"/>
                <w:highlight w:val="none"/>
              </w:rPr>
              <w:t>水土流失总量（t）</w:t>
            </w:r>
          </w:p>
        </w:tc>
        <w:tc>
          <w:tcPr>
            <w:tcW w:w="1235" w:type="pct"/>
            <w:shd w:val="clear" w:color="auto" w:fill="auto"/>
            <w:vAlign w:val="center"/>
          </w:tcPr>
          <w:p>
            <w:pPr>
              <w:pStyle w:val="84"/>
              <w:rPr>
                <w:color w:val="auto"/>
                <w:highlight w:val="none"/>
              </w:rPr>
            </w:pPr>
            <w:r>
              <w:rPr>
                <w:color w:val="auto"/>
                <w:highlight w:val="none"/>
              </w:rPr>
              <w:t>新增水土流失量（t)</w:t>
            </w:r>
          </w:p>
        </w:tc>
        <w:tc>
          <w:tcPr>
            <w:tcW w:w="981" w:type="pct"/>
            <w:shd w:val="clear" w:color="auto" w:fill="auto"/>
            <w:vAlign w:val="center"/>
          </w:tcPr>
          <w:p>
            <w:pPr>
              <w:pStyle w:val="84"/>
              <w:rPr>
                <w:color w:val="auto"/>
                <w:highlight w:val="none"/>
              </w:rPr>
            </w:pPr>
            <w:r>
              <w:rPr>
                <w:color w:val="auto"/>
                <w:highlight w:val="none"/>
              </w:rPr>
              <w:t>新增流失量比例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413" w:type="pct"/>
            <w:shd w:val="clear" w:color="auto" w:fill="auto"/>
            <w:vAlign w:val="center"/>
          </w:tcPr>
          <w:p>
            <w:pPr>
              <w:pStyle w:val="84"/>
              <w:rPr>
                <w:color w:val="auto"/>
                <w:highlight w:val="none"/>
              </w:rPr>
            </w:pPr>
            <w:r>
              <w:rPr>
                <w:color w:val="auto"/>
                <w:highlight w:val="none"/>
              </w:rPr>
              <w:t>建构筑物区</w:t>
            </w:r>
          </w:p>
        </w:tc>
        <w:tc>
          <w:tcPr>
            <w:tcW w:w="2481" w:type="dxa"/>
            <w:shd w:val="clear" w:color="auto" w:fill="auto"/>
            <w:vAlign w:val="center"/>
          </w:tcPr>
          <w:p>
            <w:pPr>
              <w:pStyle w:val="84"/>
              <w:bidi w:val="0"/>
              <w:rPr>
                <w:color w:val="auto"/>
                <w:highlight w:val="none"/>
              </w:rPr>
            </w:pPr>
            <w:r>
              <w:rPr>
                <w:rFonts w:hint="default"/>
                <w:color w:val="auto"/>
                <w:highlight w:val="none"/>
                <w:lang w:val="en-US" w:eastAsia="zh-CN"/>
              </w:rPr>
              <w:t xml:space="preserve">61 </w:t>
            </w:r>
          </w:p>
        </w:tc>
        <w:tc>
          <w:tcPr>
            <w:tcW w:w="2238" w:type="dxa"/>
            <w:shd w:val="clear" w:color="auto" w:fill="auto"/>
            <w:vAlign w:val="center"/>
          </w:tcPr>
          <w:p>
            <w:pPr>
              <w:pStyle w:val="84"/>
              <w:bidi w:val="0"/>
              <w:rPr>
                <w:color w:val="auto"/>
                <w:highlight w:val="none"/>
              </w:rPr>
            </w:pPr>
            <w:r>
              <w:rPr>
                <w:rFonts w:hint="default"/>
                <w:color w:val="auto"/>
                <w:highlight w:val="none"/>
                <w:lang w:val="en-US" w:eastAsia="zh-CN"/>
              </w:rPr>
              <w:t xml:space="preserve">49 </w:t>
            </w:r>
          </w:p>
        </w:tc>
        <w:tc>
          <w:tcPr>
            <w:tcW w:w="981" w:type="pct"/>
            <w:shd w:val="clear" w:color="auto" w:fill="auto"/>
            <w:vAlign w:val="center"/>
          </w:tcPr>
          <w:p>
            <w:pPr>
              <w:pStyle w:val="84"/>
              <w:spacing w:line="240" w:lineRule="auto"/>
              <w:rPr>
                <w:color w:val="auto"/>
                <w:highlight w:val="none"/>
              </w:rPr>
            </w:pPr>
            <w:r>
              <w:rPr>
                <w:rFonts w:hint="eastAsia"/>
                <w:color w:val="auto"/>
                <w:highlight w:val="none"/>
                <w:lang w:val="en-US" w:eastAsia="zh-CN"/>
              </w:rPr>
              <w:t>16.60</w:t>
            </w: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413" w:type="pct"/>
            <w:shd w:val="clear" w:color="auto" w:fill="auto"/>
            <w:vAlign w:val="center"/>
          </w:tcPr>
          <w:p>
            <w:pPr>
              <w:pStyle w:val="84"/>
              <w:rPr>
                <w:color w:val="auto"/>
                <w:highlight w:val="none"/>
              </w:rPr>
            </w:pPr>
            <w:r>
              <w:rPr>
                <w:color w:val="auto"/>
                <w:highlight w:val="none"/>
              </w:rPr>
              <w:t>绿化区</w:t>
            </w:r>
          </w:p>
        </w:tc>
        <w:tc>
          <w:tcPr>
            <w:tcW w:w="2481" w:type="dxa"/>
            <w:shd w:val="clear" w:color="auto" w:fill="auto"/>
            <w:vAlign w:val="center"/>
          </w:tcPr>
          <w:p>
            <w:pPr>
              <w:pStyle w:val="84"/>
              <w:bidi w:val="0"/>
              <w:rPr>
                <w:color w:val="auto"/>
                <w:highlight w:val="none"/>
              </w:rPr>
            </w:pPr>
            <w:r>
              <w:rPr>
                <w:rFonts w:hint="default"/>
                <w:color w:val="auto"/>
                <w:highlight w:val="none"/>
                <w:lang w:val="en-US" w:eastAsia="zh-CN"/>
              </w:rPr>
              <w:t xml:space="preserve">247 </w:t>
            </w:r>
          </w:p>
        </w:tc>
        <w:tc>
          <w:tcPr>
            <w:tcW w:w="2238" w:type="dxa"/>
            <w:shd w:val="clear" w:color="auto" w:fill="auto"/>
            <w:vAlign w:val="center"/>
          </w:tcPr>
          <w:p>
            <w:pPr>
              <w:pStyle w:val="84"/>
              <w:bidi w:val="0"/>
              <w:rPr>
                <w:color w:val="auto"/>
                <w:highlight w:val="none"/>
              </w:rPr>
            </w:pPr>
            <w:r>
              <w:rPr>
                <w:rFonts w:hint="default"/>
                <w:color w:val="auto"/>
                <w:highlight w:val="none"/>
                <w:lang w:val="en-US" w:eastAsia="zh-CN"/>
              </w:rPr>
              <w:t xml:space="preserve">162 </w:t>
            </w:r>
          </w:p>
        </w:tc>
        <w:tc>
          <w:tcPr>
            <w:tcW w:w="981" w:type="pct"/>
            <w:shd w:val="clear" w:color="auto" w:fill="auto"/>
            <w:vAlign w:val="center"/>
          </w:tcPr>
          <w:p>
            <w:pPr>
              <w:pStyle w:val="84"/>
              <w:spacing w:line="240" w:lineRule="auto"/>
              <w:rPr>
                <w:color w:val="auto"/>
                <w:highlight w:val="none"/>
              </w:rPr>
            </w:pPr>
            <w:r>
              <w:rPr>
                <w:rFonts w:hint="eastAsia"/>
                <w:color w:val="auto"/>
                <w:highlight w:val="none"/>
                <w:lang w:val="en-US" w:eastAsia="zh-CN"/>
              </w:rPr>
              <w:t>55.42</w:t>
            </w: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413" w:type="pct"/>
            <w:shd w:val="clear" w:color="auto" w:fill="auto"/>
            <w:vAlign w:val="center"/>
          </w:tcPr>
          <w:p>
            <w:pPr>
              <w:pStyle w:val="84"/>
              <w:rPr>
                <w:color w:val="auto"/>
                <w:highlight w:val="none"/>
              </w:rPr>
            </w:pPr>
            <w:r>
              <w:rPr>
                <w:color w:val="auto"/>
                <w:highlight w:val="none"/>
              </w:rPr>
              <w:t>道路及硬化区</w:t>
            </w:r>
          </w:p>
        </w:tc>
        <w:tc>
          <w:tcPr>
            <w:tcW w:w="2481" w:type="dxa"/>
            <w:shd w:val="clear" w:color="auto" w:fill="auto"/>
            <w:vAlign w:val="center"/>
          </w:tcPr>
          <w:p>
            <w:pPr>
              <w:pStyle w:val="84"/>
              <w:bidi w:val="0"/>
              <w:rPr>
                <w:color w:val="auto"/>
                <w:highlight w:val="none"/>
              </w:rPr>
            </w:pPr>
            <w:r>
              <w:rPr>
                <w:rFonts w:hint="default"/>
                <w:color w:val="auto"/>
                <w:highlight w:val="none"/>
                <w:lang w:val="en-US" w:eastAsia="zh-CN"/>
              </w:rPr>
              <w:t xml:space="preserve">102 </w:t>
            </w:r>
          </w:p>
        </w:tc>
        <w:tc>
          <w:tcPr>
            <w:tcW w:w="2238" w:type="dxa"/>
            <w:shd w:val="clear" w:color="auto" w:fill="auto"/>
            <w:vAlign w:val="center"/>
          </w:tcPr>
          <w:p>
            <w:pPr>
              <w:pStyle w:val="84"/>
              <w:bidi w:val="0"/>
              <w:rPr>
                <w:color w:val="auto"/>
                <w:highlight w:val="none"/>
              </w:rPr>
            </w:pPr>
            <w:r>
              <w:rPr>
                <w:rFonts w:hint="default"/>
                <w:color w:val="auto"/>
                <w:highlight w:val="none"/>
                <w:lang w:val="en-US" w:eastAsia="zh-CN"/>
              </w:rPr>
              <w:t xml:space="preserve">82 </w:t>
            </w:r>
          </w:p>
        </w:tc>
        <w:tc>
          <w:tcPr>
            <w:tcW w:w="981" w:type="pct"/>
            <w:shd w:val="clear" w:color="auto" w:fill="auto"/>
            <w:vAlign w:val="center"/>
          </w:tcPr>
          <w:p>
            <w:pPr>
              <w:pStyle w:val="84"/>
              <w:spacing w:line="240" w:lineRule="auto"/>
              <w:rPr>
                <w:color w:val="auto"/>
                <w:highlight w:val="none"/>
              </w:rPr>
            </w:pPr>
            <w:r>
              <w:rPr>
                <w:rFonts w:hint="eastAsia"/>
                <w:color w:val="auto"/>
                <w:highlight w:val="none"/>
                <w:lang w:val="en-US" w:eastAsia="zh-CN"/>
              </w:rPr>
              <w:t>27.97</w:t>
            </w: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413" w:type="pct"/>
            <w:shd w:val="clear" w:color="auto" w:fill="auto"/>
            <w:vAlign w:val="center"/>
          </w:tcPr>
          <w:p>
            <w:pPr>
              <w:pStyle w:val="84"/>
              <w:rPr>
                <w:color w:val="auto"/>
                <w:highlight w:val="none"/>
              </w:rPr>
            </w:pPr>
            <w:r>
              <w:rPr>
                <w:color w:val="auto"/>
                <w:highlight w:val="none"/>
              </w:rPr>
              <w:t>合计</w:t>
            </w:r>
          </w:p>
        </w:tc>
        <w:tc>
          <w:tcPr>
            <w:tcW w:w="2481" w:type="dxa"/>
            <w:shd w:val="clear" w:color="auto" w:fill="auto"/>
            <w:vAlign w:val="center"/>
          </w:tcPr>
          <w:p>
            <w:pPr>
              <w:pStyle w:val="84"/>
              <w:bidi w:val="0"/>
              <w:rPr>
                <w:color w:val="auto"/>
                <w:highlight w:val="none"/>
              </w:rPr>
            </w:pPr>
            <w:r>
              <w:rPr>
                <w:rFonts w:hint="default"/>
                <w:color w:val="auto"/>
                <w:highlight w:val="none"/>
                <w:lang w:val="en-US" w:eastAsia="zh-CN"/>
              </w:rPr>
              <w:t xml:space="preserve">410 </w:t>
            </w:r>
          </w:p>
        </w:tc>
        <w:tc>
          <w:tcPr>
            <w:tcW w:w="2238" w:type="dxa"/>
            <w:shd w:val="clear" w:color="auto" w:fill="auto"/>
            <w:vAlign w:val="center"/>
          </w:tcPr>
          <w:p>
            <w:pPr>
              <w:pStyle w:val="84"/>
              <w:bidi w:val="0"/>
              <w:rPr>
                <w:color w:val="auto"/>
                <w:highlight w:val="none"/>
              </w:rPr>
            </w:pPr>
            <w:r>
              <w:rPr>
                <w:rFonts w:hint="default"/>
                <w:color w:val="auto"/>
                <w:highlight w:val="none"/>
                <w:lang w:val="en-US" w:eastAsia="zh-CN"/>
              </w:rPr>
              <w:t xml:space="preserve">293 </w:t>
            </w:r>
          </w:p>
        </w:tc>
        <w:tc>
          <w:tcPr>
            <w:tcW w:w="981" w:type="pct"/>
            <w:shd w:val="clear" w:color="auto" w:fill="auto"/>
            <w:vAlign w:val="center"/>
          </w:tcPr>
          <w:p>
            <w:pPr>
              <w:pStyle w:val="84"/>
              <w:spacing w:line="240" w:lineRule="auto"/>
              <w:rPr>
                <w:color w:val="auto"/>
                <w:highlight w:val="none"/>
              </w:rPr>
            </w:pPr>
            <w:r>
              <w:rPr>
                <w:color w:val="auto"/>
                <w:highlight w:val="none"/>
              </w:rPr>
              <w:t>100.00%</w:t>
            </w:r>
          </w:p>
        </w:tc>
      </w:tr>
    </w:tbl>
    <w:p>
      <w:pPr>
        <w:pStyle w:val="56"/>
        <w:spacing w:line="240" w:lineRule="auto"/>
        <w:ind w:firstLine="0" w:firstLineChars="0"/>
        <w:rPr>
          <w:color w:val="auto"/>
          <w:sz w:val="22"/>
          <w:highlight w:val="none"/>
        </w:rPr>
      </w:pPr>
      <w:r>
        <w:rPr>
          <w:color w:val="auto"/>
          <w:sz w:val="22"/>
          <w:highlight w:val="none"/>
        </w:rPr>
        <w:t>注：本项目管线工程区和施工生产区占地中的重复占地，水土流失预测时重复占地面积均纳入道路及硬化区内，不再重复计列。</w:t>
      </w:r>
    </w:p>
    <w:p>
      <w:pPr>
        <w:pStyle w:val="69"/>
        <w:rPr>
          <w:color w:val="auto"/>
          <w:highlight w:val="none"/>
        </w:rPr>
      </w:pPr>
      <w:r>
        <w:rPr>
          <w:color w:val="auto"/>
          <w:highlight w:val="none"/>
        </w:rPr>
        <w:t>4.5.2 指导意见</w:t>
      </w:r>
    </w:p>
    <w:p>
      <w:pPr>
        <w:pStyle w:val="56"/>
        <w:ind w:firstLine="480"/>
        <w:rPr>
          <w:color w:val="auto"/>
          <w:highlight w:val="none"/>
        </w:rPr>
      </w:pPr>
      <w:r>
        <w:rPr>
          <w:color w:val="auto"/>
          <w:highlight w:val="none"/>
        </w:rPr>
        <w:t>本项目主体工程建设区地貌单元为冲洪积平原区，水土流失类型为轻度风力、微度水力侵蚀等。工程建设过程中破坏地表植被和结皮，以及临时堆土堆置都产生了一定的水土流失。因此，做好工程建设过程中扰动区域的防护和恢复，是项目建设水土保持主要工作内容。根据以上调查内容和结果进行综合分析，针对项目已实施及本方案的防护措施等工作提出如下的指导意见：</w:t>
      </w:r>
    </w:p>
    <w:p>
      <w:pPr>
        <w:pStyle w:val="56"/>
        <w:ind w:firstLine="480"/>
        <w:rPr>
          <w:color w:val="auto"/>
          <w:highlight w:val="none"/>
        </w:rPr>
      </w:pPr>
      <w:r>
        <w:rPr>
          <w:color w:val="auto"/>
          <w:highlight w:val="none"/>
        </w:rPr>
        <w:t>（1）防治措施的指导意见</w:t>
      </w:r>
    </w:p>
    <w:p>
      <w:pPr>
        <w:pStyle w:val="56"/>
        <w:ind w:firstLine="480"/>
        <w:rPr>
          <w:color w:val="auto"/>
          <w:highlight w:val="none"/>
        </w:rPr>
      </w:pPr>
      <w:r>
        <w:rPr>
          <w:color w:val="auto"/>
          <w:highlight w:val="none"/>
        </w:rPr>
        <w:t>项目建设产生水土流失的因素很多，如：地面坡度、地表组成物质与结构、风力、降雨强度等，都是造成水土流失的主导因素。项目区内原地表土壤侵蚀类型以轻度侵蚀为主，工程建设扰动地表后新增土壤侵蚀量较大，工程建设过程中采取一系列的水土保持防治措施，有效减轻由于工程建设造成的水土流失。建设单位在后期的建设过程中应积极落实主体工程设计及方案新增水土保持防护措施，优化施工工艺，根据工程实际情况，工程建设过程中积极采取一定的临时防护措施，在项目建设区能够实施植物措施的区域尽可能的采取一些植物措施，并制定相关组织管理措施，加强项目区水土保持措施后续管理及维护工作。</w:t>
      </w:r>
    </w:p>
    <w:p>
      <w:pPr>
        <w:pStyle w:val="56"/>
        <w:ind w:firstLine="480"/>
        <w:rPr>
          <w:color w:val="auto"/>
          <w:highlight w:val="none"/>
        </w:rPr>
      </w:pPr>
      <w:r>
        <w:rPr>
          <w:color w:val="auto"/>
          <w:highlight w:val="none"/>
        </w:rPr>
        <w:t>加强宣传，增强工作人员的水土保持意识，工程建设运行要把水土保持宣传工作放在重要位置，加强宣传水土保持有关的法律，加强水土保持教育，增强水土保持意识。</w:t>
      </w:r>
    </w:p>
    <w:p>
      <w:pPr>
        <w:pStyle w:val="56"/>
        <w:ind w:firstLine="480"/>
        <w:rPr>
          <w:color w:val="auto"/>
          <w:highlight w:val="none"/>
        </w:rPr>
      </w:pPr>
      <w:r>
        <w:rPr>
          <w:color w:val="auto"/>
          <w:highlight w:val="none"/>
        </w:rPr>
        <w:t>（2）施工时序的指导意见</w:t>
      </w:r>
    </w:p>
    <w:p>
      <w:pPr>
        <w:pStyle w:val="56"/>
        <w:ind w:firstLine="480"/>
        <w:rPr>
          <w:color w:val="auto"/>
          <w:highlight w:val="none"/>
        </w:rPr>
      </w:pPr>
      <w:r>
        <w:rPr>
          <w:color w:val="auto"/>
          <w:highlight w:val="none"/>
        </w:rPr>
        <w:t>施工期水土流失主要集中在4～9月份，因此在主体施工安排时，各区域土建部分施工应尽量避开降雨天气。对在降雨期间不得不实施的工程必须做好防护措施，使水土保持工程与主体工程在施工时相互配套，特别做好临时防护工程，减少施工中的水土流失。</w:t>
      </w:r>
    </w:p>
    <w:p>
      <w:pPr>
        <w:pStyle w:val="56"/>
        <w:ind w:firstLine="480"/>
        <w:rPr>
          <w:color w:val="auto"/>
          <w:highlight w:val="none"/>
        </w:rPr>
      </w:pPr>
      <w:r>
        <w:rPr>
          <w:color w:val="auto"/>
          <w:highlight w:val="none"/>
        </w:rPr>
        <w:t>虽然工程建设存在着损坏原地貌、临时堆土以及开挖边坡等可能造成水土流失的不利因素，但通过制定科学的水土保持方案，采取相应的对策措施，对可能造成的水土流失进行积极有效的防治，是可以减少因工程建设所引起的水土流失并降低其不利影响的。</w:t>
      </w:r>
    </w:p>
    <w:p>
      <w:pPr>
        <w:pStyle w:val="56"/>
        <w:ind w:firstLine="480"/>
        <w:rPr>
          <w:color w:val="auto"/>
          <w:highlight w:val="none"/>
        </w:rPr>
      </w:pPr>
    </w:p>
    <w:p>
      <w:pPr>
        <w:pStyle w:val="56"/>
        <w:ind w:firstLine="480"/>
        <w:rPr>
          <w:color w:val="auto"/>
          <w:highlight w:val="none"/>
        </w:rPr>
      </w:pPr>
    </w:p>
    <w:p>
      <w:pPr>
        <w:pStyle w:val="56"/>
        <w:ind w:firstLine="480"/>
        <w:rPr>
          <w:color w:val="auto"/>
          <w:highlight w:val="none"/>
        </w:rPr>
      </w:pPr>
    </w:p>
    <w:p>
      <w:pPr>
        <w:pStyle w:val="56"/>
        <w:ind w:firstLine="480"/>
        <w:rPr>
          <w:color w:val="auto"/>
          <w:highlight w:val="none"/>
        </w:rPr>
        <w:sectPr>
          <w:headerReference r:id="rId21"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bookmarkEnd w:id="118"/>
    <w:bookmarkEnd w:id="119"/>
    <w:p>
      <w:pPr>
        <w:pStyle w:val="65"/>
        <w:rPr>
          <w:color w:val="auto"/>
          <w:highlight w:val="none"/>
        </w:rPr>
      </w:pPr>
      <w:bookmarkStart w:id="120" w:name="_Toc7550"/>
      <w:r>
        <w:rPr>
          <w:color w:val="auto"/>
          <w:highlight w:val="none"/>
        </w:rPr>
        <w:t>5 水土保持措施</w:t>
      </w:r>
      <w:bookmarkEnd w:id="120"/>
    </w:p>
    <w:p>
      <w:pPr>
        <w:pStyle w:val="66"/>
        <w:rPr>
          <w:color w:val="auto"/>
          <w:highlight w:val="none"/>
        </w:rPr>
      </w:pPr>
      <w:bookmarkStart w:id="121" w:name="_Toc417412338"/>
      <w:bookmarkStart w:id="122" w:name="_Toc407014552"/>
      <w:bookmarkStart w:id="123" w:name="_Toc23359"/>
      <w:r>
        <w:rPr>
          <w:color w:val="auto"/>
          <w:highlight w:val="none"/>
        </w:rPr>
        <w:t xml:space="preserve">5.1 </w:t>
      </w:r>
      <w:bookmarkEnd w:id="121"/>
      <w:bookmarkEnd w:id="122"/>
      <w:r>
        <w:rPr>
          <w:color w:val="auto"/>
          <w:highlight w:val="none"/>
        </w:rPr>
        <w:t>防治区划分</w:t>
      </w:r>
      <w:bookmarkEnd w:id="123"/>
    </w:p>
    <w:p>
      <w:pPr>
        <w:pStyle w:val="69"/>
        <w:rPr>
          <w:color w:val="auto"/>
          <w:highlight w:val="none"/>
        </w:rPr>
      </w:pPr>
      <w:bookmarkStart w:id="124" w:name="_Toc407014554"/>
      <w:bookmarkStart w:id="125" w:name="_Toc417412340"/>
      <w:r>
        <w:rPr>
          <w:color w:val="auto"/>
          <w:highlight w:val="none"/>
        </w:rPr>
        <w:t>5.1.1 防治分区依据</w:t>
      </w:r>
    </w:p>
    <w:p>
      <w:pPr>
        <w:pStyle w:val="56"/>
        <w:ind w:firstLine="480"/>
        <w:rPr>
          <w:color w:val="auto"/>
          <w:highlight w:val="none"/>
        </w:rPr>
      </w:pPr>
      <w:r>
        <w:rPr>
          <w:color w:val="auto"/>
          <w:highlight w:val="none"/>
        </w:rPr>
        <w:t>根据本项目水土流失防治责任范围，项目区地形地貌、地质条件、气候、植被和水土流失特征，结合工程总体布局特征、占地类型及占用方式，造成的水土流失类型、水土流失的重点区域及水土流失防治目标等工程建设特点和人为活动影响情况综合分析进行水土流失防治分区。</w:t>
      </w:r>
    </w:p>
    <w:p>
      <w:pPr>
        <w:pStyle w:val="69"/>
        <w:rPr>
          <w:color w:val="auto"/>
          <w:highlight w:val="none"/>
        </w:rPr>
      </w:pPr>
      <w:r>
        <w:rPr>
          <w:color w:val="auto"/>
          <w:highlight w:val="none"/>
        </w:rPr>
        <w:t>5.1.2 防治分区原则</w:t>
      </w:r>
    </w:p>
    <w:p>
      <w:pPr>
        <w:pStyle w:val="56"/>
        <w:ind w:firstLine="480"/>
        <w:rPr>
          <w:color w:val="auto"/>
          <w:highlight w:val="none"/>
        </w:rPr>
      </w:pPr>
      <w:r>
        <w:rPr>
          <w:color w:val="auto"/>
          <w:highlight w:val="none"/>
        </w:rPr>
        <w:t>防治分区的划定遵循以下原则：</w:t>
      </w:r>
    </w:p>
    <w:p>
      <w:pPr>
        <w:pStyle w:val="56"/>
        <w:ind w:firstLine="480"/>
        <w:rPr>
          <w:color w:val="auto"/>
          <w:highlight w:val="none"/>
        </w:rPr>
      </w:pPr>
      <w:r>
        <w:rPr>
          <w:color w:val="auto"/>
          <w:highlight w:val="none"/>
        </w:rPr>
        <w:t>（1）各区之间具有显著差异性；</w:t>
      </w:r>
    </w:p>
    <w:p>
      <w:pPr>
        <w:pStyle w:val="56"/>
        <w:ind w:firstLine="480"/>
        <w:rPr>
          <w:color w:val="auto"/>
          <w:highlight w:val="none"/>
        </w:rPr>
      </w:pPr>
      <w:r>
        <w:rPr>
          <w:color w:val="auto"/>
          <w:highlight w:val="none"/>
        </w:rPr>
        <w:t>（2）相同分区内造成水土流失的主导因子相近或相似；</w:t>
      </w:r>
    </w:p>
    <w:p>
      <w:pPr>
        <w:pStyle w:val="56"/>
        <w:ind w:firstLine="480"/>
        <w:rPr>
          <w:color w:val="auto"/>
          <w:highlight w:val="none"/>
        </w:rPr>
      </w:pPr>
      <w:r>
        <w:rPr>
          <w:color w:val="auto"/>
          <w:highlight w:val="none"/>
        </w:rPr>
        <w:t>（3）区内扰动特点和扰动后的地表物质形态具有同一性；</w:t>
      </w:r>
    </w:p>
    <w:p>
      <w:pPr>
        <w:pStyle w:val="56"/>
        <w:ind w:firstLine="480"/>
        <w:rPr>
          <w:color w:val="auto"/>
          <w:highlight w:val="none"/>
        </w:rPr>
      </w:pPr>
      <w:r>
        <w:rPr>
          <w:color w:val="auto"/>
          <w:highlight w:val="none"/>
        </w:rPr>
        <w:t>（4）区内气候特征、地表形态和地面物质组成和外营力（侵蚀营力和抗蚀性）等水土流失主导因子相近或相似；</w:t>
      </w:r>
    </w:p>
    <w:p>
      <w:pPr>
        <w:pStyle w:val="56"/>
        <w:ind w:firstLine="480"/>
        <w:rPr>
          <w:color w:val="auto"/>
          <w:highlight w:val="none"/>
        </w:rPr>
      </w:pPr>
      <w:r>
        <w:rPr>
          <w:color w:val="auto"/>
          <w:highlight w:val="none"/>
        </w:rPr>
        <w:t>（5）区内工程建设类别、性质、建设时序和水土流失特点差异性和相似性。</w:t>
      </w:r>
    </w:p>
    <w:p>
      <w:pPr>
        <w:pStyle w:val="69"/>
        <w:rPr>
          <w:color w:val="auto"/>
          <w:highlight w:val="none"/>
        </w:rPr>
      </w:pPr>
      <w:r>
        <w:rPr>
          <w:color w:val="auto"/>
          <w:highlight w:val="none"/>
        </w:rPr>
        <w:t>5.1.3 防治分区结果</w:t>
      </w:r>
    </w:p>
    <w:p>
      <w:pPr>
        <w:pStyle w:val="56"/>
        <w:ind w:firstLine="480"/>
        <w:rPr>
          <w:color w:val="auto"/>
          <w:highlight w:val="none"/>
        </w:rPr>
      </w:pPr>
      <w:r>
        <w:rPr>
          <w:color w:val="auto"/>
          <w:highlight w:val="none"/>
        </w:rPr>
        <w:t>根据本项目的建设特点及划定的防治责任范围，将水土流失治理区按地貌类型进行分区，在地貌单元内再根据工程建设对水土流失的影响、区域自然条件、工程布局及不同部位水土流失特点等因素，将分区进行细化。按照水土流失类型相同及治理措施基本相近，各区之间差异较大的原则，将本项目的水土流失防治区划分为一个一级防治分区：冲洪积平原区。同时根据各一级分区工程建设特点共划分为5个二级防治分区，包括建构筑物区、绿化区、道路及硬化区、管线工程区及施工生产区。</w:t>
      </w:r>
    </w:p>
    <w:p>
      <w:pPr>
        <w:pStyle w:val="56"/>
        <w:ind w:firstLine="480"/>
        <w:rPr>
          <w:color w:val="auto"/>
          <w:highlight w:val="none"/>
        </w:rPr>
      </w:pPr>
      <w:r>
        <w:rPr>
          <w:color w:val="auto"/>
          <w:highlight w:val="none"/>
        </w:rPr>
        <w:t>本项目水土流失防治分区表，见表5.1-1。</w:t>
      </w:r>
    </w:p>
    <w:p>
      <w:pPr>
        <w:pStyle w:val="75"/>
        <w:rPr>
          <w:snapToGrid w:val="0"/>
          <w:color w:val="auto"/>
          <w:kern w:val="24"/>
          <w:highlight w:val="none"/>
        </w:rPr>
      </w:pPr>
      <w:r>
        <w:rPr>
          <w:snapToGrid w:val="0"/>
          <w:color w:val="auto"/>
          <w:kern w:val="24"/>
          <w:highlight w:val="none"/>
        </w:rPr>
        <w:t>表</w:t>
      </w:r>
      <w:r>
        <w:rPr>
          <w:color w:val="auto"/>
          <w:highlight w:val="none"/>
        </w:rPr>
        <w:t>5.1-1</w:t>
      </w:r>
      <w:r>
        <w:rPr>
          <w:snapToGrid w:val="0"/>
          <w:color w:val="auto"/>
          <w:kern w:val="24"/>
          <w:highlight w:val="none"/>
        </w:rPr>
        <w:t xml:space="preserve">   </w:t>
      </w:r>
      <w:r>
        <w:rPr>
          <w:color w:val="auto"/>
          <w:highlight w:val="none"/>
        </w:rPr>
        <w:t xml:space="preserve">  按区域划分</w:t>
      </w:r>
      <w:r>
        <w:rPr>
          <w:snapToGrid w:val="0"/>
          <w:color w:val="auto"/>
          <w:kern w:val="24"/>
          <w:highlight w:val="none"/>
        </w:rPr>
        <w:t xml:space="preserve">水土流失防治分区表  </w:t>
      </w:r>
      <w:r>
        <w:rPr>
          <w:color w:val="auto"/>
          <w:highlight w:val="none"/>
        </w:rPr>
        <w:t xml:space="preserve">   </w:t>
      </w:r>
      <w:r>
        <w:rPr>
          <w:snapToGrid w:val="0"/>
          <w:color w:val="auto"/>
          <w:kern w:val="24"/>
          <w:highlight w:val="none"/>
        </w:rPr>
        <w:t xml:space="preserve"> 单位：hm²</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4"/>
        <w:gridCol w:w="1750"/>
        <w:gridCol w:w="1725"/>
        <w:gridCol w:w="1716"/>
        <w:gridCol w:w="1716"/>
        <w:gridCol w:w="10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exact"/>
          <w:jc w:val="center"/>
        </w:trPr>
        <w:tc>
          <w:tcPr>
            <w:tcW w:w="604" w:type="pct"/>
            <w:shd w:val="clear" w:color="auto" w:fill="auto"/>
            <w:noWrap/>
            <w:vAlign w:val="center"/>
          </w:tcPr>
          <w:p>
            <w:pPr>
              <w:pStyle w:val="84"/>
              <w:rPr>
                <w:color w:val="auto"/>
                <w:highlight w:val="none"/>
              </w:rPr>
            </w:pPr>
            <w:r>
              <w:rPr>
                <w:color w:val="auto"/>
                <w:highlight w:val="none"/>
              </w:rPr>
              <w:t>一级分区</w:t>
            </w:r>
          </w:p>
        </w:tc>
        <w:tc>
          <w:tcPr>
            <w:tcW w:w="966" w:type="pct"/>
            <w:shd w:val="clear" w:color="auto" w:fill="auto"/>
            <w:noWrap/>
            <w:vAlign w:val="center"/>
          </w:tcPr>
          <w:p>
            <w:pPr>
              <w:pStyle w:val="84"/>
              <w:rPr>
                <w:color w:val="auto"/>
                <w:highlight w:val="none"/>
              </w:rPr>
            </w:pPr>
            <w:r>
              <w:rPr>
                <w:color w:val="auto"/>
                <w:highlight w:val="none"/>
              </w:rPr>
              <w:t>二级分区</w:t>
            </w:r>
          </w:p>
        </w:tc>
        <w:tc>
          <w:tcPr>
            <w:tcW w:w="952" w:type="pct"/>
            <w:shd w:val="clear" w:color="auto" w:fill="auto"/>
            <w:noWrap/>
            <w:vAlign w:val="center"/>
          </w:tcPr>
          <w:p>
            <w:pPr>
              <w:pStyle w:val="84"/>
              <w:rPr>
                <w:color w:val="auto"/>
                <w:highlight w:val="none"/>
              </w:rPr>
            </w:pPr>
            <w:r>
              <w:rPr>
                <w:color w:val="auto"/>
                <w:highlight w:val="none"/>
              </w:rPr>
              <w:t>分区面积</w:t>
            </w:r>
          </w:p>
        </w:tc>
        <w:tc>
          <w:tcPr>
            <w:tcW w:w="947" w:type="pct"/>
            <w:shd w:val="clear" w:color="auto" w:fill="auto"/>
            <w:noWrap/>
            <w:vAlign w:val="center"/>
          </w:tcPr>
          <w:p>
            <w:pPr>
              <w:pStyle w:val="84"/>
              <w:rPr>
                <w:rFonts w:hint="eastAsia" w:eastAsia="仿宋_GB2312"/>
                <w:color w:val="auto"/>
                <w:highlight w:val="none"/>
                <w:lang w:eastAsia="zh-CN"/>
              </w:rPr>
            </w:pPr>
            <w:r>
              <w:rPr>
                <w:rFonts w:hint="eastAsia"/>
                <w:color w:val="auto"/>
                <w:highlight w:val="none"/>
                <w:lang w:eastAsia="zh-CN"/>
              </w:rPr>
              <w:t>备注</w:t>
            </w:r>
          </w:p>
        </w:tc>
        <w:tc>
          <w:tcPr>
            <w:tcW w:w="947" w:type="pct"/>
            <w:shd w:val="clear" w:color="auto" w:fill="auto"/>
            <w:noWrap/>
            <w:vAlign w:val="center"/>
          </w:tcPr>
          <w:p>
            <w:pPr>
              <w:pStyle w:val="84"/>
              <w:rPr>
                <w:color w:val="auto"/>
                <w:highlight w:val="none"/>
              </w:rPr>
            </w:pPr>
            <w:r>
              <w:rPr>
                <w:color w:val="auto"/>
                <w:highlight w:val="none"/>
              </w:rPr>
              <w:t>分区特点</w:t>
            </w:r>
          </w:p>
        </w:tc>
        <w:tc>
          <w:tcPr>
            <w:tcW w:w="581" w:type="pct"/>
            <w:shd w:val="clear" w:color="auto" w:fill="auto"/>
            <w:noWrap/>
            <w:vAlign w:val="center"/>
          </w:tcPr>
          <w:p>
            <w:pPr>
              <w:pStyle w:val="84"/>
              <w:rPr>
                <w:color w:val="auto"/>
                <w:highlight w:val="none"/>
              </w:rPr>
            </w:pPr>
            <w:r>
              <w:rPr>
                <w:color w:val="auto"/>
                <w:highlight w:val="none"/>
              </w:rPr>
              <w:t>行政区划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exact"/>
          <w:jc w:val="center"/>
        </w:trPr>
        <w:tc>
          <w:tcPr>
            <w:tcW w:w="604" w:type="pct"/>
            <w:vMerge w:val="restart"/>
            <w:shd w:val="clear" w:color="auto" w:fill="auto"/>
            <w:vAlign w:val="center"/>
          </w:tcPr>
          <w:p>
            <w:pPr>
              <w:pStyle w:val="84"/>
              <w:rPr>
                <w:color w:val="auto"/>
                <w:highlight w:val="none"/>
              </w:rPr>
            </w:pPr>
            <w:r>
              <w:rPr>
                <w:color w:val="auto"/>
                <w:highlight w:val="none"/>
              </w:rPr>
              <w:t>冲洪积平原</w:t>
            </w:r>
          </w:p>
        </w:tc>
        <w:tc>
          <w:tcPr>
            <w:tcW w:w="966" w:type="pct"/>
            <w:shd w:val="clear" w:color="auto" w:fill="auto"/>
            <w:noWrap/>
            <w:vAlign w:val="center"/>
          </w:tcPr>
          <w:p>
            <w:pPr>
              <w:pStyle w:val="84"/>
              <w:rPr>
                <w:color w:val="auto"/>
                <w:highlight w:val="none"/>
              </w:rPr>
            </w:pPr>
            <w:r>
              <w:rPr>
                <w:color w:val="auto"/>
                <w:highlight w:val="none"/>
              </w:rPr>
              <w:t>建构筑物区</w:t>
            </w:r>
          </w:p>
        </w:tc>
        <w:tc>
          <w:tcPr>
            <w:tcW w:w="952" w:type="pct"/>
            <w:shd w:val="clear" w:color="auto" w:fill="auto"/>
            <w:noWrap/>
            <w:vAlign w:val="center"/>
          </w:tcPr>
          <w:p>
            <w:pPr>
              <w:pStyle w:val="84"/>
              <w:rPr>
                <w:rFonts w:hint="default" w:eastAsia="仿宋_GB2312"/>
                <w:color w:val="auto"/>
                <w:highlight w:val="none"/>
                <w:lang w:val="en-US" w:eastAsia="zh-CN"/>
              </w:rPr>
            </w:pPr>
            <w:r>
              <w:rPr>
                <w:color w:val="auto"/>
                <w:highlight w:val="none"/>
              </w:rPr>
              <w:t>0.</w:t>
            </w:r>
            <w:r>
              <w:rPr>
                <w:rFonts w:hint="eastAsia"/>
                <w:color w:val="auto"/>
                <w:highlight w:val="none"/>
                <w:lang w:val="en-US" w:eastAsia="zh-CN"/>
              </w:rPr>
              <w:t>73</w:t>
            </w:r>
          </w:p>
        </w:tc>
        <w:tc>
          <w:tcPr>
            <w:tcW w:w="947" w:type="pct"/>
            <w:vMerge w:val="restart"/>
            <w:shd w:val="clear" w:color="auto" w:fill="auto"/>
            <w:vAlign w:val="center"/>
          </w:tcPr>
          <w:p>
            <w:pPr>
              <w:pStyle w:val="84"/>
              <w:rPr>
                <w:rFonts w:hint="eastAsia" w:eastAsia="仿宋_GB2312"/>
                <w:color w:val="auto"/>
                <w:highlight w:val="none"/>
                <w:lang w:eastAsia="zh-CN"/>
              </w:rPr>
            </w:pPr>
            <w:r>
              <w:rPr>
                <w:rFonts w:hint="eastAsia"/>
                <w:color w:val="auto"/>
                <w:highlight w:val="none"/>
                <w:lang w:eastAsia="zh-CN"/>
              </w:rPr>
              <w:t>红线内占地</w:t>
            </w:r>
          </w:p>
        </w:tc>
        <w:tc>
          <w:tcPr>
            <w:tcW w:w="947" w:type="pct"/>
            <w:vMerge w:val="restart"/>
            <w:shd w:val="clear" w:color="auto" w:fill="auto"/>
            <w:vAlign w:val="center"/>
          </w:tcPr>
          <w:p>
            <w:pPr>
              <w:pStyle w:val="84"/>
              <w:rPr>
                <w:color w:val="auto"/>
                <w:highlight w:val="none"/>
              </w:rPr>
            </w:pPr>
            <w:r>
              <w:rPr>
                <w:color w:val="auto"/>
                <w:highlight w:val="none"/>
              </w:rPr>
              <w:t>分区按扰特点相同，施工工艺相同，施工时序在同一时间确定。</w:t>
            </w:r>
          </w:p>
        </w:tc>
        <w:tc>
          <w:tcPr>
            <w:tcW w:w="581" w:type="pct"/>
            <w:vMerge w:val="restart"/>
            <w:shd w:val="clear" w:color="auto" w:fill="auto"/>
            <w:vAlign w:val="center"/>
          </w:tcPr>
          <w:p>
            <w:pPr>
              <w:pStyle w:val="84"/>
              <w:rPr>
                <w:color w:val="auto"/>
                <w:highlight w:val="none"/>
              </w:rPr>
            </w:pPr>
            <w:r>
              <w:rPr>
                <w:color w:val="auto"/>
                <w:highlight w:val="none"/>
              </w:rPr>
              <w:t>伊犁州</w:t>
            </w:r>
            <w:r>
              <w:rPr>
                <w:rFonts w:hint="eastAsia"/>
                <w:color w:val="auto"/>
                <w:highlight w:val="none"/>
                <w:lang w:eastAsia="zh-CN"/>
              </w:rPr>
              <w:t>伊宁</w:t>
            </w:r>
            <w:r>
              <w:rPr>
                <w:color w:val="auto"/>
                <w:highlight w:val="none"/>
              </w:rPr>
              <w:t>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exact"/>
          <w:jc w:val="center"/>
        </w:trPr>
        <w:tc>
          <w:tcPr>
            <w:tcW w:w="604" w:type="pct"/>
            <w:vMerge w:val="continue"/>
            <w:vAlign w:val="center"/>
          </w:tcPr>
          <w:p>
            <w:pPr>
              <w:pStyle w:val="84"/>
              <w:rPr>
                <w:color w:val="auto"/>
                <w:highlight w:val="none"/>
              </w:rPr>
            </w:pPr>
          </w:p>
        </w:tc>
        <w:tc>
          <w:tcPr>
            <w:tcW w:w="966" w:type="pct"/>
            <w:shd w:val="clear" w:color="auto" w:fill="auto"/>
            <w:noWrap/>
            <w:vAlign w:val="center"/>
          </w:tcPr>
          <w:p>
            <w:pPr>
              <w:pStyle w:val="84"/>
              <w:rPr>
                <w:color w:val="auto"/>
                <w:highlight w:val="none"/>
              </w:rPr>
            </w:pPr>
            <w:r>
              <w:rPr>
                <w:color w:val="auto"/>
                <w:highlight w:val="none"/>
              </w:rPr>
              <w:t>绿化区</w:t>
            </w:r>
          </w:p>
        </w:tc>
        <w:tc>
          <w:tcPr>
            <w:tcW w:w="952" w:type="pct"/>
            <w:shd w:val="clear" w:color="auto" w:fill="auto"/>
            <w:noWrap/>
            <w:vAlign w:val="center"/>
          </w:tcPr>
          <w:p>
            <w:pPr>
              <w:pStyle w:val="84"/>
              <w:rPr>
                <w:rFonts w:eastAsia="宋体"/>
                <w:color w:val="auto"/>
                <w:highlight w:val="none"/>
              </w:rPr>
            </w:pPr>
            <w:r>
              <w:rPr>
                <w:rFonts w:hint="eastAsia"/>
                <w:color w:val="auto"/>
                <w:highlight w:val="none"/>
                <w:lang w:val="en-US" w:eastAsia="zh-CN"/>
              </w:rPr>
              <w:t>1.21</w:t>
            </w:r>
            <w:r>
              <w:rPr>
                <w:color w:val="auto"/>
                <w:highlight w:val="none"/>
              </w:rPr>
              <w:t xml:space="preserve"> </w:t>
            </w:r>
          </w:p>
        </w:tc>
        <w:tc>
          <w:tcPr>
            <w:tcW w:w="947" w:type="pct"/>
            <w:vMerge w:val="continue"/>
            <w:vAlign w:val="center"/>
          </w:tcPr>
          <w:p>
            <w:pPr>
              <w:pStyle w:val="84"/>
              <w:rPr>
                <w:color w:val="auto"/>
                <w:highlight w:val="none"/>
              </w:rPr>
            </w:pPr>
          </w:p>
        </w:tc>
        <w:tc>
          <w:tcPr>
            <w:tcW w:w="947" w:type="pct"/>
            <w:vMerge w:val="continue"/>
            <w:vAlign w:val="center"/>
          </w:tcPr>
          <w:p>
            <w:pPr>
              <w:pStyle w:val="84"/>
              <w:rPr>
                <w:color w:val="auto"/>
                <w:highlight w:val="none"/>
              </w:rPr>
            </w:pPr>
          </w:p>
        </w:tc>
        <w:tc>
          <w:tcPr>
            <w:tcW w:w="581" w:type="pct"/>
            <w:vMerge w:val="continue"/>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exact"/>
          <w:jc w:val="center"/>
        </w:trPr>
        <w:tc>
          <w:tcPr>
            <w:tcW w:w="604" w:type="pct"/>
            <w:vMerge w:val="continue"/>
            <w:vAlign w:val="center"/>
          </w:tcPr>
          <w:p>
            <w:pPr>
              <w:pStyle w:val="84"/>
              <w:rPr>
                <w:color w:val="auto"/>
                <w:highlight w:val="none"/>
              </w:rPr>
            </w:pPr>
          </w:p>
        </w:tc>
        <w:tc>
          <w:tcPr>
            <w:tcW w:w="966" w:type="pct"/>
            <w:shd w:val="clear" w:color="auto" w:fill="auto"/>
            <w:noWrap/>
            <w:vAlign w:val="center"/>
          </w:tcPr>
          <w:p>
            <w:pPr>
              <w:pStyle w:val="84"/>
              <w:rPr>
                <w:color w:val="auto"/>
                <w:highlight w:val="none"/>
              </w:rPr>
            </w:pPr>
            <w:r>
              <w:rPr>
                <w:color w:val="auto"/>
                <w:highlight w:val="none"/>
              </w:rPr>
              <w:t>道路及硬化区</w:t>
            </w:r>
          </w:p>
        </w:tc>
        <w:tc>
          <w:tcPr>
            <w:tcW w:w="952" w:type="pct"/>
            <w:shd w:val="clear" w:color="auto" w:fill="auto"/>
            <w:noWrap/>
            <w:vAlign w:val="center"/>
          </w:tcPr>
          <w:p>
            <w:pPr>
              <w:pStyle w:val="84"/>
              <w:rPr>
                <w:rFonts w:eastAsia="宋体"/>
                <w:color w:val="auto"/>
                <w:highlight w:val="none"/>
              </w:rPr>
            </w:pPr>
            <w:r>
              <w:rPr>
                <w:color w:val="auto"/>
                <w:highlight w:val="none"/>
              </w:rPr>
              <w:t>1.</w:t>
            </w:r>
            <w:r>
              <w:rPr>
                <w:rFonts w:hint="eastAsia"/>
                <w:color w:val="auto"/>
                <w:highlight w:val="none"/>
                <w:lang w:val="en-US" w:eastAsia="zh-CN"/>
              </w:rPr>
              <w:t>02</w:t>
            </w:r>
            <w:r>
              <w:rPr>
                <w:color w:val="auto"/>
                <w:highlight w:val="none"/>
              </w:rPr>
              <w:t xml:space="preserve"> </w:t>
            </w:r>
          </w:p>
        </w:tc>
        <w:tc>
          <w:tcPr>
            <w:tcW w:w="947" w:type="pct"/>
            <w:vMerge w:val="continue"/>
            <w:vAlign w:val="center"/>
          </w:tcPr>
          <w:p>
            <w:pPr>
              <w:pStyle w:val="84"/>
              <w:rPr>
                <w:color w:val="auto"/>
                <w:highlight w:val="none"/>
              </w:rPr>
            </w:pPr>
          </w:p>
        </w:tc>
        <w:tc>
          <w:tcPr>
            <w:tcW w:w="947" w:type="pct"/>
            <w:vMerge w:val="continue"/>
            <w:vAlign w:val="center"/>
          </w:tcPr>
          <w:p>
            <w:pPr>
              <w:pStyle w:val="84"/>
              <w:rPr>
                <w:color w:val="auto"/>
                <w:highlight w:val="none"/>
              </w:rPr>
            </w:pPr>
          </w:p>
        </w:tc>
        <w:tc>
          <w:tcPr>
            <w:tcW w:w="581" w:type="pct"/>
            <w:vMerge w:val="continue"/>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exact"/>
          <w:jc w:val="center"/>
        </w:trPr>
        <w:tc>
          <w:tcPr>
            <w:tcW w:w="604" w:type="pct"/>
            <w:vMerge w:val="continue"/>
            <w:vAlign w:val="center"/>
          </w:tcPr>
          <w:p>
            <w:pPr>
              <w:pStyle w:val="84"/>
              <w:rPr>
                <w:color w:val="auto"/>
                <w:highlight w:val="none"/>
              </w:rPr>
            </w:pPr>
          </w:p>
        </w:tc>
        <w:tc>
          <w:tcPr>
            <w:tcW w:w="966" w:type="pct"/>
            <w:shd w:val="clear" w:color="auto" w:fill="auto"/>
            <w:noWrap/>
            <w:vAlign w:val="center"/>
          </w:tcPr>
          <w:p>
            <w:pPr>
              <w:pStyle w:val="84"/>
              <w:rPr>
                <w:color w:val="auto"/>
                <w:highlight w:val="none"/>
              </w:rPr>
            </w:pPr>
            <w:r>
              <w:rPr>
                <w:color w:val="auto"/>
                <w:highlight w:val="none"/>
              </w:rPr>
              <w:t>管线工程区</w:t>
            </w:r>
          </w:p>
        </w:tc>
        <w:tc>
          <w:tcPr>
            <w:tcW w:w="952" w:type="pct"/>
            <w:shd w:val="clear" w:color="auto" w:fill="auto"/>
            <w:noWrap/>
            <w:vAlign w:val="center"/>
          </w:tcPr>
          <w:p>
            <w:pPr>
              <w:pStyle w:val="84"/>
              <w:rPr>
                <w:rFonts w:eastAsia="宋体"/>
                <w:color w:val="auto"/>
                <w:highlight w:val="none"/>
              </w:rPr>
            </w:pPr>
            <w:r>
              <w:rPr>
                <w:rFonts w:hint="eastAsia"/>
                <w:color w:val="auto"/>
                <w:highlight w:val="none"/>
                <w:lang w:eastAsia="zh-CN"/>
              </w:rPr>
              <w:t>（</w:t>
            </w:r>
            <w:r>
              <w:rPr>
                <w:color w:val="auto"/>
                <w:highlight w:val="none"/>
              </w:rPr>
              <w:t>0.50</w:t>
            </w:r>
            <w:r>
              <w:rPr>
                <w:rFonts w:hint="eastAsia"/>
                <w:color w:val="auto"/>
                <w:highlight w:val="none"/>
                <w:lang w:eastAsia="zh-CN"/>
              </w:rPr>
              <w:t>）</w:t>
            </w:r>
            <w:r>
              <w:rPr>
                <w:color w:val="auto"/>
                <w:highlight w:val="none"/>
              </w:rPr>
              <w:t xml:space="preserve"> </w:t>
            </w:r>
          </w:p>
        </w:tc>
        <w:tc>
          <w:tcPr>
            <w:tcW w:w="947" w:type="pct"/>
            <w:vMerge w:val="restart"/>
            <w:vAlign w:val="center"/>
          </w:tcPr>
          <w:p>
            <w:pPr>
              <w:pStyle w:val="84"/>
              <w:rPr>
                <w:rFonts w:hint="eastAsia" w:eastAsia="仿宋_GB2312"/>
                <w:color w:val="auto"/>
                <w:highlight w:val="none"/>
                <w:lang w:eastAsia="zh-CN"/>
              </w:rPr>
            </w:pPr>
            <w:r>
              <w:rPr>
                <w:rFonts w:hint="eastAsia"/>
                <w:color w:val="auto"/>
                <w:highlight w:val="none"/>
                <w:lang w:eastAsia="zh-CN"/>
              </w:rPr>
              <w:t>重复占地</w:t>
            </w:r>
          </w:p>
        </w:tc>
        <w:tc>
          <w:tcPr>
            <w:tcW w:w="947" w:type="pct"/>
            <w:vMerge w:val="continue"/>
            <w:vAlign w:val="center"/>
          </w:tcPr>
          <w:p>
            <w:pPr>
              <w:pStyle w:val="84"/>
              <w:rPr>
                <w:color w:val="auto"/>
                <w:highlight w:val="none"/>
              </w:rPr>
            </w:pPr>
          </w:p>
        </w:tc>
        <w:tc>
          <w:tcPr>
            <w:tcW w:w="581" w:type="pct"/>
            <w:vMerge w:val="continue"/>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exact"/>
          <w:jc w:val="center"/>
        </w:trPr>
        <w:tc>
          <w:tcPr>
            <w:tcW w:w="604" w:type="pct"/>
            <w:vMerge w:val="continue"/>
            <w:vAlign w:val="center"/>
          </w:tcPr>
          <w:p>
            <w:pPr>
              <w:pStyle w:val="84"/>
              <w:rPr>
                <w:color w:val="auto"/>
                <w:highlight w:val="none"/>
              </w:rPr>
            </w:pPr>
          </w:p>
        </w:tc>
        <w:tc>
          <w:tcPr>
            <w:tcW w:w="966" w:type="pct"/>
            <w:shd w:val="clear" w:color="auto" w:fill="auto"/>
            <w:noWrap/>
            <w:vAlign w:val="center"/>
          </w:tcPr>
          <w:p>
            <w:pPr>
              <w:pStyle w:val="84"/>
              <w:rPr>
                <w:color w:val="auto"/>
                <w:highlight w:val="none"/>
              </w:rPr>
            </w:pPr>
            <w:r>
              <w:rPr>
                <w:color w:val="auto"/>
                <w:highlight w:val="none"/>
              </w:rPr>
              <w:t>施工生产区</w:t>
            </w:r>
          </w:p>
        </w:tc>
        <w:tc>
          <w:tcPr>
            <w:tcW w:w="952" w:type="pct"/>
            <w:shd w:val="clear" w:color="auto" w:fill="auto"/>
            <w:noWrap/>
            <w:vAlign w:val="center"/>
          </w:tcPr>
          <w:p>
            <w:pPr>
              <w:pStyle w:val="84"/>
              <w:rPr>
                <w:rFonts w:eastAsia="宋体"/>
                <w:color w:val="auto"/>
                <w:highlight w:val="none"/>
              </w:rPr>
            </w:pPr>
            <w:r>
              <w:rPr>
                <w:rFonts w:hint="eastAsia"/>
                <w:color w:val="auto"/>
                <w:highlight w:val="none"/>
                <w:lang w:eastAsia="zh-CN"/>
              </w:rPr>
              <w:t>（</w:t>
            </w:r>
            <w:r>
              <w:rPr>
                <w:color w:val="auto"/>
                <w:highlight w:val="none"/>
              </w:rPr>
              <w:t>0.</w:t>
            </w:r>
            <w:r>
              <w:rPr>
                <w:rFonts w:hint="eastAsia"/>
                <w:color w:val="auto"/>
                <w:highlight w:val="none"/>
                <w:lang w:val="en-US" w:eastAsia="zh-CN"/>
              </w:rPr>
              <w:t>3</w:t>
            </w:r>
            <w:r>
              <w:rPr>
                <w:color w:val="auto"/>
                <w:highlight w:val="none"/>
              </w:rPr>
              <w:t>0</w:t>
            </w:r>
            <w:r>
              <w:rPr>
                <w:rFonts w:hint="eastAsia"/>
                <w:color w:val="auto"/>
                <w:highlight w:val="none"/>
                <w:lang w:eastAsia="zh-CN"/>
              </w:rPr>
              <w:t>）</w:t>
            </w:r>
          </w:p>
        </w:tc>
        <w:tc>
          <w:tcPr>
            <w:tcW w:w="947" w:type="pct"/>
            <w:vMerge w:val="continue"/>
            <w:vAlign w:val="center"/>
          </w:tcPr>
          <w:p>
            <w:pPr>
              <w:pStyle w:val="84"/>
              <w:rPr>
                <w:color w:val="auto"/>
                <w:highlight w:val="none"/>
              </w:rPr>
            </w:pPr>
          </w:p>
        </w:tc>
        <w:tc>
          <w:tcPr>
            <w:tcW w:w="947" w:type="pct"/>
            <w:vMerge w:val="continue"/>
            <w:vAlign w:val="center"/>
          </w:tcPr>
          <w:p>
            <w:pPr>
              <w:pStyle w:val="84"/>
              <w:rPr>
                <w:color w:val="auto"/>
                <w:highlight w:val="none"/>
              </w:rPr>
            </w:pPr>
          </w:p>
        </w:tc>
        <w:tc>
          <w:tcPr>
            <w:tcW w:w="581" w:type="pct"/>
            <w:vMerge w:val="continue"/>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exact"/>
          <w:jc w:val="center"/>
        </w:trPr>
        <w:tc>
          <w:tcPr>
            <w:tcW w:w="1570" w:type="pct"/>
            <w:gridSpan w:val="2"/>
            <w:shd w:val="clear" w:color="auto" w:fill="auto"/>
            <w:noWrap/>
            <w:vAlign w:val="center"/>
          </w:tcPr>
          <w:p>
            <w:pPr>
              <w:pStyle w:val="84"/>
              <w:rPr>
                <w:color w:val="auto"/>
                <w:highlight w:val="none"/>
              </w:rPr>
            </w:pPr>
            <w:r>
              <w:rPr>
                <w:color w:val="auto"/>
                <w:highlight w:val="none"/>
              </w:rPr>
              <w:t>合计</w:t>
            </w:r>
          </w:p>
        </w:tc>
        <w:tc>
          <w:tcPr>
            <w:tcW w:w="952" w:type="pct"/>
            <w:shd w:val="clear" w:color="auto" w:fill="auto"/>
            <w:noWrap/>
            <w:vAlign w:val="center"/>
          </w:tcPr>
          <w:p>
            <w:pPr>
              <w:pStyle w:val="84"/>
              <w:rPr>
                <w:rFonts w:hint="default" w:eastAsia="仿宋_GB2312"/>
                <w:color w:val="auto"/>
                <w:highlight w:val="none"/>
                <w:lang w:val="en-US" w:eastAsia="zh-CN"/>
              </w:rPr>
            </w:pPr>
            <w:r>
              <w:rPr>
                <w:rFonts w:hint="eastAsia"/>
                <w:color w:val="auto"/>
                <w:sz w:val="22"/>
                <w:szCs w:val="22"/>
                <w:highlight w:val="none"/>
                <w:lang w:val="en-US" w:eastAsia="zh-CN"/>
              </w:rPr>
              <w:t>2.96</w:t>
            </w:r>
          </w:p>
        </w:tc>
        <w:tc>
          <w:tcPr>
            <w:tcW w:w="947" w:type="pct"/>
            <w:shd w:val="clear" w:color="auto" w:fill="auto"/>
            <w:noWrap/>
            <w:vAlign w:val="center"/>
          </w:tcPr>
          <w:p>
            <w:pPr>
              <w:ind w:firstLine="440"/>
              <w:jc w:val="center"/>
              <w:rPr>
                <w:color w:val="auto"/>
                <w:sz w:val="22"/>
                <w:highlight w:val="none"/>
              </w:rPr>
            </w:pPr>
          </w:p>
        </w:tc>
        <w:tc>
          <w:tcPr>
            <w:tcW w:w="947" w:type="pct"/>
            <w:shd w:val="clear" w:color="auto" w:fill="auto"/>
            <w:noWrap/>
            <w:vAlign w:val="center"/>
          </w:tcPr>
          <w:p>
            <w:pPr>
              <w:ind w:firstLine="440"/>
              <w:jc w:val="center"/>
              <w:rPr>
                <w:color w:val="auto"/>
                <w:sz w:val="22"/>
                <w:highlight w:val="none"/>
              </w:rPr>
            </w:pPr>
          </w:p>
        </w:tc>
        <w:tc>
          <w:tcPr>
            <w:tcW w:w="581" w:type="pct"/>
            <w:shd w:val="clear" w:color="auto" w:fill="auto"/>
            <w:noWrap/>
            <w:vAlign w:val="center"/>
          </w:tcPr>
          <w:p>
            <w:pPr>
              <w:pStyle w:val="84"/>
              <w:rPr>
                <w:color w:val="auto"/>
                <w:highlight w:val="none"/>
              </w:rPr>
            </w:pPr>
          </w:p>
        </w:tc>
      </w:tr>
    </w:tbl>
    <w:p>
      <w:pPr>
        <w:pStyle w:val="66"/>
        <w:rPr>
          <w:color w:val="auto"/>
          <w:highlight w:val="none"/>
        </w:rPr>
      </w:pPr>
      <w:bookmarkStart w:id="126" w:name="_Toc14927"/>
      <w:r>
        <w:rPr>
          <w:color w:val="auto"/>
          <w:highlight w:val="none"/>
        </w:rPr>
        <w:t xml:space="preserve">5.2 </w:t>
      </w:r>
      <w:bookmarkEnd w:id="124"/>
      <w:bookmarkEnd w:id="125"/>
      <w:r>
        <w:rPr>
          <w:color w:val="auto"/>
          <w:highlight w:val="none"/>
        </w:rPr>
        <w:t>措施总体布局</w:t>
      </w:r>
      <w:bookmarkEnd w:id="126"/>
    </w:p>
    <w:p>
      <w:pPr>
        <w:pStyle w:val="56"/>
        <w:ind w:firstLine="480"/>
        <w:rPr>
          <w:color w:val="auto"/>
          <w:highlight w:val="none"/>
        </w:rPr>
      </w:pPr>
      <w:bookmarkStart w:id="127" w:name="_Toc417412341"/>
      <w:bookmarkStart w:id="128" w:name="_Toc407014555"/>
      <w:r>
        <w:rPr>
          <w:color w:val="auto"/>
          <w:highlight w:val="none"/>
        </w:rPr>
        <w:t>据项目建设特点和当地的自然条件，在水土流失调查及分析评价主体工程中具有水土保持功能工程的基础上，针对建设施工活动引发水土流失的特点和造成危害程度，依据分区治理、突出重点的原则，对项目区水土流失进行综合治理。本工程水土保持分区防治措施总体布局由主体工程具有的水土保持功能的措施及本方案新增水土保持治理措施组成。将水土保持工程措施和植物措施，永久措施和临时措施有机结合起来，合理确定水土保持措施的总体布局，以形成完整的、科学的水土保持防治体系。</w:t>
      </w:r>
    </w:p>
    <w:p>
      <w:pPr>
        <w:pStyle w:val="56"/>
        <w:ind w:firstLine="480"/>
        <w:rPr>
          <w:color w:val="auto"/>
          <w:highlight w:val="none"/>
        </w:rPr>
      </w:pPr>
      <w:r>
        <w:rPr>
          <w:color w:val="auto"/>
          <w:highlight w:val="none"/>
        </w:rPr>
        <w:t>根据主体工程资料，主体工程设计了相关水土保持措施。通过从水土保持角度及预防和保护项目区生态环境、全面治理因项目建设引起的水土流失的角度看，主体工程设计的具有水土保持功能的措施有效的减轻了工程施工过程中的水土流失，能够有效防护项目区建设期的水土流失，但根据现场踏勘情况，主体设计了部分措施，但未考虑完全，尤其是道路及硬化区车辆碾压造成的扬尘、管线工程区的临时堆土防护等，因此本方案新增部分措施，与主体工程设计并实施的各项措施形成较完善的防治措施体系，有效治理工程建设产生的水土流失。</w:t>
      </w:r>
    </w:p>
    <w:p>
      <w:pPr>
        <w:pStyle w:val="56"/>
        <w:ind w:firstLine="480"/>
        <w:rPr>
          <w:color w:val="auto"/>
          <w:highlight w:val="none"/>
        </w:rPr>
      </w:pPr>
      <w:r>
        <w:rPr>
          <w:color w:val="auto"/>
          <w:highlight w:val="none"/>
        </w:rPr>
        <w:t>（1）建构筑物区：施工期间对临时堆土采取防尘网苫盖，对占地边界采取彩钢板围栏。</w:t>
      </w:r>
    </w:p>
    <w:p>
      <w:pPr>
        <w:pStyle w:val="56"/>
        <w:ind w:firstLine="480"/>
        <w:rPr>
          <w:color w:val="auto"/>
          <w:highlight w:val="none"/>
        </w:rPr>
      </w:pPr>
      <w:r>
        <w:rPr>
          <w:color w:val="auto"/>
          <w:highlight w:val="none"/>
        </w:rPr>
        <w:t>（2）绿化区：施工后期对绿化区采取平整、全面整地，同时对其采取栽植乔灌木、种植草坪绿化，并设置配套的灌溉设施</w:t>
      </w:r>
      <w:r>
        <w:rPr>
          <w:rFonts w:hint="eastAsia"/>
          <w:color w:val="auto"/>
          <w:highlight w:val="none"/>
          <w:lang w:val="en-US" w:eastAsia="zh-CN"/>
        </w:rPr>
        <w:t>,</w:t>
      </w:r>
      <w:r>
        <w:rPr>
          <w:rFonts w:hint="eastAsia"/>
          <w:color w:val="auto"/>
          <w:highlight w:val="none"/>
          <w:lang w:eastAsia="zh-CN"/>
        </w:rPr>
        <w:t>（经过现场踏勘，</w:t>
      </w:r>
      <w:r>
        <w:rPr>
          <w:color w:val="auto"/>
          <w:highlight w:val="none"/>
        </w:rPr>
        <w:t>项目区</w:t>
      </w:r>
      <w:r>
        <w:rPr>
          <w:rFonts w:hint="eastAsia"/>
          <w:color w:val="auto"/>
          <w:highlight w:val="none"/>
          <w:lang w:eastAsia="zh-CN"/>
        </w:rPr>
        <w:t>地表砂砾石含量较低，全面整地后可满足植物生长，</w:t>
      </w:r>
      <w:r>
        <w:rPr>
          <w:color w:val="auto"/>
          <w:highlight w:val="none"/>
        </w:rPr>
        <w:t>绿化时</w:t>
      </w:r>
      <w:r>
        <w:rPr>
          <w:rFonts w:hint="eastAsia"/>
          <w:color w:val="auto"/>
          <w:highlight w:val="none"/>
          <w:lang w:eastAsia="zh-CN"/>
        </w:rPr>
        <w:t>无</w:t>
      </w:r>
      <w:r>
        <w:rPr>
          <w:color w:val="auto"/>
          <w:highlight w:val="none"/>
        </w:rPr>
        <w:t>需外购种植土</w:t>
      </w:r>
      <w:r>
        <w:rPr>
          <w:rFonts w:hint="eastAsia"/>
          <w:color w:val="auto"/>
          <w:highlight w:val="none"/>
          <w:lang w:eastAsia="zh-CN"/>
        </w:rPr>
        <w:t>）</w:t>
      </w:r>
      <w:r>
        <w:rPr>
          <w:color w:val="auto"/>
          <w:highlight w:val="none"/>
        </w:rPr>
        <w:t>。</w:t>
      </w:r>
    </w:p>
    <w:p>
      <w:pPr>
        <w:pStyle w:val="56"/>
        <w:ind w:firstLine="480"/>
        <w:rPr>
          <w:color w:val="auto"/>
          <w:highlight w:val="none"/>
        </w:rPr>
      </w:pPr>
      <w:r>
        <w:rPr>
          <w:color w:val="auto"/>
          <w:highlight w:val="none"/>
        </w:rPr>
        <w:t>（3）道路及硬化区：在施工期间对施工扰动区域采取洒水、后期对施工迹地平整。</w:t>
      </w:r>
    </w:p>
    <w:p>
      <w:pPr>
        <w:pStyle w:val="56"/>
        <w:ind w:firstLine="480"/>
        <w:rPr>
          <w:color w:val="auto"/>
          <w:highlight w:val="none"/>
        </w:rPr>
      </w:pPr>
      <w:r>
        <w:rPr>
          <w:color w:val="auto"/>
          <w:highlight w:val="none"/>
        </w:rPr>
        <w:t>（4）管线工程区：在施工期间对管沟开挖临时堆土采取防尘网苫盖，后期对施工迹地平整。</w:t>
      </w:r>
    </w:p>
    <w:p>
      <w:pPr>
        <w:pStyle w:val="56"/>
        <w:ind w:firstLine="480"/>
        <w:rPr>
          <w:color w:val="auto"/>
          <w:highlight w:val="none"/>
        </w:rPr>
      </w:pPr>
      <w:r>
        <w:rPr>
          <w:color w:val="auto"/>
          <w:highlight w:val="none"/>
        </w:rPr>
        <w:t>（5）施工生产区：施工生产区施工期间对北侧占地边界采取彩钢板围栏，施工后期对施工迹地采取土地平整。</w:t>
      </w:r>
    </w:p>
    <w:p>
      <w:pPr>
        <w:pStyle w:val="56"/>
        <w:ind w:firstLine="0" w:firstLineChars="0"/>
        <w:rPr>
          <w:color w:val="auto"/>
          <w:highlight w:val="none"/>
        </w:rPr>
      </w:pPr>
      <w:r>
        <w:rPr>
          <w:color w:val="auto"/>
          <w:highlight w:val="none"/>
        </w:rPr>
        <w:object>
          <v:shape id="_x0000_i1026" o:spt="75" type="#_x0000_t75" style="height:261.2pt;width:437.85pt;" o:ole="t" filled="f" o:preferrelative="t" stroked="f" coordsize="21600,21600">
            <v:path/>
            <v:fill on="f" focussize="0,0"/>
            <v:stroke on="f"/>
            <v:imagedata r:id="rId40" o:title=""/>
            <o:lock v:ext="edit" aspectratio="t"/>
            <w10:wrap type="none"/>
            <w10:anchorlock/>
          </v:shape>
          <o:OLEObject Type="Embed" ProgID="Visio.Drawing.11" ShapeID="_x0000_i1026" DrawAspect="Content" ObjectID="_1468075726" r:id="rId39">
            <o:LockedField>false</o:LockedField>
          </o:OLEObject>
        </w:object>
      </w:r>
    </w:p>
    <w:p>
      <w:pPr>
        <w:pStyle w:val="75"/>
        <w:rPr>
          <w:color w:val="auto"/>
          <w:highlight w:val="none"/>
        </w:rPr>
      </w:pPr>
      <w:r>
        <w:rPr>
          <w:color w:val="auto"/>
          <w:highlight w:val="none"/>
        </w:rPr>
        <w:t>图5.2-1     水土保持措施体系框图</w:t>
      </w:r>
    </w:p>
    <w:p>
      <w:pPr>
        <w:pStyle w:val="66"/>
        <w:rPr>
          <w:color w:val="auto"/>
          <w:highlight w:val="none"/>
        </w:rPr>
      </w:pPr>
      <w:bookmarkStart w:id="129" w:name="_Toc23958"/>
      <w:r>
        <w:rPr>
          <w:color w:val="auto"/>
          <w:highlight w:val="none"/>
        </w:rPr>
        <w:t>5.3 分区措施布设</w:t>
      </w:r>
      <w:bookmarkEnd w:id="129"/>
    </w:p>
    <w:bookmarkEnd w:id="127"/>
    <w:bookmarkEnd w:id="128"/>
    <w:p>
      <w:pPr>
        <w:pStyle w:val="72"/>
        <w:outlineLvl w:val="9"/>
        <w:rPr>
          <w:color w:val="auto"/>
          <w:highlight w:val="none"/>
        </w:rPr>
      </w:pPr>
      <w:bookmarkStart w:id="130" w:name="_Toc417412344"/>
      <w:bookmarkStart w:id="131" w:name="_Toc407014559"/>
      <w:r>
        <w:rPr>
          <w:color w:val="auto"/>
          <w:highlight w:val="none"/>
        </w:rPr>
        <w:t>1、设计原则</w:t>
      </w:r>
    </w:p>
    <w:p>
      <w:pPr>
        <w:pStyle w:val="56"/>
        <w:ind w:firstLine="480"/>
        <w:rPr>
          <w:color w:val="auto"/>
          <w:highlight w:val="none"/>
        </w:rPr>
      </w:pPr>
      <w:r>
        <w:rPr>
          <w:color w:val="auto"/>
          <w:highlight w:val="none"/>
        </w:rPr>
        <w:t>（1）工程措施设计原则</w:t>
      </w:r>
    </w:p>
    <w:p>
      <w:pPr>
        <w:pStyle w:val="56"/>
        <w:ind w:firstLine="480"/>
        <w:rPr>
          <w:color w:val="auto"/>
          <w:highlight w:val="none"/>
        </w:rPr>
      </w:pPr>
      <w:r>
        <w:rPr>
          <w:color w:val="auto"/>
          <w:highlight w:val="none"/>
        </w:rPr>
        <w:t>1）坚持分区防治的原则，制定切实可行的防治体系，坚持工程措施和植物措施相结合，永久措施和临时措施相结合的治理原则。</w:t>
      </w:r>
    </w:p>
    <w:p>
      <w:pPr>
        <w:pStyle w:val="56"/>
        <w:ind w:firstLine="480"/>
        <w:rPr>
          <w:color w:val="auto"/>
          <w:highlight w:val="none"/>
        </w:rPr>
      </w:pPr>
      <w:r>
        <w:rPr>
          <w:color w:val="auto"/>
          <w:highlight w:val="none"/>
        </w:rPr>
        <w:t>2）坚持因地制宜，因害设防的原则。按照主体工程施工工艺，并依据开发建设项目所产生的水土流失特点及危害，借鉴当地同类项目的治理经验，因地因地制宜，因害设防，采取合理的防治措施，防治工程建设产生的水土流失。</w:t>
      </w:r>
    </w:p>
    <w:p>
      <w:pPr>
        <w:pStyle w:val="56"/>
        <w:ind w:firstLine="480"/>
        <w:rPr>
          <w:color w:val="auto"/>
          <w:highlight w:val="none"/>
        </w:rPr>
      </w:pPr>
      <w:r>
        <w:rPr>
          <w:color w:val="auto"/>
          <w:highlight w:val="none"/>
        </w:rPr>
        <w:t>3）坚持技术可行，经济合理的原则。根据工程施工布置、地形地貌、降水、施工等条件，选择确定合理可行的防治工程类型及布局；就地取材，降低工程造价。</w:t>
      </w:r>
    </w:p>
    <w:p>
      <w:pPr>
        <w:pStyle w:val="56"/>
        <w:ind w:firstLine="480"/>
        <w:rPr>
          <w:color w:val="auto"/>
          <w:highlight w:val="none"/>
        </w:rPr>
      </w:pPr>
      <w:r>
        <w:rPr>
          <w:color w:val="auto"/>
          <w:highlight w:val="none"/>
        </w:rPr>
        <w:t>4）坚持维护主体，注重水保的原则。对主体工程设计中具有水土保持功能的工程进行评价，满足水土保持要求的部分予以确认，不足部分做必要的补充。</w:t>
      </w:r>
    </w:p>
    <w:p>
      <w:pPr>
        <w:pStyle w:val="56"/>
        <w:ind w:firstLine="480"/>
        <w:rPr>
          <w:color w:val="auto"/>
          <w:highlight w:val="none"/>
        </w:rPr>
      </w:pPr>
      <w:r>
        <w:rPr>
          <w:color w:val="auto"/>
          <w:highlight w:val="none"/>
        </w:rPr>
        <w:t>5）水土保持工程设计坚持“预防为主、先拦后弃”的原则，防患于未然。</w:t>
      </w:r>
    </w:p>
    <w:p>
      <w:pPr>
        <w:pStyle w:val="56"/>
        <w:ind w:firstLine="480"/>
        <w:rPr>
          <w:color w:val="auto"/>
          <w:highlight w:val="none"/>
        </w:rPr>
      </w:pPr>
      <w:r>
        <w:rPr>
          <w:color w:val="auto"/>
          <w:highlight w:val="none"/>
        </w:rPr>
        <w:t>（2）植物措施设计原则</w:t>
      </w:r>
    </w:p>
    <w:p>
      <w:pPr>
        <w:pStyle w:val="56"/>
        <w:ind w:firstLine="480"/>
        <w:rPr>
          <w:color w:val="auto"/>
          <w:highlight w:val="none"/>
        </w:rPr>
      </w:pPr>
      <w:r>
        <w:rPr>
          <w:color w:val="auto"/>
          <w:highlight w:val="none"/>
        </w:rPr>
        <w:t>根据项目区建设的具体要求，项目区植物措施的布局原则应在服从主体工程顺利建设、安全运行、保持水土、改善环境的基础上，力求全面规划、因地制宜、因害设防、突出重点，确定合理的植物措施布局形式，综合布置植物措施。</w:t>
      </w:r>
    </w:p>
    <w:p>
      <w:pPr>
        <w:pStyle w:val="56"/>
        <w:ind w:firstLine="480"/>
        <w:rPr>
          <w:color w:val="auto"/>
          <w:highlight w:val="none"/>
        </w:rPr>
      </w:pPr>
      <w:r>
        <w:rPr>
          <w:color w:val="auto"/>
          <w:highlight w:val="none"/>
        </w:rPr>
        <w:t>（3）临时措施设计原则</w:t>
      </w:r>
    </w:p>
    <w:p>
      <w:pPr>
        <w:pStyle w:val="56"/>
        <w:ind w:firstLine="480"/>
        <w:rPr>
          <w:color w:val="auto"/>
          <w:highlight w:val="none"/>
        </w:rPr>
      </w:pPr>
      <w:r>
        <w:rPr>
          <w:color w:val="auto"/>
          <w:highlight w:val="none"/>
        </w:rPr>
        <w:t>1）防治措施要有针对性，临时措施应根据防护项目区的水土流失类型、地形地貌等提出具有针对性的临时防治措施。坚持经济合理，立竿见影的原则，选择快速有效的临时防护措施。</w:t>
      </w:r>
    </w:p>
    <w:p>
      <w:pPr>
        <w:pStyle w:val="56"/>
        <w:ind w:firstLine="480"/>
        <w:rPr>
          <w:color w:val="auto"/>
          <w:highlight w:val="none"/>
        </w:rPr>
      </w:pPr>
      <w:r>
        <w:rPr>
          <w:color w:val="auto"/>
          <w:highlight w:val="none"/>
        </w:rPr>
        <w:t>2）实施方便，经济合理，在能达到同样防护效果的前提下，选择取材方便、实施布设简单，技术成熟且经济投资合理的防治措施。</w:t>
      </w:r>
    </w:p>
    <w:p>
      <w:pPr>
        <w:pStyle w:val="56"/>
        <w:ind w:firstLine="480"/>
        <w:rPr>
          <w:color w:val="auto"/>
          <w:highlight w:val="none"/>
        </w:rPr>
      </w:pPr>
      <w:r>
        <w:rPr>
          <w:color w:val="auto"/>
          <w:highlight w:val="none"/>
        </w:rPr>
        <w:t>3）与周边环境相协调</w:t>
      </w:r>
    </w:p>
    <w:p>
      <w:pPr>
        <w:pStyle w:val="56"/>
        <w:ind w:firstLine="480"/>
        <w:rPr>
          <w:color w:val="auto"/>
          <w:highlight w:val="none"/>
        </w:rPr>
      </w:pPr>
      <w:r>
        <w:rPr>
          <w:color w:val="auto"/>
          <w:highlight w:val="none"/>
        </w:rPr>
        <w:t>水土流失防治措施应与周边环境相协调，措施的实施不能破坏周边的景观环境和生态。</w:t>
      </w:r>
    </w:p>
    <w:p>
      <w:pPr>
        <w:ind w:firstLine="482"/>
        <w:rPr>
          <w:rFonts w:eastAsia="仿宋_GB2312"/>
          <w:b/>
          <w:bCs/>
          <w:snapToGrid w:val="0"/>
          <w:color w:val="auto"/>
          <w:kern w:val="24"/>
          <w:szCs w:val="24"/>
          <w:highlight w:val="none"/>
        </w:rPr>
      </w:pPr>
      <w:r>
        <w:rPr>
          <w:rFonts w:eastAsia="仿宋_GB2312"/>
          <w:b/>
          <w:bCs/>
          <w:snapToGrid w:val="0"/>
          <w:color w:val="auto"/>
          <w:kern w:val="24"/>
          <w:szCs w:val="24"/>
          <w:highlight w:val="none"/>
        </w:rPr>
        <w:t>2、措施设计标准</w:t>
      </w:r>
    </w:p>
    <w:p>
      <w:pPr>
        <w:pStyle w:val="56"/>
        <w:ind w:firstLine="480"/>
        <w:rPr>
          <w:color w:val="auto"/>
          <w:highlight w:val="none"/>
        </w:rPr>
      </w:pPr>
      <w:r>
        <w:rPr>
          <w:color w:val="auto"/>
          <w:highlight w:val="none"/>
        </w:rPr>
        <w:t>（1）工程措施设计标准</w:t>
      </w:r>
    </w:p>
    <w:p>
      <w:pPr>
        <w:pStyle w:val="56"/>
        <w:ind w:firstLine="480"/>
        <w:rPr>
          <w:color w:val="auto"/>
          <w:highlight w:val="none"/>
        </w:rPr>
      </w:pPr>
      <w:r>
        <w:rPr>
          <w:color w:val="auto"/>
          <w:highlight w:val="none"/>
        </w:rPr>
        <w:t>参照水利部《生产建设项目水土保持技术标准》（GB 50433-2018）标准，结合主体工程设计标准。</w:t>
      </w:r>
    </w:p>
    <w:p>
      <w:pPr>
        <w:pStyle w:val="56"/>
        <w:ind w:firstLine="480"/>
        <w:rPr>
          <w:color w:val="auto"/>
          <w:highlight w:val="none"/>
        </w:rPr>
      </w:pPr>
      <w:r>
        <w:rPr>
          <w:color w:val="auto"/>
          <w:highlight w:val="none"/>
        </w:rPr>
        <w:t>（2）植物种类选取及种植方式</w:t>
      </w:r>
    </w:p>
    <w:p>
      <w:pPr>
        <w:pStyle w:val="56"/>
        <w:ind w:firstLine="480"/>
        <w:rPr>
          <w:color w:val="auto"/>
          <w:highlight w:val="none"/>
        </w:rPr>
      </w:pPr>
      <w:r>
        <w:rPr>
          <w:color w:val="auto"/>
          <w:highlight w:val="none"/>
        </w:rPr>
        <w:t>1） 立地条件分析</w:t>
      </w:r>
    </w:p>
    <w:p>
      <w:pPr>
        <w:pStyle w:val="56"/>
        <w:ind w:firstLine="480"/>
        <w:rPr>
          <w:color w:val="auto"/>
          <w:highlight w:val="none"/>
        </w:rPr>
      </w:pPr>
      <w:r>
        <w:rPr>
          <w:color w:val="auto"/>
          <w:highlight w:val="none"/>
        </w:rPr>
        <w:t>项目所处区多年平均降水量</w:t>
      </w:r>
      <w:r>
        <w:rPr>
          <w:rFonts w:hint="eastAsia"/>
          <w:color w:val="auto"/>
          <w:highlight w:val="none"/>
          <w:lang w:val="en-US" w:eastAsia="zh-CN"/>
        </w:rPr>
        <w:t>309</w:t>
      </w:r>
      <w:r>
        <w:rPr>
          <w:color w:val="auto"/>
          <w:highlight w:val="none"/>
        </w:rPr>
        <w:t>mm，年均气温</w:t>
      </w:r>
      <w:r>
        <w:rPr>
          <w:rFonts w:hint="eastAsia"/>
          <w:color w:val="auto"/>
          <w:highlight w:val="none"/>
          <w:lang w:val="en-US" w:eastAsia="zh-CN"/>
        </w:rPr>
        <w:t>10</w:t>
      </w:r>
      <w:r>
        <w:rPr>
          <w:color w:val="auto"/>
          <w:highlight w:val="none"/>
        </w:rPr>
        <w:t>.4℃。土壤类型以灰钙土为主</w:t>
      </w:r>
      <w:r>
        <w:rPr>
          <w:rFonts w:hint="eastAsia"/>
          <w:color w:val="auto"/>
          <w:highlight w:val="none"/>
        </w:rPr>
        <w:t>。</w:t>
      </w:r>
      <w:r>
        <w:rPr>
          <w:color w:val="auto"/>
          <w:highlight w:val="none"/>
        </w:rPr>
        <w:t>植被类型为荒漠植被，具备开展植物措施的条件。</w:t>
      </w:r>
    </w:p>
    <w:p>
      <w:pPr>
        <w:pStyle w:val="56"/>
        <w:ind w:firstLine="480"/>
        <w:rPr>
          <w:color w:val="auto"/>
          <w:highlight w:val="none"/>
        </w:rPr>
      </w:pPr>
      <w:r>
        <w:rPr>
          <w:color w:val="auto"/>
          <w:highlight w:val="none"/>
        </w:rPr>
        <w:t>主体工程设计节水灌溉措施，灌溉水源为城市用水，灌溉方式为喷灌。通过以上的综合分析可知，该区光、热、水、湿度、土壤等立地条件因子能够满足植物生长需要。</w:t>
      </w:r>
    </w:p>
    <w:p>
      <w:pPr>
        <w:pStyle w:val="56"/>
        <w:ind w:firstLine="480"/>
        <w:rPr>
          <w:color w:val="auto"/>
          <w:highlight w:val="none"/>
        </w:rPr>
      </w:pPr>
      <w:r>
        <w:rPr>
          <w:color w:val="auto"/>
          <w:highlight w:val="none"/>
        </w:rPr>
        <w:t>① 地形因子</w:t>
      </w:r>
    </w:p>
    <w:p>
      <w:pPr>
        <w:pStyle w:val="56"/>
        <w:ind w:firstLine="480"/>
        <w:rPr>
          <w:color w:val="auto"/>
          <w:highlight w:val="none"/>
        </w:rPr>
      </w:pPr>
      <w:r>
        <w:rPr>
          <w:color w:val="auto"/>
          <w:highlight w:val="none"/>
        </w:rPr>
        <w:t>本工程地貌属冲洪积平原，地形平坦开阔。</w:t>
      </w:r>
    </w:p>
    <w:p>
      <w:pPr>
        <w:pStyle w:val="56"/>
        <w:ind w:firstLine="480"/>
        <w:rPr>
          <w:color w:val="auto"/>
          <w:highlight w:val="none"/>
        </w:rPr>
      </w:pPr>
      <w:r>
        <w:rPr>
          <w:color w:val="auto"/>
          <w:highlight w:val="none"/>
        </w:rPr>
        <w:t>② 土壤因子</w:t>
      </w:r>
    </w:p>
    <w:p>
      <w:pPr>
        <w:pStyle w:val="56"/>
        <w:ind w:firstLine="480"/>
        <w:rPr>
          <w:color w:val="auto"/>
          <w:highlight w:val="none"/>
        </w:rPr>
      </w:pPr>
      <w:r>
        <w:rPr>
          <w:color w:val="auto"/>
          <w:highlight w:val="none"/>
        </w:rPr>
        <w:t>项目区为山前冲洪积平原，土壤类型以灰钙土为主，存在可供植被生长的土壤条件。</w:t>
      </w:r>
    </w:p>
    <w:p>
      <w:pPr>
        <w:pStyle w:val="56"/>
        <w:ind w:firstLine="480"/>
        <w:rPr>
          <w:color w:val="auto"/>
          <w:highlight w:val="none"/>
        </w:rPr>
      </w:pPr>
      <w:r>
        <w:rPr>
          <w:color w:val="auto"/>
          <w:highlight w:val="none"/>
        </w:rPr>
        <w:t>③ 气象条件</w:t>
      </w:r>
    </w:p>
    <w:p>
      <w:pPr>
        <w:pStyle w:val="56"/>
        <w:ind w:firstLine="480"/>
        <w:rPr>
          <w:color w:val="auto"/>
          <w:highlight w:val="none"/>
        </w:rPr>
      </w:pPr>
      <w:r>
        <w:rPr>
          <w:color w:val="auto"/>
          <w:highlight w:val="none"/>
        </w:rPr>
        <w:t>项目区极端最高温度</w:t>
      </w:r>
      <w:r>
        <w:rPr>
          <w:rFonts w:hint="eastAsia"/>
          <w:color w:val="auto"/>
          <w:highlight w:val="none"/>
          <w:lang w:val="en-US" w:eastAsia="zh-CN"/>
        </w:rPr>
        <w:t>39.1</w:t>
      </w:r>
      <w:r>
        <w:rPr>
          <w:color w:val="auto"/>
          <w:highlight w:val="none"/>
        </w:rPr>
        <w:t>℃，极端最低温度-</w:t>
      </w:r>
      <w:r>
        <w:rPr>
          <w:rFonts w:hint="eastAsia"/>
          <w:color w:val="auto"/>
          <w:highlight w:val="none"/>
          <w:lang w:val="en-US" w:eastAsia="zh-CN"/>
        </w:rPr>
        <w:t>34.2</w:t>
      </w:r>
      <w:r>
        <w:rPr>
          <w:color w:val="auto"/>
          <w:highlight w:val="none"/>
        </w:rPr>
        <w:t>℃，年平均温度</w:t>
      </w:r>
      <w:r>
        <w:rPr>
          <w:rFonts w:hint="eastAsia"/>
          <w:color w:val="auto"/>
          <w:highlight w:val="none"/>
          <w:lang w:val="en-US" w:eastAsia="zh-CN"/>
        </w:rPr>
        <w:t>10</w:t>
      </w:r>
      <w:r>
        <w:rPr>
          <w:color w:val="auto"/>
          <w:highlight w:val="none"/>
        </w:rPr>
        <w:t>.4℃；平均风速</w:t>
      </w:r>
      <w:r>
        <w:rPr>
          <w:rFonts w:hint="eastAsia"/>
          <w:color w:val="auto"/>
          <w:highlight w:val="none"/>
          <w:lang w:val="en-US" w:eastAsia="zh-CN"/>
        </w:rPr>
        <w:t>2.</w:t>
      </w:r>
      <w:r>
        <w:rPr>
          <w:color w:val="auto"/>
          <w:highlight w:val="none"/>
        </w:rPr>
        <w:t>0m/s；年平均降水量</w:t>
      </w:r>
      <w:r>
        <w:rPr>
          <w:rFonts w:hint="eastAsia"/>
          <w:color w:val="auto"/>
          <w:highlight w:val="none"/>
          <w:lang w:val="en-US" w:eastAsia="zh-CN"/>
        </w:rPr>
        <w:t>309</w:t>
      </w:r>
      <w:r>
        <w:rPr>
          <w:color w:val="auto"/>
          <w:highlight w:val="none"/>
        </w:rPr>
        <w:t>mm，最大</w:t>
      </w:r>
      <w:r>
        <w:rPr>
          <w:rFonts w:hint="eastAsia"/>
          <w:color w:val="auto"/>
          <w:highlight w:val="none"/>
          <w:lang w:eastAsia="zh-CN"/>
        </w:rPr>
        <w:t>月</w:t>
      </w:r>
      <w:r>
        <w:rPr>
          <w:color w:val="auto"/>
          <w:highlight w:val="none"/>
        </w:rPr>
        <w:t>降水量</w:t>
      </w:r>
      <w:r>
        <w:rPr>
          <w:rFonts w:hint="eastAsia"/>
          <w:color w:val="auto"/>
          <w:highlight w:val="none"/>
          <w:lang w:val="en-US" w:eastAsia="zh-CN"/>
        </w:rPr>
        <w:t>154.8</w:t>
      </w:r>
      <w:r>
        <w:rPr>
          <w:color w:val="auto"/>
          <w:highlight w:val="none"/>
        </w:rPr>
        <w:t>mm；蒸发量年平均</w:t>
      </w:r>
      <w:r>
        <w:rPr>
          <w:rFonts w:hint="eastAsia"/>
          <w:color w:val="auto"/>
          <w:highlight w:val="none"/>
          <w:lang w:val="en-US" w:eastAsia="zh-CN"/>
        </w:rPr>
        <w:t>942.2</w:t>
      </w:r>
      <w:r>
        <w:rPr>
          <w:color w:val="auto"/>
          <w:highlight w:val="none"/>
        </w:rPr>
        <w:t>mm，最大冻土深度1</w:t>
      </w:r>
      <w:r>
        <w:rPr>
          <w:rFonts w:hint="eastAsia"/>
          <w:color w:val="auto"/>
          <w:highlight w:val="none"/>
          <w:lang w:val="en-US" w:eastAsia="zh-CN"/>
        </w:rPr>
        <w:t>.2</w:t>
      </w:r>
      <w:r>
        <w:rPr>
          <w:color w:val="auto"/>
          <w:highlight w:val="none"/>
        </w:rPr>
        <w:t>m。本项目配套灌溉设施，综合考虑可满足项目区绿化要求。</w:t>
      </w:r>
    </w:p>
    <w:p>
      <w:pPr>
        <w:pStyle w:val="56"/>
        <w:ind w:firstLine="480"/>
        <w:rPr>
          <w:color w:val="auto"/>
          <w:highlight w:val="none"/>
        </w:rPr>
      </w:pPr>
      <w:r>
        <w:rPr>
          <w:color w:val="auto"/>
          <w:highlight w:val="none"/>
        </w:rPr>
        <w:t>④ 灌溉条件</w:t>
      </w:r>
    </w:p>
    <w:p>
      <w:pPr>
        <w:pStyle w:val="56"/>
        <w:ind w:firstLine="480"/>
        <w:rPr>
          <w:color w:val="auto"/>
          <w:highlight w:val="none"/>
        </w:rPr>
      </w:pPr>
      <w:r>
        <w:rPr>
          <w:color w:val="auto"/>
          <w:highlight w:val="none"/>
          <w:lang w:val="zh-CN"/>
        </w:rPr>
        <w:t>本项目位于</w:t>
      </w:r>
      <w:r>
        <w:rPr>
          <w:rFonts w:hint="eastAsia"/>
          <w:color w:val="auto"/>
          <w:highlight w:val="none"/>
          <w:lang w:val="zh-CN"/>
        </w:rPr>
        <w:t>伊宁县</w:t>
      </w:r>
      <w:r>
        <w:rPr>
          <w:color w:val="auto"/>
          <w:highlight w:val="none"/>
          <w:lang w:val="zh-CN"/>
        </w:rPr>
        <w:t>内，主体设计的绿化区域已配套相关灌溉措施，通过全面整地及后期人工施肥养护，植被存活率可满足水土保持技术要求，绿化面积约</w:t>
      </w:r>
      <w:r>
        <w:rPr>
          <w:rFonts w:hint="eastAsia"/>
          <w:color w:val="auto"/>
          <w:highlight w:val="none"/>
          <w:lang w:val="en-US" w:eastAsia="zh-CN"/>
        </w:rPr>
        <w:t>1.2h</w:t>
      </w:r>
      <w:r>
        <w:rPr>
          <w:color w:val="auto"/>
          <w:highlight w:val="none"/>
        </w:rPr>
        <w:t>m²。灌溉采取喷灌为主的方式，水源来自于市政给水管网。</w:t>
      </w:r>
    </w:p>
    <w:p>
      <w:pPr>
        <w:pStyle w:val="56"/>
        <w:ind w:firstLine="480"/>
        <w:rPr>
          <w:color w:val="auto"/>
          <w:highlight w:val="none"/>
        </w:rPr>
      </w:pPr>
      <w:r>
        <w:rPr>
          <w:color w:val="auto"/>
          <w:highlight w:val="none"/>
        </w:rPr>
        <w:t>2） 植物种类选取及分布</w:t>
      </w:r>
    </w:p>
    <w:p>
      <w:pPr>
        <w:ind w:firstLine="480"/>
        <w:rPr>
          <w:color w:val="auto"/>
          <w:highlight w:val="none"/>
        </w:rPr>
      </w:pPr>
      <w:r>
        <w:rPr>
          <w:rFonts w:eastAsia="仿宋_GB2312"/>
          <w:color w:val="auto"/>
          <w:highlight w:val="none"/>
        </w:rPr>
        <w:t>参考周边工程已实施的栽植乔灌木措施，</w:t>
      </w:r>
      <w:r>
        <w:rPr>
          <w:rFonts w:hint="eastAsia" w:eastAsia="仿宋_GB2312"/>
          <w:color w:val="auto"/>
          <w:highlight w:val="none"/>
          <w:lang w:eastAsia="zh-CN"/>
        </w:rPr>
        <w:t>建议</w:t>
      </w:r>
      <w:r>
        <w:rPr>
          <w:rFonts w:eastAsia="仿宋_GB2312"/>
          <w:color w:val="auto"/>
          <w:highlight w:val="none"/>
        </w:rPr>
        <w:t>本工程栽植的乔木有文冠果、黄金树、火炬树、大叶白蜡；灌木有重瓣榆叶梅、红丁香、珍珠梅、红瑞木、水蜡绿篱，这些植物种具有防尘、降噪、美化环境，且耐瘠薄、耐寒、耐干旱、根系发达、耐贫瘠、抗病虫害等特点；混播高羊茅、黑麦草和早熟禾草坪，这些植物种具有防尘、降噪、美化环境，且耐瘠薄、耐寒、耐干旱、根系发达、耐贫瘠、抗病虫害，以及具有草层紧密、耐践踏、萌蘖力强等特点。</w:t>
      </w:r>
    </w:p>
    <w:p>
      <w:pPr>
        <w:ind w:firstLine="482"/>
        <w:rPr>
          <w:rFonts w:eastAsia="仿宋_GB2312"/>
          <w:b/>
          <w:bCs/>
          <w:snapToGrid w:val="0"/>
          <w:color w:val="auto"/>
          <w:kern w:val="24"/>
          <w:szCs w:val="24"/>
          <w:highlight w:val="none"/>
        </w:rPr>
      </w:pPr>
      <w:r>
        <w:rPr>
          <w:rFonts w:eastAsia="仿宋_GB2312"/>
          <w:b/>
          <w:bCs/>
          <w:snapToGrid w:val="0"/>
          <w:color w:val="auto"/>
          <w:kern w:val="24"/>
          <w:szCs w:val="24"/>
          <w:highlight w:val="none"/>
        </w:rPr>
        <w:t>3、临时措施比选</w:t>
      </w:r>
    </w:p>
    <w:p>
      <w:pPr>
        <w:ind w:firstLine="480"/>
        <w:rPr>
          <w:rFonts w:hint="default" w:ascii="Times New Roman" w:hAnsi="Times New Roman" w:eastAsia="仿宋_GB2312" w:cs="Times New Roman"/>
          <w:color w:val="auto"/>
          <w:highlight w:val="none"/>
          <w:lang w:val="zh-CN"/>
        </w:rPr>
      </w:pPr>
      <w:r>
        <w:rPr>
          <w:rFonts w:hint="default" w:ascii="Times New Roman" w:hAnsi="Times New Roman" w:eastAsia="仿宋_GB2312" w:cs="Times New Roman"/>
          <w:color w:val="auto"/>
          <w:highlight w:val="none"/>
          <w:lang w:val="zh-CN"/>
        </w:rPr>
        <w:t>根据主体施工进度，工程建设区有</w:t>
      </w:r>
      <w:r>
        <w:rPr>
          <w:rFonts w:hint="default" w:ascii="Times New Roman" w:hAnsi="Times New Roman" w:eastAsia="仿宋_GB2312" w:cs="Times New Roman"/>
          <w:color w:val="auto"/>
          <w:highlight w:val="none"/>
        </w:rPr>
        <w:t>管线</w:t>
      </w:r>
      <w:r>
        <w:rPr>
          <w:rFonts w:hint="default" w:ascii="Times New Roman" w:hAnsi="Times New Roman" w:eastAsia="仿宋_GB2312" w:cs="Times New Roman"/>
          <w:color w:val="auto"/>
          <w:highlight w:val="none"/>
          <w:lang w:val="zh-CN"/>
        </w:rPr>
        <w:t>基础开挖土的临时堆放，主体工程未对其采取任何防护措施，而在本项目区环境条件下，地表组成结构被改变后可能产生的主要是风力侵蚀和水力侵蚀，因此本方案针对堆土提出</w:t>
      </w:r>
      <w:r>
        <w:rPr>
          <w:rFonts w:hint="eastAsia"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zh-CN"/>
        </w:rPr>
        <w:t>种防护措施供筛选比较。这</w:t>
      </w:r>
      <w:r>
        <w:rPr>
          <w:rFonts w:hint="eastAsia"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zh-CN"/>
        </w:rPr>
        <w:t>种防护措施为①彩钢板围栏②洒水③防尘网苫盖。各防护措施比选内容见表</w:t>
      </w:r>
      <w:r>
        <w:rPr>
          <w:rFonts w:hint="default" w:ascii="Times New Roman" w:hAnsi="Times New Roman" w:eastAsia="仿宋_GB2312" w:cs="Times New Roman"/>
          <w:color w:val="auto"/>
          <w:highlight w:val="none"/>
        </w:rPr>
        <w:t>5.3-</w:t>
      </w:r>
      <w:r>
        <w:rPr>
          <w:rFonts w:hint="eastAsia"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zh-CN"/>
        </w:rPr>
        <w:t>。</w:t>
      </w:r>
    </w:p>
    <w:p>
      <w:pPr>
        <w:pStyle w:val="11"/>
        <w:spacing w:line="240" w:lineRule="auto"/>
        <w:ind w:left="480" w:leftChars="20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表5.3-</w:t>
      </w:r>
      <w:r>
        <w:rPr>
          <w:rFonts w:hint="eastAsia"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 xml:space="preserve">       临时防护措施比较表</w:t>
      </w:r>
    </w:p>
    <w:tbl>
      <w:tblPr>
        <w:tblStyle w:val="27"/>
        <w:tblW w:w="90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1920"/>
        <w:gridCol w:w="2810"/>
        <w:gridCol w:w="26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8"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防护措施类型</w:t>
            </w:r>
          </w:p>
        </w:tc>
        <w:tc>
          <w:tcPr>
            <w:tcW w:w="7402"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比较内容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8"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192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措施效果</w:t>
            </w:r>
          </w:p>
        </w:tc>
        <w:tc>
          <w:tcPr>
            <w:tcW w:w="281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施工条件</w:t>
            </w:r>
          </w:p>
        </w:tc>
        <w:tc>
          <w:tcPr>
            <w:tcW w:w="2672"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投资(元/防护1m²弃渣面)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8"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eastAsia="zh-CN"/>
              </w:rPr>
              <w:t>彩钢板</w:t>
            </w:r>
          </w:p>
        </w:tc>
        <w:tc>
          <w:tcPr>
            <w:tcW w:w="1920" w:type="dxa"/>
            <w:tcBorders>
              <w:tl2br w:val="nil"/>
              <w:tr2bl w:val="nil"/>
            </w:tcBorders>
            <w:noWrap w:val="0"/>
            <w:vAlign w:val="center"/>
          </w:tcPr>
          <w:p>
            <w:pPr>
              <w:spacing w:line="240" w:lineRule="auto"/>
              <w:ind w:right="288" w:rightChars="120"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见效快</w:t>
            </w:r>
          </w:p>
          <w:p>
            <w:pPr>
              <w:spacing w:line="240" w:lineRule="auto"/>
              <w:ind w:right="288" w:rightChars="120"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稳定</w:t>
            </w:r>
          </w:p>
        </w:tc>
        <w:tc>
          <w:tcPr>
            <w:tcW w:w="281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施工相对简单，完工后可回收再利用</w:t>
            </w:r>
          </w:p>
        </w:tc>
        <w:tc>
          <w:tcPr>
            <w:tcW w:w="2672"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45.84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8"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洒水</w:t>
            </w:r>
          </w:p>
        </w:tc>
        <w:tc>
          <w:tcPr>
            <w:tcW w:w="192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见效一般</w:t>
            </w:r>
          </w:p>
          <w:p>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相对不稳定</w:t>
            </w:r>
          </w:p>
        </w:tc>
        <w:tc>
          <w:tcPr>
            <w:tcW w:w="281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有足够的水源保证、弃渣洒水后宜结皮</w:t>
            </w:r>
          </w:p>
        </w:tc>
        <w:tc>
          <w:tcPr>
            <w:tcW w:w="2672"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58" w:type="dxa"/>
            <w:tcBorders>
              <w:tl2br w:val="nil"/>
              <w:tr2bl w:val="nil"/>
            </w:tcBorders>
            <w:noWrap w:val="0"/>
            <w:vAlign w:val="center"/>
          </w:tcPr>
          <w:p>
            <w:pPr>
              <w:spacing w:line="36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防尘网</w:t>
            </w:r>
          </w:p>
        </w:tc>
        <w:tc>
          <w:tcPr>
            <w:tcW w:w="192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见效快</w:t>
            </w:r>
          </w:p>
          <w:p>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稳定</w:t>
            </w:r>
          </w:p>
        </w:tc>
        <w:tc>
          <w:tcPr>
            <w:tcW w:w="281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施工相对简单，完工后可回收再利用</w:t>
            </w:r>
          </w:p>
        </w:tc>
        <w:tc>
          <w:tcPr>
            <w:tcW w:w="2672" w:type="dxa"/>
            <w:tcBorders>
              <w:tl2br w:val="nil"/>
              <w:tr2bl w:val="nil"/>
            </w:tcBorders>
            <w:noWrap w:val="0"/>
            <w:vAlign w:val="center"/>
          </w:tcPr>
          <w:p>
            <w:pPr>
              <w:spacing w:line="360" w:lineRule="auto"/>
              <w:ind w:firstLine="0" w:firstLineChars="0"/>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26.05</w:t>
            </w:r>
          </w:p>
        </w:tc>
      </w:tr>
    </w:tbl>
    <w:p>
      <w:pPr>
        <w:pStyle w:val="56"/>
        <w:spacing w:line="360" w:lineRule="auto"/>
        <w:ind w:left="0" w:leftChars="0" w:firstLine="48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eastAsia="zh-CN"/>
        </w:rPr>
        <w:t>彩钢板</w:t>
      </w:r>
      <w:r>
        <w:rPr>
          <w:rFonts w:hint="default" w:ascii="Times New Roman" w:hAnsi="Times New Roman" w:eastAsia="仿宋_GB2312" w:cs="Times New Roman"/>
          <w:color w:val="auto"/>
          <w:highlight w:val="none"/>
        </w:rPr>
        <w:t>措施施工相对简单，防治效果较好，可以回收再利用，价格不高，但是所需</w:t>
      </w:r>
      <w:r>
        <w:rPr>
          <w:rFonts w:hint="default" w:ascii="Times New Roman" w:hAnsi="Times New Roman" w:eastAsia="仿宋_GB2312" w:cs="Times New Roman"/>
          <w:color w:val="auto"/>
          <w:highlight w:val="none"/>
          <w:lang w:eastAsia="zh-CN"/>
        </w:rPr>
        <w:t>彩钢板</w:t>
      </w:r>
      <w:r>
        <w:rPr>
          <w:rFonts w:hint="default" w:ascii="Times New Roman" w:hAnsi="Times New Roman" w:eastAsia="仿宋_GB2312" w:cs="Times New Roman"/>
          <w:color w:val="auto"/>
          <w:highlight w:val="none"/>
        </w:rPr>
        <w:t>总量较多。</w:t>
      </w:r>
    </w:p>
    <w:p>
      <w:pPr>
        <w:pStyle w:val="56"/>
        <w:spacing w:line="360" w:lineRule="auto"/>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洒水措施可以使项目区临时堆渣表面形成“人工结皮”，对抑制风蚀有一定作用，但维持时间不长，一旦结皮被破坏，还需再次实施洒水措施，如果水源距离较远，运费较贵。</w:t>
      </w:r>
    </w:p>
    <w:p>
      <w:pPr>
        <w:pStyle w:val="56"/>
        <w:spacing w:line="360" w:lineRule="auto"/>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防尘网措施施工相对简单，防治效果较好，可以回收再利用，价格不高，但是所需防尘网总量较多。</w:t>
      </w:r>
    </w:p>
    <w:p>
      <w:pPr>
        <w:spacing w:line="360" w:lineRule="auto"/>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根据本项目的临时堆渣时间较短和以上</w:t>
      </w:r>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rPr>
        <w:t>种措施的比较，本方案确定：对于本工程项目区管线开挖产生的临时弃渣的临时防护措施可采取以防尘网苫盖为主，确保大风天气扬尘措施。</w:t>
      </w:r>
    </w:p>
    <w:p>
      <w:pPr>
        <w:pStyle w:val="12"/>
        <w:ind w:firstLine="482"/>
        <w:rPr>
          <w:rFonts w:eastAsia="仿宋_GB2312"/>
          <w:b/>
          <w:bCs/>
          <w:snapToGrid w:val="0"/>
          <w:color w:val="auto"/>
          <w:kern w:val="24"/>
          <w:szCs w:val="24"/>
          <w:highlight w:val="none"/>
          <w:lang w:val="zh-CN"/>
        </w:rPr>
      </w:pPr>
      <w:r>
        <w:rPr>
          <w:rFonts w:eastAsia="仿宋_GB2312"/>
          <w:b/>
          <w:bCs/>
          <w:snapToGrid w:val="0"/>
          <w:color w:val="auto"/>
          <w:kern w:val="24"/>
          <w:szCs w:val="24"/>
          <w:highlight w:val="none"/>
        </w:rPr>
        <w:t>4</w:t>
      </w:r>
      <w:r>
        <w:rPr>
          <w:rFonts w:eastAsia="仿宋_GB2312"/>
          <w:b/>
          <w:bCs/>
          <w:snapToGrid w:val="0"/>
          <w:color w:val="auto"/>
          <w:kern w:val="24"/>
          <w:szCs w:val="24"/>
          <w:highlight w:val="none"/>
          <w:lang w:val="zh-CN"/>
        </w:rPr>
        <w:t>、防治措施总体布局</w:t>
      </w:r>
    </w:p>
    <w:p>
      <w:pPr>
        <w:pStyle w:val="12"/>
        <w:ind w:firstLine="480"/>
        <w:rPr>
          <w:rFonts w:eastAsia="仿宋_GB2312"/>
          <w:snapToGrid w:val="0"/>
          <w:color w:val="auto"/>
          <w:kern w:val="24"/>
          <w:szCs w:val="24"/>
          <w:highlight w:val="none"/>
          <w:lang w:val="zh-CN"/>
        </w:rPr>
      </w:pPr>
      <w:r>
        <w:rPr>
          <w:rFonts w:eastAsia="仿宋_GB2312"/>
          <w:snapToGrid w:val="0"/>
          <w:color w:val="auto"/>
          <w:kern w:val="24"/>
          <w:szCs w:val="24"/>
          <w:highlight w:val="none"/>
          <w:lang w:val="zh-CN"/>
        </w:rPr>
        <w:t>为处理好工程建设与生态环境的关系，有效防治工程建设中新增水土流失，根据工程布局、水土流失分布和区域自然、社会经济条件，对工程新增水土流失防治措施进行统筹安排。</w:t>
      </w:r>
    </w:p>
    <w:p>
      <w:pPr>
        <w:pStyle w:val="12"/>
        <w:ind w:firstLine="480"/>
        <w:rPr>
          <w:rFonts w:eastAsia="仿宋_GB2312"/>
          <w:snapToGrid w:val="0"/>
          <w:color w:val="auto"/>
          <w:kern w:val="24"/>
          <w:szCs w:val="24"/>
          <w:highlight w:val="none"/>
          <w:lang w:val="zh-CN"/>
        </w:rPr>
      </w:pPr>
      <w:r>
        <w:rPr>
          <w:rFonts w:eastAsia="仿宋_GB2312"/>
          <w:snapToGrid w:val="0"/>
          <w:color w:val="auto"/>
          <w:kern w:val="24"/>
          <w:szCs w:val="24"/>
          <w:highlight w:val="none"/>
          <w:lang w:val="zh-CN"/>
        </w:rPr>
        <w:t>坚持分区防治的原则，根据工程所属水土流失防治分区确定指导性防治措施。在各防治分区以侵蚀地貌为基础划分治理单元，提出各治理单元的主导性防治措施体系；在各治理单元，根据主要侵蚀部位系统论证推荐布置经济、合理、安全的防治措施。</w:t>
      </w:r>
    </w:p>
    <w:p>
      <w:pPr>
        <w:pStyle w:val="12"/>
        <w:ind w:firstLine="480"/>
        <w:rPr>
          <w:rFonts w:eastAsia="仿宋_GB2312"/>
          <w:snapToGrid w:val="0"/>
          <w:color w:val="auto"/>
          <w:kern w:val="24"/>
          <w:szCs w:val="24"/>
          <w:highlight w:val="none"/>
          <w:lang w:val="zh-CN"/>
        </w:rPr>
      </w:pPr>
      <w:r>
        <w:rPr>
          <w:rFonts w:eastAsia="仿宋_GB2312"/>
          <w:snapToGrid w:val="0"/>
          <w:color w:val="auto"/>
          <w:kern w:val="24"/>
          <w:szCs w:val="24"/>
          <w:highlight w:val="none"/>
          <w:lang w:val="zh-CN"/>
        </w:rPr>
        <w:t>在防治措施布置上，施工期主要利用工程措施的控制性和速效性，施工完毕后，只要各防治分区有合适的土壤条件和水源条件即可采取植物措施。</w:t>
      </w:r>
    </w:p>
    <w:p>
      <w:pPr>
        <w:pStyle w:val="69"/>
        <w:rPr>
          <w:color w:val="auto"/>
          <w:highlight w:val="none"/>
        </w:rPr>
      </w:pPr>
      <w:r>
        <w:rPr>
          <w:color w:val="auto"/>
          <w:highlight w:val="none"/>
        </w:rPr>
        <w:t>5.3.1 建构筑物区</w:t>
      </w:r>
    </w:p>
    <w:p>
      <w:pPr>
        <w:pStyle w:val="56"/>
        <w:ind w:firstLine="480"/>
        <w:rPr>
          <w:color w:val="auto"/>
          <w:highlight w:val="none"/>
        </w:rPr>
      </w:pPr>
      <w:r>
        <w:rPr>
          <w:color w:val="auto"/>
          <w:highlight w:val="none"/>
        </w:rPr>
        <w:t>建构筑物区施工期间对临时堆土采取防尘网苫盖，对占地边界采取彩钢板围栏。</w:t>
      </w:r>
    </w:p>
    <w:p>
      <w:pPr>
        <w:pStyle w:val="56"/>
        <w:ind w:firstLine="480"/>
        <w:rPr>
          <w:color w:val="auto"/>
          <w:highlight w:val="none"/>
        </w:rPr>
      </w:pPr>
      <w:r>
        <w:rPr>
          <w:color w:val="auto"/>
          <w:highlight w:val="none"/>
        </w:rPr>
        <w:t>（1）临时措施</w:t>
      </w:r>
    </w:p>
    <w:p>
      <w:pPr>
        <w:pStyle w:val="56"/>
        <w:ind w:firstLine="480"/>
        <w:rPr>
          <w:color w:val="auto"/>
          <w:highlight w:val="none"/>
        </w:rPr>
      </w:pPr>
      <w:r>
        <w:rPr>
          <w:color w:val="auto"/>
          <w:highlight w:val="none"/>
        </w:rPr>
        <w:t>1）防尘网苫盖（方案新增）：施工期间对建构筑物基坑开挖临时堆土采取防尘网苫盖，防尘网苫盖共计</w:t>
      </w:r>
      <w:r>
        <w:rPr>
          <w:rFonts w:hint="eastAsia"/>
          <w:color w:val="auto"/>
          <w:highlight w:val="none"/>
          <w:lang w:val="en-US" w:eastAsia="zh-CN"/>
        </w:rPr>
        <w:t>800</w:t>
      </w:r>
      <w:r>
        <w:rPr>
          <w:color w:val="auto"/>
          <w:highlight w:val="none"/>
        </w:rPr>
        <w:t>m²。</w:t>
      </w:r>
    </w:p>
    <w:p>
      <w:pPr>
        <w:pStyle w:val="56"/>
        <w:ind w:firstLine="480"/>
        <w:rPr>
          <w:color w:val="auto"/>
          <w:highlight w:val="none"/>
        </w:rPr>
      </w:pPr>
      <w:r>
        <w:rPr>
          <w:color w:val="auto"/>
          <w:highlight w:val="none"/>
        </w:rPr>
        <w:t>2）彩钢板围栏（</w:t>
      </w:r>
      <w:r>
        <w:rPr>
          <w:rFonts w:hint="eastAsia"/>
          <w:color w:val="auto"/>
          <w:highlight w:val="none"/>
          <w:lang w:eastAsia="zh-CN"/>
        </w:rPr>
        <w:t>主体已列已实施</w:t>
      </w:r>
      <w:r>
        <w:rPr>
          <w:color w:val="auto"/>
          <w:highlight w:val="none"/>
        </w:rPr>
        <w:t>）：施工期间，在项目占地边界周围布置彩钢板围栏，彩钢板围栏共计</w:t>
      </w:r>
      <w:r>
        <w:rPr>
          <w:rFonts w:hint="eastAsia"/>
          <w:color w:val="auto"/>
          <w:highlight w:val="none"/>
          <w:lang w:val="en-US" w:eastAsia="zh-CN"/>
        </w:rPr>
        <w:t>80</w:t>
      </w:r>
      <w:r>
        <w:rPr>
          <w:color w:val="auto"/>
          <w:highlight w:val="none"/>
        </w:rPr>
        <w:t>0m。</w:t>
      </w:r>
    </w:p>
    <w:p>
      <w:pPr>
        <w:pStyle w:val="69"/>
        <w:rPr>
          <w:color w:val="auto"/>
          <w:highlight w:val="none"/>
        </w:rPr>
      </w:pPr>
      <w:r>
        <w:rPr>
          <w:color w:val="auto"/>
          <w:highlight w:val="none"/>
        </w:rPr>
        <w:t>5.3.2 绿化区</w:t>
      </w:r>
    </w:p>
    <w:p>
      <w:pPr>
        <w:pStyle w:val="56"/>
        <w:ind w:firstLine="480"/>
        <w:rPr>
          <w:color w:val="auto"/>
          <w:highlight w:val="none"/>
        </w:rPr>
      </w:pPr>
      <w:r>
        <w:rPr>
          <w:color w:val="auto"/>
          <w:highlight w:val="none"/>
        </w:rPr>
        <w:t>绿化区施工后期采取平整、全面整地，同时对其采取栽植乔灌木、种植草坪绿化，并设置配套的灌溉设施</w:t>
      </w:r>
      <w:r>
        <w:rPr>
          <w:rFonts w:hint="eastAsia"/>
          <w:color w:val="auto"/>
          <w:highlight w:val="none"/>
          <w:lang w:eastAsia="zh-CN"/>
        </w:rPr>
        <w:t>，（经过现场踏勘，</w:t>
      </w:r>
      <w:r>
        <w:rPr>
          <w:color w:val="auto"/>
          <w:highlight w:val="none"/>
        </w:rPr>
        <w:t>项目区</w:t>
      </w:r>
      <w:r>
        <w:rPr>
          <w:rFonts w:hint="eastAsia"/>
          <w:color w:val="auto"/>
          <w:highlight w:val="none"/>
          <w:lang w:eastAsia="zh-CN"/>
        </w:rPr>
        <w:t>地表砂砾石含量较低，全面整地后可满足植物生长，</w:t>
      </w:r>
      <w:r>
        <w:rPr>
          <w:color w:val="auto"/>
          <w:highlight w:val="none"/>
        </w:rPr>
        <w:t>绿化时</w:t>
      </w:r>
      <w:r>
        <w:rPr>
          <w:rFonts w:hint="eastAsia"/>
          <w:color w:val="auto"/>
          <w:highlight w:val="none"/>
          <w:lang w:eastAsia="zh-CN"/>
        </w:rPr>
        <w:t>无</w:t>
      </w:r>
      <w:r>
        <w:rPr>
          <w:color w:val="auto"/>
          <w:highlight w:val="none"/>
        </w:rPr>
        <w:t>需外购种植土</w:t>
      </w:r>
      <w:r>
        <w:rPr>
          <w:rFonts w:hint="eastAsia"/>
          <w:color w:val="auto"/>
          <w:highlight w:val="none"/>
          <w:lang w:eastAsia="zh-CN"/>
        </w:rPr>
        <w:t>）</w:t>
      </w:r>
      <w:r>
        <w:rPr>
          <w:color w:val="auto"/>
          <w:highlight w:val="none"/>
        </w:rPr>
        <w:t>。</w:t>
      </w:r>
    </w:p>
    <w:p>
      <w:pPr>
        <w:pStyle w:val="56"/>
        <w:ind w:firstLine="480"/>
        <w:rPr>
          <w:color w:val="auto"/>
          <w:highlight w:val="none"/>
        </w:rPr>
      </w:pPr>
      <w:r>
        <w:rPr>
          <w:color w:val="auto"/>
          <w:highlight w:val="none"/>
        </w:rPr>
        <w:t>（1）工程措施</w:t>
      </w:r>
    </w:p>
    <w:p>
      <w:pPr>
        <w:pStyle w:val="56"/>
        <w:ind w:firstLine="480"/>
        <w:rPr>
          <w:color w:val="auto"/>
          <w:highlight w:val="none"/>
        </w:rPr>
      </w:pPr>
      <w:r>
        <w:rPr>
          <w:color w:val="auto"/>
          <w:highlight w:val="none"/>
        </w:rPr>
        <w:t>1）土地平整（主体已列</w:t>
      </w:r>
      <w:r>
        <w:rPr>
          <w:rFonts w:hint="eastAsia"/>
          <w:color w:val="auto"/>
          <w:highlight w:val="none"/>
          <w:lang w:eastAsia="zh-CN"/>
        </w:rPr>
        <w:t>未实施</w:t>
      </w:r>
      <w:r>
        <w:rPr>
          <w:color w:val="auto"/>
          <w:highlight w:val="none"/>
        </w:rPr>
        <w:t>）：项目建设完成后，主体对绿化区周边区域采取土地平整，清理建筑垃圾及堆置的建筑材料，平整面积共</w:t>
      </w:r>
      <w:r>
        <w:rPr>
          <w:rFonts w:hint="eastAsia"/>
          <w:color w:val="auto"/>
          <w:highlight w:val="none"/>
          <w:lang w:val="en-US" w:eastAsia="zh-CN"/>
        </w:rPr>
        <w:t>1.20</w:t>
      </w:r>
      <w:r>
        <w:rPr>
          <w:color w:val="auto"/>
          <w:highlight w:val="none"/>
        </w:rPr>
        <w:t>hm²。</w:t>
      </w:r>
    </w:p>
    <w:p>
      <w:pPr>
        <w:pStyle w:val="56"/>
        <w:ind w:firstLine="480"/>
        <w:rPr>
          <w:color w:val="auto"/>
          <w:highlight w:val="none"/>
        </w:rPr>
      </w:pPr>
      <w:r>
        <w:rPr>
          <w:rFonts w:eastAsia="宋体"/>
          <w:color w:val="auto"/>
          <w:highlight w:val="none"/>
        </w:rPr>
        <w:t>2）</w:t>
      </w:r>
      <w:r>
        <w:rPr>
          <w:color w:val="auto"/>
          <w:highlight w:val="none"/>
        </w:rPr>
        <w:t>全面整地（方案新增）：为了保证绿化植被成活，优化立地条件，方案设计对周边空地绿化区域进行全面整地措施，整地面积</w:t>
      </w:r>
      <w:r>
        <w:rPr>
          <w:rFonts w:hint="eastAsia"/>
          <w:color w:val="auto"/>
          <w:highlight w:val="none"/>
          <w:lang w:val="en-US" w:eastAsia="zh-CN"/>
        </w:rPr>
        <w:t>1.20</w:t>
      </w:r>
      <w:r>
        <w:rPr>
          <w:color w:val="auto"/>
          <w:highlight w:val="none"/>
        </w:rPr>
        <w:t>hm²。</w:t>
      </w:r>
    </w:p>
    <w:p>
      <w:pPr>
        <w:pStyle w:val="56"/>
        <w:ind w:firstLine="480"/>
        <w:rPr>
          <w:color w:val="auto"/>
          <w:highlight w:val="none"/>
        </w:rPr>
      </w:pPr>
      <w:r>
        <w:rPr>
          <w:color w:val="auto"/>
          <w:highlight w:val="none"/>
        </w:rPr>
        <w:t>（2）植物措施</w:t>
      </w:r>
    </w:p>
    <w:p>
      <w:pPr>
        <w:pStyle w:val="56"/>
        <w:ind w:firstLine="480"/>
        <w:rPr>
          <w:color w:val="auto"/>
          <w:highlight w:val="none"/>
        </w:rPr>
      </w:pPr>
      <w:r>
        <w:rPr>
          <w:color w:val="auto"/>
          <w:highlight w:val="none"/>
        </w:rPr>
        <w:t>景观绿化及配套微喷灌溉设施：主体工程对建构筑物周边空地及道路沿线进行栽植乔木、灌木、种植草坪绿化，改善小区环境，绿化面积约</w:t>
      </w:r>
      <w:r>
        <w:rPr>
          <w:rFonts w:hint="eastAsia"/>
          <w:color w:val="auto"/>
          <w:highlight w:val="none"/>
          <w:lang w:val="en-US" w:eastAsia="zh-CN"/>
        </w:rPr>
        <w:t>1.20</w:t>
      </w:r>
      <w:r>
        <w:rPr>
          <w:color w:val="auto"/>
          <w:highlight w:val="none"/>
        </w:rPr>
        <w:t>hm²，采用微喷灌。</w:t>
      </w:r>
    </w:p>
    <w:p>
      <w:pPr>
        <w:pStyle w:val="56"/>
        <w:ind w:firstLine="480"/>
        <w:rPr>
          <w:color w:val="auto"/>
          <w:highlight w:val="none"/>
        </w:rPr>
      </w:pPr>
      <w:r>
        <w:rPr>
          <w:color w:val="auto"/>
          <w:highlight w:val="none"/>
        </w:rPr>
        <w:t>本项目主体针对绿化区只提出绿化面积及绿化投资，并未对其进行典型设计，因此本方案在此对绿化区进行补充设计。</w:t>
      </w:r>
    </w:p>
    <w:p>
      <w:pPr>
        <w:pStyle w:val="56"/>
        <w:ind w:firstLine="480"/>
        <w:rPr>
          <w:color w:val="auto"/>
          <w:highlight w:val="none"/>
        </w:rPr>
      </w:pPr>
      <w:r>
        <w:rPr>
          <w:rFonts w:eastAsia="宋体"/>
          <w:color w:val="auto"/>
          <w:highlight w:val="none"/>
        </w:rPr>
        <w:t>1）</w:t>
      </w:r>
      <w:r>
        <w:rPr>
          <w:color w:val="auto"/>
          <w:highlight w:val="none"/>
        </w:rPr>
        <w:t>树种选择</w:t>
      </w:r>
    </w:p>
    <w:p>
      <w:pPr>
        <w:pStyle w:val="56"/>
        <w:ind w:firstLine="480"/>
        <w:rPr>
          <w:color w:val="auto"/>
          <w:highlight w:val="none"/>
        </w:rPr>
      </w:pPr>
      <w:r>
        <w:rPr>
          <w:color w:val="auto"/>
          <w:highlight w:val="none"/>
        </w:rPr>
        <w:t>根据当地实际情况，本着适地适树、因地制宜和合理搭配的原则选择当地优势树种，采用植苗造林。</w:t>
      </w:r>
      <w:r>
        <w:rPr>
          <w:rFonts w:hint="eastAsia"/>
          <w:color w:val="auto"/>
          <w:highlight w:val="none"/>
          <w:lang w:eastAsia="zh-CN"/>
        </w:rPr>
        <w:t>建议</w:t>
      </w:r>
      <w:r>
        <w:rPr>
          <w:color w:val="auto"/>
          <w:highlight w:val="none"/>
        </w:rPr>
        <w:t>工程区乔木主要选择长枝榆、大叶榆</w:t>
      </w:r>
      <w:r>
        <w:rPr>
          <w:rFonts w:hint="eastAsia"/>
          <w:color w:val="auto"/>
          <w:highlight w:val="none"/>
          <w:lang w:eastAsia="zh-CN"/>
        </w:rPr>
        <w:t>；</w:t>
      </w:r>
      <w:r>
        <w:rPr>
          <w:color w:val="auto"/>
          <w:highlight w:val="none"/>
        </w:rPr>
        <w:t>灌木主要为榆叶梅和紫穗槐进行项目区绿化，适宜树种特性及造林技术见表5.3-1。</w:t>
      </w:r>
    </w:p>
    <w:p>
      <w:pPr>
        <w:pStyle w:val="75"/>
        <w:ind w:firstLine="480"/>
        <w:rPr>
          <w:color w:val="auto"/>
          <w:highlight w:val="none"/>
        </w:rPr>
      </w:pPr>
      <w:r>
        <w:rPr>
          <w:color w:val="auto"/>
          <w:highlight w:val="none"/>
        </w:rPr>
        <w:t>表5.3-1     工程绿化措施树种种特性及造林技术</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5"/>
        <w:gridCol w:w="79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1075" w:type="dxa"/>
            <w:vAlign w:val="center"/>
          </w:tcPr>
          <w:p>
            <w:pPr>
              <w:pStyle w:val="84"/>
              <w:rPr>
                <w:color w:val="auto"/>
                <w:highlight w:val="none"/>
              </w:rPr>
            </w:pPr>
            <w:r>
              <w:rPr>
                <w:color w:val="auto"/>
                <w:highlight w:val="none"/>
              </w:rPr>
              <w:t>名称</w:t>
            </w:r>
          </w:p>
        </w:tc>
        <w:tc>
          <w:tcPr>
            <w:tcW w:w="7985" w:type="dxa"/>
            <w:vAlign w:val="center"/>
          </w:tcPr>
          <w:p>
            <w:pPr>
              <w:pStyle w:val="84"/>
              <w:rPr>
                <w:color w:val="auto"/>
                <w:highlight w:val="none"/>
              </w:rPr>
            </w:pPr>
            <w:r>
              <w:rPr>
                <w:color w:val="auto"/>
                <w:highlight w:val="none"/>
              </w:rPr>
              <w:t>树种特征、栽培技术及苗木规格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9" w:hRule="exact"/>
          <w:jc w:val="center"/>
        </w:trPr>
        <w:tc>
          <w:tcPr>
            <w:tcW w:w="1075" w:type="dxa"/>
            <w:vAlign w:val="center"/>
          </w:tcPr>
          <w:p>
            <w:pPr>
              <w:pStyle w:val="84"/>
              <w:rPr>
                <w:color w:val="auto"/>
                <w:highlight w:val="none"/>
              </w:rPr>
            </w:pPr>
            <w:r>
              <w:rPr>
                <w:color w:val="auto"/>
                <w:highlight w:val="none"/>
              </w:rPr>
              <w:t>长枝榆</w:t>
            </w:r>
          </w:p>
        </w:tc>
        <w:tc>
          <w:tcPr>
            <w:tcW w:w="7985" w:type="dxa"/>
            <w:vAlign w:val="center"/>
          </w:tcPr>
          <w:p>
            <w:pPr>
              <w:pStyle w:val="84"/>
              <w:jc w:val="left"/>
              <w:rPr>
                <w:color w:val="auto"/>
                <w:highlight w:val="none"/>
              </w:rPr>
            </w:pPr>
            <w:r>
              <w:rPr>
                <w:color w:val="auto"/>
                <w:highlight w:val="none"/>
              </w:rPr>
              <w:t>落叶</w:t>
            </w:r>
            <w:r>
              <w:rPr>
                <w:color w:val="auto"/>
                <w:highlight w:val="none"/>
              </w:rPr>
              <w:fldChar w:fldCharType="begin"/>
            </w:r>
            <w:r>
              <w:rPr>
                <w:color w:val="auto"/>
                <w:highlight w:val="none"/>
              </w:rPr>
              <w:instrText xml:space="preserve"> HYPERLINK "http://baike.baidu.com/view/84144.htm" \t "_blank" </w:instrText>
            </w:r>
            <w:r>
              <w:rPr>
                <w:color w:val="auto"/>
                <w:highlight w:val="none"/>
              </w:rPr>
              <w:fldChar w:fldCharType="separate"/>
            </w:r>
            <w:r>
              <w:rPr>
                <w:rStyle w:val="34"/>
                <w:color w:val="auto"/>
                <w:highlight w:val="none"/>
                <w:u w:val="none"/>
              </w:rPr>
              <w:t>乔木</w:t>
            </w:r>
            <w:r>
              <w:rPr>
                <w:rStyle w:val="34"/>
                <w:color w:val="auto"/>
                <w:highlight w:val="none"/>
                <w:u w:val="none"/>
              </w:rPr>
              <w:fldChar w:fldCharType="end"/>
            </w:r>
            <w:r>
              <w:rPr>
                <w:color w:val="auto"/>
                <w:highlight w:val="none"/>
              </w:rPr>
              <w:t>，枝喜阳光，耐寒耐干旱，抗高温风沙。可度过夏季绝对最高气温达45</w:t>
            </w:r>
            <w:r>
              <w:rPr>
                <w:rFonts w:hint="eastAsia" w:ascii="宋体" w:hAnsi="宋体" w:eastAsia="宋体" w:cs="宋体"/>
                <w:color w:val="auto"/>
                <w:highlight w:val="none"/>
              </w:rPr>
              <w:t>℃</w:t>
            </w:r>
            <w:r>
              <w:rPr>
                <w:color w:val="auto"/>
                <w:highlight w:val="none"/>
              </w:rPr>
              <w:t>，冬季绝对最低温度－40</w:t>
            </w:r>
            <w:r>
              <w:rPr>
                <w:rFonts w:hint="eastAsia" w:ascii="宋体" w:hAnsi="宋体" w:eastAsia="宋体" w:cs="宋体"/>
                <w:color w:val="auto"/>
                <w:highlight w:val="none"/>
              </w:rPr>
              <w:t>℃</w:t>
            </w:r>
            <w:r>
              <w:rPr>
                <w:color w:val="auto"/>
                <w:highlight w:val="none"/>
              </w:rPr>
              <w:t>，在年降水量200毫米左右的气候环境下，能健旺生长。对土壤条件要求不严、适应能力强。但在立地条件较优越，深厚肥沃，水源充足的土壤中，生长格外迅速。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3" w:hRule="exact"/>
          <w:jc w:val="center"/>
        </w:trPr>
        <w:tc>
          <w:tcPr>
            <w:tcW w:w="1075" w:type="dxa"/>
            <w:vAlign w:val="center"/>
          </w:tcPr>
          <w:p>
            <w:pPr>
              <w:pStyle w:val="84"/>
              <w:rPr>
                <w:color w:val="auto"/>
                <w:highlight w:val="none"/>
              </w:rPr>
            </w:pPr>
            <w:r>
              <w:rPr>
                <w:color w:val="auto"/>
                <w:highlight w:val="none"/>
              </w:rPr>
              <w:t>大叶榆</w:t>
            </w:r>
          </w:p>
        </w:tc>
        <w:tc>
          <w:tcPr>
            <w:tcW w:w="7985" w:type="dxa"/>
            <w:vAlign w:val="center"/>
          </w:tcPr>
          <w:p>
            <w:pPr>
              <w:pStyle w:val="84"/>
              <w:jc w:val="left"/>
              <w:rPr>
                <w:color w:val="auto"/>
                <w:highlight w:val="none"/>
              </w:rPr>
            </w:pPr>
            <w:r>
              <w:rPr>
                <w:color w:val="auto"/>
                <w:highlight w:val="none"/>
              </w:rPr>
              <w:t>落叶</w:t>
            </w:r>
            <w:r>
              <w:rPr>
                <w:color w:val="auto"/>
                <w:highlight w:val="none"/>
              </w:rPr>
              <w:fldChar w:fldCharType="begin"/>
            </w:r>
            <w:r>
              <w:rPr>
                <w:color w:val="auto"/>
                <w:highlight w:val="none"/>
              </w:rPr>
              <w:instrText xml:space="preserve"> HYPERLINK "https://baike.baidu.com/item/%E4%B9%94%E6%9C%A8" \t "_blank" </w:instrText>
            </w:r>
            <w:r>
              <w:rPr>
                <w:color w:val="auto"/>
                <w:highlight w:val="none"/>
              </w:rPr>
              <w:fldChar w:fldCharType="separate"/>
            </w:r>
            <w:r>
              <w:rPr>
                <w:rStyle w:val="34"/>
                <w:color w:val="auto"/>
                <w:highlight w:val="none"/>
                <w:u w:val="none"/>
              </w:rPr>
              <w:t>乔木</w:t>
            </w:r>
            <w:r>
              <w:rPr>
                <w:rStyle w:val="34"/>
                <w:color w:val="auto"/>
                <w:highlight w:val="none"/>
                <w:u w:val="none"/>
              </w:rPr>
              <w:fldChar w:fldCharType="end"/>
            </w:r>
            <w:r>
              <w:rPr>
                <w:color w:val="auto"/>
                <w:highlight w:val="none"/>
              </w:rPr>
              <w:t>，喜光、耐寒、抗高温。在新疆夏季绝对最高气温达45</w:t>
            </w:r>
            <w:r>
              <w:rPr>
                <w:rFonts w:hint="eastAsia" w:ascii="宋体" w:hAnsi="宋体" w:eastAsia="宋体" w:cs="宋体"/>
                <w:color w:val="auto"/>
                <w:highlight w:val="none"/>
              </w:rPr>
              <w:t>℃</w:t>
            </w:r>
            <w:r>
              <w:rPr>
                <w:color w:val="auto"/>
                <w:highlight w:val="none"/>
              </w:rPr>
              <w:t>，冬季绝对最低气温-43</w:t>
            </w:r>
            <w:r>
              <w:rPr>
                <w:rFonts w:hint="eastAsia" w:ascii="宋体" w:hAnsi="宋体" w:eastAsia="宋体" w:cs="宋体"/>
                <w:color w:val="auto"/>
                <w:highlight w:val="none"/>
              </w:rPr>
              <w:t>℃</w:t>
            </w:r>
            <w:r>
              <w:rPr>
                <w:color w:val="auto"/>
                <w:highlight w:val="none"/>
              </w:rPr>
              <w:t>，日温差达30</w:t>
            </w:r>
            <w:r>
              <w:rPr>
                <w:rFonts w:hint="eastAsia" w:ascii="宋体" w:hAnsi="宋体" w:eastAsia="宋体" w:cs="宋体"/>
                <w:color w:val="auto"/>
                <w:highlight w:val="none"/>
              </w:rPr>
              <w:t>℃</w:t>
            </w:r>
            <w:r>
              <w:rPr>
                <w:color w:val="auto"/>
                <w:highlight w:val="none"/>
              </w:rPr>
              <w:t>，年降水量195毫米的地方，生长旺盛。深根性，对土壤要求不严，喜生于土壤深厚、湿润、疏松的沙壤或壤土上，在pH值8的沙壤土上生长良好。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3" w:hRule="exact"/>
          <w:jc w:val="center"/>
        </w:trPr>
        <w:tc>
          <w:tcPr>
            <w:tcW w:w="1075" w:type="dxa"/>
            <w:vAlign w:val="center"/>
          </w:tcPr>
          <w:p>
            <w:pPr>
              <w:pStyle w:val="84"/>
              <w:rPr>
                <w:color w:val="auto"/>
                <w:highlight w:val="none"/>
              </w:rPr>
            </w:pPr>
            <w:r>
              <w:rPr>
                <w:color w:val="auto"/>
                <w:highlight w:val="none"/>
              </w:rPr>
              <w:t>榆叶梅</w:t>
            </w:r>
          </w:p>
        </w:tc>
        <w:tc>
          <w:tcPr>
            <w:tcW w:w="7985" w:type="dxa"/>
            <w:vAlign w:val="center"/>
          </w:tcPr>
          <w:p>
            <w:pPr>
              <w:pStyle w:val="84"/>
              <w:jc w:val="left"/>
              <w:rPr>
                <w:color w:val="auto"/>
                <w:highlight w:val="none"/>
              </w:rPr>
            </w:pPr>
            <w:r>
              <w:rPr>
                <w:color w:val="auto"/>
                <w:highlight w:val="none"/>
              </w:rPr>
              <w:t>为灌木稀小乔木，喜光，稍耐阴，耐寒，能在-35</w:t>
            </w:r>
            <w:r>
              <w:rPr>
                <w:rFonts w:hint="eastAsia" w:ascii="宋体" w:hAnsi="宋体" w:eastAsia="宋体" w:cs="宋体"/>
                <w:color w:val="auto"/>
                <w:highlight w:val="none"/>
              </w:rPr>
              <w:t>℃</w:t>
            </w:r>
            <w:r>
              <w:rPr>
                <w:color w:val="auto"/>
                <w:highlight w:val="none"/>
              </w:rPr>
              <w:t>下越冬。对土壤要求不严，以中性至微碱性而肥沃土壤为佳。根系发达，耐旱力强。不耐涝。抗病力强。生于低至中海拔的坡地或沟旁乔、灌木林下或林缘。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3" w:hRule="exact"/>
          <w:jc w:val="center"/>
        </w:trPr>
        <w:tc>
          <w:tcPr>
            <w:tcW w:w="1075" w:type="dxa"/>
            <w:vAlign w:val="center"/>
          </w:tcPr>
          <w:p>
            <w:pPr>
              <w:pStyle w:val="84"/>
              <w:rPr>
                <w:color w:val="auto"/>
                <w:highlight w:val="none"/>
              </w:rPr>
            </w:pPr>
            <w:r>
              <w:rPr>
                <w:color w:val="auto"/>
                <w:highlight w:val="none"/>
              </w:rPr>
              <w:t>紫穗槐</w:t>
            </w:r>
          </w:p>
        </w:tc>
        <w:tc>
          <w:tcPr>
            <w:tcW w:w="7985" w:type="dxa"/>
            <w:vAlign w:val="center"/>
          </w:tcPr>
          <w:p>
            <w:pPr>
              <w:pStyle w:val="84"/>
              <w:jc w:val="left"/>
              <w:rPr>
                <w:color w:val="auto"/>
                <w:highlight w:val="none"/>
              </w:rPr>
            </w:pPr>
            <w:r>
              <w:rPr>
                <w:color w:val="auto"/>
                <w:highlight w:val="none"/>
              </w:rPr>
              <w:t>落叶灌木，喜欢干冷气候，耐寒性强，耐干旱能力也很强，能在降水量200毫升左右地区生长。也具有一定的耐淹能力，虽浸水1个月也不至死亡。对光线要求充足。对土壤要求不严。</w:t>
            </w:r>
          </w:p>
        </w:tc>
      </w:tr>
    </w:tbl>
    <w:p>
      <w:pPr>
        <w:pStyle w:val="56"/>
        <w:ind w:firstLine="480"/>
        <w:rPr>
          <w:color w:val="auto"/>
          <w:highlight w:val="none"/>
        </w:rPr>
      </w:pPr>
      <w:r>
        <w:rPr>
          <w:rFonts w:eastAsia="宋体"/>
          <w:color w:val="auto"/>
          <w:highlight w:val="none"/>
        </w:rPr>
        <w:t>2）</w:t>
      </w:r>
      <w:r>
        <w:rPr>
          <w:color w:val="auto"/>
          <w:highlight w:val="none"/>
        </w:rPr>
        <w:t>造林技术措施</w:t>
      </w:r>
    </w:p>
    <w:p>
      <w:pPr>
        <w:pStyle w:val="56"/>
        <w:ind w:firstLine="480"/>
        <w:rPr>
          <w:color w:val="auto"/>
          <w:highlight w:val="none"/>
        </w:rPr>
      </w:pPr>
      <w:r>
        <w:rPr>
          <w:color w:val="auto"/>
          <w:highlight w:val="none"/>
        </w:rPr>
        <w:t>整地：针对绿化区在造林前进行场地平整和全面整地。造林时按照设计的株行距挖尺寸为50cm×50cm的植树穴坑。各项造林整地工程的填方土埂必须分层拍实（或踩实）。</w:t>
      </w:r>
    </w:p>
    <w:p>
      <w:pPr>
        <w:pStyle w:val="56"/>
        <w:ind w:firstLine="480"/>
        <w:rPr>
          <w:color w:val="auto"/>
          <w:highlight w:val="none"/>
        </w:rPr>
      </w:pPr>
      <w:r>
        <w:rPr>
          <w:color w:val="auto"/>
          <w:highlight w:val="none"/>
        </w:rPr>
        <w:t>栽植方式：采用长方形栽植，株行距2m×4m，品字形栽植，采取疏透结构，便于通风透光和管理；栽植时要保证坑穴的深度和宽度，根据不同树种和树苗情况，以根系舒展为标准。具体栽植模式参见造林标准设计，由于立地条件和选用树种的不同会有所变动，但总的配置模式相同。</w:t>
      </w:r>
    </w:p>
    <w:p>
      <w:pPr>
        <w:pStyle w:val="56"/>
        <w:ind w:firstLine="480"/>
        <w:rPr>
          <w:color w:val="auto"/>
          <w:highlight w:val="none"/>
        </w:rPr>
      </w:pPr>
      <w:r>
        <w:rPr>
          <w:color w:val="auto"/>
          <w:highlight w:val="none"/>
        </w:rPr>
        <w:t>定植：春季植苗造林，选用根系完整、健壮、无病虫害的1～2年生苗木，清水浸泡5～6h后，或从苗圃带土起苗后2～3h内，迅速定植，定植时要使苗木根系舒展，遵从“三埋两踩一提苗”的栽植方法，即先埋土三分之一，踩实后将苗木向上稍稍提动，使苗木根系与土壤充分接触，然后再埋土三分之一，踩实，最后填满。栽植时，苗木扶直、栽正，保持根系舒展，分层覆土，生土填在上面、踏实，覆土至地径以上2cm，栽好后立即浇水，水要浇透。待水渗干后附上一层松土，以利于保墒。</w:t>
      </w:r>
    </w:p>
    <w:p>
      <w:pPr>
        <w:pStyle w:val="56"/>
        <w:ind w:firstLine="480"/>
        <w:rPr>
          <w:color w:val="auto"/>
          <w:highlight w:val="none"/>
        </w:rPr>
      </w:pPr>
      <w:r>
        <w:rPr>
          <w:color w:val="auto"/>
          <w:highlight w:val="none"/>
        </w:rPr>
        <w:t>3）草种选择</w:t>
      </w:r>
    </w:p>
    <w:p>
      <w:pPr>
        <w:pStyle w:val="56"/>
        <w:ind w:firstLine="480"/>
        <w:rPr>
          <w:color w:val="auto"/>
          <w:highlight w:val="none"/>
        </w:rPr>
      </w:pPr>
      <w:r>
        <w:rPr>
          <w:color w:val="auto"/>
          <w:highlight w:val="none"/>
        </w:rPr>
        <w:t>在乔木、灌木栽植订制完成后，对绿化区周边空地采取种植草坪，草坪草种选用早熟禾与白三叶，并且周边空地达到一定的平整要求后，直接采取人工铺草皮的形式种植草坪，植草坪在秋季进行，利用冬季降雪融水及春季降雨进行萌发。</w:t>
      </w:r>
    </w:p>
    <w:p>
      <w:pPr>
        <w:pStyle w:val="69"/>
        <w:rPr>
          <w:color w:val="auto"/>
          <w:highlight w:val="none"/>
        </w:rPr>
      </w:pPr>
      <w:r>
        <w:rPr>
          <w:color w:val="auto"/>
          <w:highlight w:val="none"/>
        </w:rPr>
        <w:t>5.3.3 道路及硬化区</w:t>
      </w:r>
    </w:p>
    <w:p>
      <w:pPr>
        <w:pStyle w:val="56"/>
        <w:ind w:firstLine="480"/>
        <w:rPr>
          <w:color w:val="auto"/>
          <w:highlight w:val="none"/>
        </w:rPr>
      </w:pPr>
      <w:r>
        <w:rPr>
          <w:color w:val="auto"/>
          <w:highlight w:val="none"/>
        </w:rPr>
        <w:t>道路及硬化区在施工期间对施工扰动区域采取洒水、后期对施工迹地平整。</w:t>
      </w:r>
    </w:p>
    <w:p>
      <w:pPr>
        <w:pStyle w:val="56"/>
        <w:ind w:firstLine="480"/>
        <w:rPr>
          <w:color w:val="auto"/>
          <w:highlight w:val="none"/>
        </w:rPr>
      </w:pPr>
      <w:r>
        <w:rPr>
          <w:color w:val="auto"/>
          <w:highlight w:val="none"/>
        </w:rPr>
        <w:t>（1）工程措施</w:t>
      </w:r>
    </w:p>
    <w:p>
      <w:pPr>
        <w:pStyle w:val="56"/>
        <w:ind w:firstLine="480"/>
        <w:rPr>
          <w:color w:val="auto"/>
          <w:highlight w:val="none"/>
        </w:rPr>
      </w:pPr>
      <w:r>
        <w:rPr>
          <w:color w:val="auto"/>
          <w:highlight w:val="none"/>
        </w:rPr>
        <w:t>土地平整（主体已列</w:t>
      </w:r>
      <w:r>
        <w:rPr>
          <w:rFonts w:hint="eastAsia"/>
          <w:color w:val="auto"/>
          <w:highlight w:val="none"/>
          <w:lang w:eastAsia="zh-CN"/>
        </w:rPr>
        <w:t>未实施</w:t>
      </w:r>
      <w:r>
        <w:rPr>
          <w:color w:val="auto"/>
          <w:highlight w:val="none"/>
        </w:rPr>
        <w:t>）：道路基础建设回填后，主体对道路及硬化区界外扰动区域实施土地平整，清理建筑垃圾及堆置的建筑材料，平整面积共</w:t>
      </w:r>
      <w:r>
        <w:rPr>
          <w:rFonts w:hint="eastAsia"/>
          <w:color w:val="auto"/>
          <w:highlight w:val="none"/>
          <w:lang w:val="en-US" w:eastAsia="zh-CN"/>
        </w:rPr>
        <w:t>1.02</w:t>
      </w:r>
      <w:r>
        <w:rPr>
          <w:color w:val="auto"/>
          <w:highlight w:val="none"/>
        </w:rPr>
        <w:t>hm²。</w:t>
      </w:r>
    </w:p>
    <w:p>
      <w:pPr>
        <w:pStyle w:val="56"/>
        <w:ind w:firstLine="480"/>
        <w:rPr>
          <w:color w:val="auto"/>
          <w:highlight w:val="none"/>
        </w:rPr>
      </w:pPr>
      <w:r>
        <w:rPr>
          <w:color w:val="auto"/>
          <w:highlight w:val="none"/>
        </w:rPr>
        <w:t>（2）临时措施</w:t>
      </w:r>
    </w:p>
    <w:p>
      <w:pPr>
        <w:pStyle w:val="56"/>
        <w:ind w:firstLine="480"/>
        <w:rPr>
          <w:color w:val="auto"/>
          <w:highlight w:val="none"/>
        </w:rPr>
      </w:pPr>
      <w:r>
        <w:rPr>
          <w:color w:val="auto"/>
          <w:highlight w:val="none"/>
        </w:rPr>
        <w:t>洒水（方案新增）：在施工期间，施工车辆碾压易造成扬尘，方案新增对道路及硬化区扰动区域进行洒水防治扬尘，洒水厚度为2mm，202</w:t>
      </w:r>
      <w:r>
        <w:rPr>
          <w:rFonts w:hint="eastAsia"/>
          <w:color w:val="auto"/>
          <w:highlight w:val="none"/>
          <w:lang w:val="en-US" w:eastAsia="zh-CN"/>
        </w:rPr>
        <w:t>0</w:t>
      </w:r>
      <w:r>
        <w:rPr>
          <w:color w:val="auto"/>
          <w:highlight w:val="none"/>
        </w:rPr>
        <w:t>年</w:t>
      </w:r>
      <w:r>
        <w:rPr>
          <w:rFonts w:hint="eastAsia"/>
          <w:color w:val="auto"/>
          <w:highlight w:val="none"/>
          <w:lang w:val="en-US" w:eastAsia="zh-CN"/>
        </w:rPr>
        <w:t>8</w:t>
      </w:r>
      <w:r>
        <w:rPr>
          <w:color w:val="auto"/>
          <w:highlight w:val="none"/>
        </w:rPr>
        <w:t>月至</w:t>
      </w:r>
      <w:r>
        <w:rPr>
          <w:rFonts w:hint="eastAsia"/>
          <w:color w:val="auto"/>
          <w:highlight w:val="none"/>
          <w:lang w:val="en-US" w:eastAsia="zh-CN"/>
        </w:rPr>
        <w:t>9</w:t>
      </w:r>
      <w:r>
        <w:rPr>
          <w:color w:val="auto"/>
          <w:highlight w:val="none"/>
        </w:rPr>
        <w:t>月</w:t>
      </w:r>
      <w:r>
        <w:rPr>
          <w:rFonts w:hint="eastAsia"/>
          <w:color w:val="auto"/>
          <w:highlight w:val="none"/>
          <w:lang w:eastAsia="zh-CN"/>
        </w:rPr>
        <w:t>、</w:t>
      </w:r>
      <w:r>
        <w:rPr>
          <w:rFonts w:hint="eastAsia"/>
          <w:color w:val="auto"/>
          <w:highlight w:val="none"/>
          <w:lang w:val="en-US" w:eastAsia="zh-CN"/>
        </w:rPr>
        <w:t>2021</w:t>
      </w:r>
      <w:r>
        <w:rPr>
          <w:color w:val="auto"/>
          <w:highlight w:val="none"/>
        </w:rPr>
        <w:t>年4月至</w:t>
      </w:r>
      <w:r>
        <w:rPr>
          <w:rFonts w:hint="eastAsia"/>
          <w:color w:val="auto"/>
          <w:highlight w:val="none"/>
          <w:lang w:val="en-US" w:eastAsia="zh-CN"/>
        </w:rPr>
        <w:t>9</w:t>
      </w:r>
      <w:r>
        <w:rPr>
          <w:color w:val="auto"/>
          <w:highlight w:val="none"/>
        </w:rPr>
        <w:t>月洒水，每两天洒水一次，洒水天数大概为</w:t>
      </w:r>
      <w:r>
        <w:rPr>
          <w:rFonts w:hint="eastAsia"/>
          <w:color w:val="auto"/>
          <w:highlight w:val="none"/>
          <w:lang w:val="en-US" w:eastAsia="zh-CN"/>
        </w:rPr>
        <w:t>120</w:t>
      </w:r>
      <w:r>
        <w:rPr>
          <w:color w:val="auto"/>
          <w:highlight w:val="none"/>
        </w:rPr>
        <w:t>天，共计洒水</w:t>
      </w:r>
      <w:r>
        <w:rPr>
          <w:rFonts w:hint="eastAsia"/>
          <w:color w:val="auto"/>
          <w:highlight w:val="none"/>
          <w:lang w:val="en-US" w:eastAsia="zh-CN"/>
        </w:rPr>
        <w:t>2455</w:t>
      </w:r>
      <w:r>
        <w:rPr>
          <w:color w:val="auto"/>
          <w:highlight w:val="none"/>
        </w:rPr>
        <w:t>m³。</w:t>
      </w:r>
    </w:p>
    <w:p>
      <w:pPr>
        <w:pStyle w:val="69"/>
        <w:rPr>
          <w:color w:val="auto"/>
          <w:highlight w:val="none"/>
        </w:rPr>
      </w:pPr>
      <w:r>
        <w:rPr>
          <w:color w:val="auto"/>
          <w:highlight w:val="none"/>
        </w:rPr>
        <w:t>5.3.4 管线工程区</w:t>
      </w:r>
    </w:p>
    <w:p>
      <w:pPr>
        <w:pStyle w:val="56"/>
        <w:ind w:firstLine="480"/>
        <w:rPr>
          <w:color w:val="auto"/>
          <w:highlight w:val="none"/>
        </w:rPr>
      </w:pPr>
      <w:r>
        <w:rPr>
          <w:color w:val="auto"/>
          <w:highlight w:val="none"/>
        </w:rPr>
        <w:t>管线工程区在施工期间对管沟开挖临时堆土采取防尘网苫盖，后期对施工迹地平整。</w:t>
      </w:r>
    </w:p>
    <w:p>
      <w:pPr>
        <w:pStyle w:val="56"/>
        <w:ind w:firstLine="480"/>
        <w:rPr>
          <w:color w:val="auto"/>
          <w:highlight w:val="none"/>
        </w:rPr>
      </w:pPr>
      <w:r>
        <w:rPr>
          <w:color w:val="auto"/>
          <w:highlight w:val="none"/>
        </w:rPr>
        <w:t>（1）工程措施</w:t>
      </w:r>
    </w:p>
    <w:p>
      <w:pPr>
        <w:pStyle w:val="56"/>
        <w:ind w:firstLine="480"/>
        <w:rPr>
          <w:color w:val="auto"/>
          <w:highlight w:val="none"/>
        </w:rPr>
      </w:pPr>
      <w:r>
        <w:rPr>
          <w:color w:val="auto"/>
          <w:highlight w:val="none"/>
        </w:rPr>
        <w:t>1）土地平整（主体已列</w:t>
      </w:r>
      <w:r>
        <w:rPr>
          <w:rFonts w:hint="eastAsia"/>
          <w:color w:val="auto"/>
          <w:highlight w:val="none"/>
          <w:lang w:eastAsia="zh-CN"/>
        </w:rPr>
        <w:t>未实施</w:t>
      </w:r>
      <w:r>
        <w:rPr>
          <w:color w:val="auto"/>
          <w:highlight w:val="none"/>
        </w:rPr>
        <w:t>）：管线铺设完成后，主体对施工迹地区域采取土地平整，清理建筑垃圾及堆置的建筑材料，平整面积共0.</w:t>
      </w:r>
      <w:r>
        <w:rPr>
          <w:rFonts w:hint="eastAsia"/>
          <w:color w:val="auto"/>
          <w:highlight w:val="none"/>
          <w:lang w:val="en-US" w:eastAsia="zh-CN"/>
        </w:rPr>
        <w:t>50</w:t>
      </w:r>
      <w:r>
        <w:rPr>
          <w:color w:val="auto"/>
          <w:highlight w:val="none"/>
        </w:rPr>
        <w:t>hm²。</w:t>
      </w:r>
    </w:p>
    <w:p>
      <w:pPr>
        <w:pStyle w:val="56"/>
        <w:ind w:firstLine="480"/>
        <w:rPr>
          <w:color w:val="auto"/>
          <w:highlight w:val="none"/>
        </w:rPr>
      </w:pPr>
      <w:r>
        <w:rPr>
          <w:color w:val="auto"/>
          <w:highlight w:val="none"/>
        </w:rPr>
        <w:t>（2）临时措施</w:t>
      </w:r>
    </w:p>
    <w:p>
      <w:pPr>
        <w:pStyle w:val="56"/>
        <w:ind w:firstLine="480"/>
        <w:rPr>
          <w:color w:val="auto"/>
          <w:highlight w:val="none"/>
        </w:rPr>
      </w:pPr>
      <w:r>
        <w:rPr>
          <w:color w:val="auto"/>
          <w:highlight w:val="none"/>
        </w:rPr>
        <w:t>1）防尘网苫盖（方案新增）：施工期间对管沟开挖临时堆土采取防尘网苫盖，防尘网苫盖共计</w:t>
      </w:r>
      <w:r>
        <w:rPr>
          <w:rFonts w:hint="eastAsia"/>
          <w:color w:val="auto"/>
          <w:highlight w:val="none"/>
          <w:lang w:val="en-US" w:eastAsia="zh-CN"/>
        </w:rPr>
        <w:t>8</w:t>
      </w:r>
      <w:r>
        <w:rPr>
          <w:color w:val="auto"/>
          <w:highlight w:val="none"/>
        </w:rPr>
        <w:t>00m²。</w:t>
      </w:r>
    </w:p>
    <w:p>
      <w:pPr>
        <w:pStyle w:val="69"/>
        <w:rPr>
          <w:color w:val="auto"/>
          <w:highlight w:val="none"/>
        </w:rPr>
      </w:pPr>
      <w:r>
        <w:rPr>
          <w:color w:val="auto"/>
          <w:highlight w:val="none"/>
        </w:rPr>
        <w:t>5.3.5 施工生产区</w:t>
      </w:r>
    </w:p>
    <w:p>
      <w:pPr>
        <w:pStyle w:val="56"/>
        <w:ind w:firstLine="480"/>
        <w:rPr>
          <w:color w:val="auto"/>
          <w:highlight w:val="none"/>
        </w:rPr>
      </w:pPr>
      <w:r>
        <w:rPr>
          <w:color w:val="auto"/>
          <w:highlight w:val="none"/>
        </w:rPr>
        <w:t>施工生产区施工期间对北侧占地边界采取彩钢板围栏，施工后期对施工迹地采取土地平整。</w:t>
      </w:r>
    </w:p>
    <w:p>
      <w:pPr>
        <w:pStyle w:val="56"/>
        <w:ind w:firstLine="480"/>
        <w:rPr>
          <w:color w:val="auto"/>
          <w:highlight w:val="none"/>
        </w:rPr>
      </w:pPr>
      <w:r>
        <w:rPr>
          <w:color w:val="auto"/>
          <w:highlight w:val="none"/>
        </w:rPr>
        <w:t>（1）工程措施</w:t>
      </w:r>
    </w:p>
    <w:p>
      <w:pPr>
        <w:pStyle w:val="56"/>
        <w:ind w:firstLine="480"/>
        <w:rPr>
          <w:color w:val="auto"/>
          <w:highlight w:val="none"/>
        </w:rPr>
      </w:pPr>
      <w:r>
        <w:rPr>
          <w:color w:val="auto"/>
          <w:highlight w:val="none"/>
        </w:rPr>
        <w:t>土地平整（主体已列</w:t>
      </w:r>
      <w:r>
        <w:rPr>
          <w:rFonts w:hint="eastAsia"/>
          <w:color w:val="auto"/>
          <w:highlight w:val="none"/>
          <w:lang w:eastAsia="zh-CN"/>
        </w:rPr>
        <w:t>未实施</w:t>
      </w:r>
      <w:r>
        <w:rPr>
          <w:color w:val="auto"/>
          <w:highlight w:val="none"/>
        </w:rPr>
        <w:t>）：工程建设完成后，主体对施工迹地区域采取土地平整，清理建筑垃圾及堆置的建筑材料，平整面积共0.3</w:t>
      </w:r>
      <w:r>
        <w:rPr>
          <w:rFonts w:hint="eastAsia"/>
          <w:color w:val="auto"/>
          <w:highlight w:val="none"/>
          <w:lang w:val="en-US" w:eastAsia="zh-CN"/>
        </w:rPr>
        <w:t>0</w:t>
      </w:r>
      <w:r>
        <w:rPr>
          <w:color w:val="auto"/>
          <w:highlight w:val="none"/>
        </w:rPr>
        <w:t>hm²。</w:t>
      </w:r>
    </w:p>
    <w:p>
      <w:pPr>
        <w:pStyle w:val="56"/>
        <w:ind w:firstLine="480"/>
        <w:rPr>
          <w:color w:val="auto"/>
          <w:highlight w:val="none"/>
        </w:rPr>
      </w:pPr>
      <w:r>
        <w:rPr>
          <w:color w:val="auto"/>
          <w:highlight w:val="none"/>
        </w:rPr>
        <w:t>（2）临时措施</w:t>
      </w:r>
    </w:p>
    <w:p>
      <w:pPr>
        <w:pStyle w:val="56"/>
        <w:ind w:firstLine="480"/>
        <w:rPr>
          <w:color w:val="auto"/>
          <w:highlight w:val="none"/>
        </w:rPr>
      </w:pPr>
      <w:r>
        <w:rPr>
          <w:color w:val="auto"/>
          <w:highlight w:val="none"/>
        </w:rPr>
        <w:t>彩钢板围栏（</w:t>
      </w:r>
      <w:r>
        <w:rPr>
          <w:rFonts w:hint="eastAsia"/>
          <w:color w:val="auto"/>
          <w:highlight w:val="none"/>
          <w:lang w:eastAsia="zh-CN"/>
        </w:rPr>
        <w:t>方案新增</w:t>
      </w:r>
      <w:r>
        <w:rPr>
          <w:color w:val="auto"/>
          <w:highlight w:val="none"/>
        </w:rPr>
        <w:t>）：施工期间，在项目施工生产区占地边界周围布置彩钢板围栏，彩钢板围栏共计</w:t>
      </w:r>
      <w:r>
        <w:rPr>
          <w:rFonts w:hint="eastAsia"/>
          <w:color w:val="auto"/>
          <w:highlight w:val="none"/>
          <w:lang w:val="en-US" w:eastAsia="zh-CN"/>
        </w:rPr>
        <w:t>200</w:t>
      </w:r>
      <w:r>
        <w:rPr>
          <w:color w:val="auto"/>
          <w:highlight w:val="none"/>
        </w:rPr>
        <w:t>m。</w:t>
      </w:r>
    </w:p>
    <w:p>
      <w:pPr>
        <w:pStyle w:val="69"/>
        <w:rPr>
          <w:color w:val="auto"/>
          <w:highlight w:val="none"/>
        </w:rPr>
      </w:pPr>
      <w:r>
        <w:rPr>
          <w:color w:val="auto"/>
          <w:highlight w:val="none"/>
        </w:rPr>
        <w:t>5.3.6 工程量汇总</w:t>
      </w:r>
    </w:p>
    <w:p>
      <w:pPr>
        <w:pStyle w:val="56"/>
        <w:ind w:firstLine="480"/>
        <w:rPr>
          <w:color w:val="auto"/>
          <w:highlight w:val="none"/>
        </w:rPr>
      </w:pPr>
      <w:r>
        <w:rPr>
          <w:color w:val="auto"/>
          <w:highlight w:val="none"/>
        </w:rPr>
        <w:t>本项目水土保持措施工程量汇总见表5.3-2。</w:t>
      </w:r>
    </w:p>
    <w:p>
      <w:pPr>
        <w:pStyle w:val="75"/>
        <w:rPr>
          <w:color w:val="auto"/>
          <w:highlight w:val="none"/>
        </w:rPr>
      </w:pPr>
      <w:r>
        <w:rPr>
          <w:color w:val="auto"/>
          <w:highlight w:val="none"/>
        </w:rPr>
        <w:t>表5.3-2     各防治区水土保持措施工程量汇总表</w:t>
      </w:r>
    </w:p>
    <w:tbl>
      <w:tblPr>
        <w:tblStyle w:val="27"/>
        <w:tblW w:w="500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94"/>
        <w:gridCol w:w="1394"/>
        <w:gridCol w:w="2248"/>
        <w:gridCol w:w="953"/>
        <w:gridCol w:w="1113"/>
        <w:gridCol w:w="19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768" w:type="pct"/>
            <w:shd w:val="clear" w:color="auto" w:fill="auto"/>
            <w:vAlign w:val="center"/>
          </w:tcPr>
          <w:p>
            <w:pPr>
              <w:pStyle w:val="84"/>
              <w:rPr>
                <w:color w:val="auto"/>
                <w:highlight w:val="none"/>
              </w:rPr>
            </w:pPr>
            <w:r>
              <w:rPr>
                <w:color w:val="auto"/>
                <w:highlight w:val="none"/>
              </w:rPr>
              <w:t>防治分区</w:t>
            </w:r>
          </w:p>
        </w:tc>
        <w:tc>
          <w:tcPr>
            <w:tcW w:w="768" w:type="pct"/>
            <w:shd w:val="clear" w:color="auto" w:fill="auto"/>
            <w:vAlign w:val="center"/>
          </w:tcPr>
          <w:p>
            <w:pPr>
              <w:pStyle w:val="84"/>
              <w:rPr>
                <w:color w:val="auto"/>
                <w:highlight w:val="none"/>
              </w:rPr>
            </w:pPr>
            <w:r>
              <w:rPr>
                <w:color w:val="auto"/>
                <w:highlight w:val="none"/>
              </w:rPr>
              <w:t>措施类型</w:t>
            </w:r>
          </w:p>
        </w:tc>
        <w:tc>
          <w:tcPr>
            <w:tcW w:w="1238" w:type="pct"/>
            <w:shd w:val="clear" w:color="auto" w:fill="auto"/>
            <w:vAlign w:val="center"/>
          </w:tcPr>
          <w:p>
            <w:pPr>
              <w:pStyle w:val="84"/>
              <w:rPr>
                <w:color w:val="auto"/>
                <w:highlight w:val="none"/>
              </w:rPr>
            </w:pPr>
            <w:r>
              <w:rPr>
                <w:color w:val="auto"/>
                <w:highlight w:val="none"/>
              </w:rPr>
              <w:t>措施名称</w:t>
            </w:r>
          </w:p>
        </w:tc>
        <w:tc>
          <w:tcPr>
            <w:tcW w:w="525" w:type="pct"/>
            <w:shd w:val="clear" w:color="auto" w:fill="auto"/>
            <w:vAlign w:val="center"/>
          </w:tcPr>
          <w:p>
            <w:pPr>
              <w:pStyle w:val="84"/>
              <w:rPr>
                <w:color w:val="auto"/>
                <w:highlight w:val="none"/>
              </w:rPr>
            </w:pPr>
            <w:r>
              <w:rPr>
                <w:color w:val="auto"/>
                <w:highlight w:val="none"/>
              </w:rPr>
              <w:t>单位</w:t>
            </w:r>
          </w:p>
        </w:tc>
        <w:tc>
          <w:tcPr>
            <w:tcW w:w="613" w:type="pct"/>
            <w:shd w:val="clear" w:color="auto" w:fill="auto"/>
            <w:vAlign w:val="center"/>
          </w:tcPr>
          <w:p>
            <w:pPr>
              <w:pStyle w:val="84"/>
              <w:rPr>
                <w:color w:val="auto"/>
                <w:highlight w:val="none"/>
              </w:rPr>
            </w:pPr>
            <w:r>
              <w:rPr>
                <w:color w:val="auto"/>
                <w:highlight w:val="none"/>
              </w:rPr>
              <w:t>工程量</w:t>
            </w:r>
          </w:p>
        </w:tc>
        <w:tc>
          <w:tcPr>
            <w:tcW w:w="1085" w:type="pct"/>
            <w:shd w:val="clear" w:color="auto" w:fill="auto"/>
            <w:vAlign w:val="center"/>
          </w:tcPr>
          <w:p>
            <w:pPr>
              <w:pStyle w:val="84"/>
              <w:rPr>
                <w:color w:val="auto"/>
                <w:highlight w:val="none"/>
              </w:rPr>
            </w:pPr>
            <w:r>
              <w:rPr>
                <w:color w:val="auto"/>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768" w:type="pct"/>
            <w:vMerge w:val="restart"/>
            <w:vAlign w:val="center"/>
          </w:tcPr>
          <w:p>
            <w:pPr>
              <w:pStyle w:val="84"/>
              <w:rPr>
                <w:rFonts w:hint="eastAsia" w:eastAsia="仿宋_GB2312"/>
                <w:color w:val="auto"/>
                <w:highlight w:val="none"/>
                <w:lang w:eastAsia="zh-CN"/>
              </w:rPr>
            </w:pPr>
            <w:r>
              <w:rPr>
                <w:rFonts w:hint="eastAsia"/>
                <w:color w:val="auto"/>
                <w:highlight w:val="none"/>
                <w:lang w:eastAsia="zh-CN"/>
              </w:rPr>
              <w:t>建构筑物区</w:t>
            </w:r>
          </w:p>
        </w:tc>
        <w:tc>
          <w:tcPr>
            <w:tcW w:w="768" w:type="pct"/>
            <w:vMerge w:val="restart"/>
            <w:shd w:val="clear" w:color="auto" w:fill="auto"/>
            <w:vAlign w:val="center"/>
          </w:tcPr>
          <w:p>
            <w:pPr>
              <w:pStyle w:val="84"/>
              <w:rPr>
                <w:color w:val="auto"/>
                <w:highlight w:val="none"/>
              </w:rPr>
            </w:pPr>
            <w:r>
              <w:rPr>
                <w:color w:val="auto"/>
                <w:highlight w:val="none"/>
              </w:rPr>
              <w:t>临时措施</w:t>
            </w:r>
          </w:p>
        </w:tc>
        <w:tc>
          <w:tcPr>
            <w:tcW w:w="1238" w:type="pct"/>
            <w:shd w:val="clear" w:color="auto" w:fill="auto"/>
            <w:vAlign w:val="center"/>
          </w:tcPr>
          <w:p>
            <w:pPr>
              <w:pStyle w:val="84"/>
              <w:rPr>
                <w:color w:val="auto"/>
                <w:highlight w:val="none"/>
              </w:rPr>
            </w:pPr>
            <w:r>
              <w:rPr>
                <w:color w:val="auto"/>
                <w:highlight w:val="none"/>
              </w:rPr>
              <w:t>防尘网苫盖</w:t>
            </w:r>
          </w:p>
        </w:tc>
        <w:tc>
          <w:tcPr>
            <w:tcW w:w="525" w:type="pct"/>
            <w:shd w:val="clear" w:color="auto" w:fill="auto"/>
            <w:vAlign w:val="center"/>
          </w:tcPr>
          <w:p>
            <w:pPr>
              <w:pStyle w:val="84"/>
              <w:rPr>
                <w:color w:val="auto"/>
                <w:highlight w:val="none"/>
              </w:rPr>
            </w:pPr>
            <w:r>
              <w:rPr>
                <w:color w:val="auto"/>
                <w:highlight w:val="none"/>
              </w:rPr>
              <w:t>m</w:t>
            </w:r>
            <w:r>
              <w:rPr>
                <w:rFonts w:eastAsia="宋体"/>
                <w:color w:val="auto"/>
                <w:highlight w:val="none"/>
              </w:rPr>
              <w:t>²</w:t>
            </w:r>
          </w:p>
        </w:tc>
        <w:tc>
          <w:tcPr>
            <w:tcW w:w="1114" w:type="dxa"/>
            <w:shd w:val="clear" w:color="auto" w:fill="auto"/>
            <w:vAlign w:val="center"/>
          </w:tcPr>
          <w:p>
            <w:pPr>
              <w:pStyle w:val="84"/>
              <w:bidi w:val="0"/>
              <w:rPr>
                <w:color w:val="auto"/>
                <w:highlight w:val="none"/>
              </w:rPr>
            </w:pPr>
            <w:r>
              <w:rPr>
                <w:rFonts w:hint="default"/>
                <w:color w:val="auto"/>
                <w:highlight w:val="none"/>
                <w:lang w:val="en-US" w:eastAsia="zh-CN"/>
              </w:rPr>
              <w:t xml:space="preserve">800 </w:t>
            </w:r>
          </w:p>
        </w:tc>
        <w:tc>
          <w:tcPr>
            <w:tcW w:w="1969" w:type="dxa"/>
            <w:shd w:val="clear" w:color="auto" w:fill="auto"/>
            <w:vAlign w:val="center"/>
          </w:tcPr>
          <w:p>
            <w:pPr>
              <w:pStyle w:val="84"/>
              <w:bidi w:val="0"/>
              <w:rPr>
                <w:color w:val="auto"/>
                <w:highlight w:val="none"/>
              </w:rPr>
            </w:pPr>
            <w:r>
              <w:rPr>
                <w:rFonts w:hint="eastAsia"/>
                <w:color w:val="auto"/>
                <w:highlight w:val="none"/>
                <w:lang w:val="en-US" w:eastAsia="zh-CN"/>
              </w:rPr>
              <w:t>方案新增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768" w:type="pct"/>
            <w:vMerge w:val="continue"/>
            <w:vAlign w:val="center"/>
          </w:tcPr>
          <w:p>
            <w:pPr>
              <w:pStyle w:val="84"/>
              <w:rPr>
                <w:color w:val="auto"/>
                <w:highlight w:val="none"/>
              </w:rPr>
            </w:pPr>
          </w:p>
        </w:tc>
        <w:tc>
          <w:tcPr>
            <w:tcW w:w="768" w:type="pct"/>
            <w:vMerge w:val="continue"/>
            <w:vAlign w:val="center"/>
          </w:tcPr>
          <w:p>
            <w:pPr>
              <w:pStyle w:val="84"/>
              <w:rPr>
                <w:color w:val="auto"/>
                <w:highlight w:val="none"/>
              </w:rPr>
            </w:pPr>
          </w:p>
        </w:tc>
        <w:tc>
          <w:tcPr>
            <w:tcW w:w="1238" w:type="pct"/>
            <w:shd w:val="clear" w:color="auto" w:fill="auto"/>
            <w:vAlign w:val="center"/>
          </w:tcPr>
          <w:p>
            <w:pPr>
              <w:pStyle w:val="84"/>
              <w:rPr>
                <w:color w:val="auto"/>
                <w:highlight w:val="none"/>
              </w:rPr>
            </w:pPr>
            <w:r>
              <w:rPr>
                <w:color w:val="auto"/>
                <w:highlight w:val="none"/>
              </w:rPr>
              <w:t>彩钢板围栏</w:t>
            </w:r>
          </w:p>
        </w:tc>
        <w:tc>
          <w:tcPr>
            <w:tcW w:w="525" w:type="pct"/>
            <w:shd w:val="clear" w:color="auto" w:fill="auto"/>
            <w:vAlign w:val="center"/>
          </w:tcPr>
          <w:p>
            <w:pPr>
              <w:pStyle w:val="84"/>
              <w:rPr>
                <w:color w:val="auto"/>
                <w:highlight w:val="none"/>
              </w:rPr>
            </w:pPr>
            <w:r>
              <w:rPr>
                <w:color w:val="auto"/>
                <w:highlight w:val="none"/>
              </w:rPr>
              <w:t>m</w:t>
            </w:r>
          </w:p>
        </w:tc>
        <w:tc>
          <w:tcPr>
            <w:tcW w:w="1114" w:type="dxa"/>
            <w:shd w:val="clear" w:color="auto" w:fill="auto"/>
            <w:vAlign w:val="center"/>
          </w:tcPr>
          <w:p>
            <w:pPr>
              <w:pStyle w:val="84"/>
              <w:bidi w:val="0"/>
              <w:rPr>
                <w:color w:val="auto"/>
                <w:highlight w:val="none"/>
              </w:rPr>
            </w:pPr>
            <w:r>
              <w:rPr>
                <w:rFonts w:hint="default"/>
                <w:color w:val="auto"/>
                <w:highlight w:val="none"/>
                <w:lang w:val="en-US" w:eastAsia="zh-CN"/>
              </w:rPr>
              <w:t xml:space="preserve">800 </w:t>
            </w:r>
          </w:p>
        </w:tc>
        <w:tc>
          <w:tcPr>
            <w:tcW w:w="1969" w:type="dxa"/>
            <w:shd w:val="clear" w:color="auto" w:fill="auto"/>
            <w:vAlign w:val="center"/>
          </w:tcPr>
          <w:p>
            <w:pPr>
              <w:pStyle w:val="84"/>
              <w:bidi w:val="0"/>
              <w:rPr>
                <w:color w:val="auto"/>
                <w:highlight w:val="none"/>
              </w:rPr>
            </w:pPr>
            <w:r>
              <w:rPr>
                <w:rFonts w:hint="eastAsia"/>
                <w:color w:val="auto"/>
                <w:highlight w:val="none"/>
                <w:lang w:val="en-US" w:eastAsia="zh-CN"/>
              </w:rPr>
              <w:t>主体已列已实施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768" w:type="pct"/>
            <w:vMerge w:val="restart"/>
            <w:shd w:val="clear" w:color="auto" w:fill="auto"/>
            <w:vAlign w:val="center"/>
          </w:tcPr>
          <w:p>
            <w:pPr>
              <w:pStyle w:val="84"/>
              <w:rPr>
                <w:color w:val="auto"/>
                <w:highlight w:val="none"/>
              </w:rPr>
            </w:pPr>
            <w:r>
              <w:rPr>
                <w:color w:val="auto"/>
                <w:highlight w:val="none"/>
              </w:rPr>
              <w:t>绿化区</w:t>
            </w:r>
          </w:p>
        </w:tc>
        <w:tc>
          <w:tcPr>
            <w:tcW w:w="768" w:type="pct"/>
            <w:vMerge w:val="restart"/>
            <w:shd w:val="clear" w:color="auto" w:fill="auto"/>
            <w:vAlign w:val="center"/>
          </w:tcPr>
          <w:p>
            <w:pPr>
              <w:pStyle w:val="84"/>
              <w:rPr>
                <w:color w:val="auto"/>
                <w:highlight w:val="none"/>
              </w:rPr>
            </w:pPr>
            <w:r>
              <w:rPr>
                <w:color w:val="auto"/>
                <w:highlight w:val="none"/>
              </w:rPr>
              <w:t>工程措施</w:t>
            </w:r>
          </w:p>
        </w:tc>
        <w:tc>
          <w:tcPr>
            <w:tcW w:w="1238" w:type="pct"/>
            <w:shd w:val="clear" w:color="auto" w:fill="auto"/>
            <w:vAlign w:val="center"/>
          </w:tcPr>
          <w:p>
            <w:pPr>
              <w:pStyle w:val="84"/>
              <w:rPr>
                <w:color w:val="auto"/>
                <w:highlight w:val="none"/>
              </w:rPr>
            </w:pPr>
            <w:r>
              <w:rPr>
                <w:color w:val="auto"/>
                <w:highlight w:val="none"/>
              </w:rPr>
              <w:t>土地平整</w:t>
            </w:r>
          </w:p>
        </w:tc>
        <w:tc>
          <w:tcPr>
            <w:tcW w:w="525" w:type="pct"/>
            <w:shd w:val="clear" w:color="auto" w:fill="auto"/>
            <w:vAlign w:val="center"/>
          </w:tcPr>
          <w:p>
            <w:pPr>
              <w:pStyle w:val="84"/>
              <w:rPr>
                <w:color w:val="auto"/>
                <w:highlight w:val="none"/>
              </w:rPr>
            </w:pPr>
            <w:r>
              <w:rPr>
                <w:color w:val="auto"/>
                <w:highlight w:val="none"/>
              </w:rPr>
              <w:t>hm</w:t>
            </w:r>
            <w:r>
              <w:rPr>
                <w:rFonts w:eastAsia="宋体"/>
                <w:color w:val="auto"/>
                <w:highlight w:val="none"/>
              </w:rPr>
              <w:t>²</w:t>
            </w:r>
          </w:p>
        </w:tc>
        <w:tc>
          <w:tcPr>
            <w:tcW w:w="1114" w:type="dxa"/>
            <w:shd w:val="clear" w:color="auto" w:fill="auto"/>
            <w:vAlign w:val="center"/>
          </w:tcPr>
          <w:p>
            <w:pPr>
              <w:pStyle w:val="84"/>
              <w:bidi w:val="0"/>
              <w:rPr>
                <w:color w:val="auto"/>
                <w:highlight w:val="none"/>
              </w:rPr>
            </w:pPr>
            <w:r>
              <w:rPr>
                <w:rFonts w:hint="default"/>
                <w:color w:val="auto"/>
                <w:highlight w:val="none"/>
                <w:lang w:val="en-US" w:eastAsia="zh-CN"/>
              </w:rPr>
              <w:t xml:space="preserve">1.20 </w:t>
            </w:r>
          </w:p>
        </w:tc>
        <w:tc>
          <w:tcPr>
            <w:tcW w:w="1969" w:type="dxa"/>
            <w:shd w:val="clear" w:color="auto" w:fill="auto"/>
            <w:vAlign w:val="center"/>
          </w:tcPr>
          <w:p>
            <w:pPr>
              <w:pStyle w:val="84"/>
              <w:bidi w:val="0"/>
              <w:rPr>
                <w:color w:val="auto"/>
                <w:highlight w:val="none"/>
              </w:rPr>
            </w:pPr>
            <w:r>
              <w:rPr>
                <w:rFonts w:hint="eastAsia"/>
                <w:color w:val="auto"/>
                <w:highlight w:val="none"/>
                <w:lang w:val="en-US" w:eastAsia="zh-CN"/>
              </w:rPr>
              <w:t>主体已列未实施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768" w:type="pct"/>
            <w:vMerge w:val="continue"/>
            <w:vAlign w:val="center"/>
          </w:tcPr>
          <w:p>
            <w:pPr>
              <w:pStyle w:val="84"/>
              <w:rPr>
                <w:color w:val="auto"/>
                <w:highlight w:val="none"/>
              </w:rPr>
            </w:pPr>
          </w:p>
        </w:tc>
        <w:tc>
          <w:tcPr>
            <w:tcW w:w="768" w:type="pct"/>
            <w:vMerge w:val="continue"/>
            <w:vAlign w:val="center"/>
          </w:tcPr>
          <w:p>
            <w:pPr>
              <w:pStyle w:val="84"/>
              <w:rPr>
                <w:color w:val="auto"/>
                <w:highlight w:val="none"/>
              </w:rPr>
            </w:pPr>
          </w:p>
        </w:tc>
        <w:tc>
          <w:tcPr>
            <w:tcW w:w="1238" w:type="pct"/>
            <w:shd w:val="clear" w:color="auto" w:fill="auto"/>
            <w:vAlign w:val="center"/>
          </w:tcPr>
          <w:p>
            <w:pPr>
              <w:pStyle w:val="84"/>
              <w:rPr>
                <w:color w:val="auto"/>
                <w:highlight w:val="none"/>
              </w:rPr>
            </w:pPr>
            <w:r>
              <w:rPr>
                <w:color w:val="auto"/>
                <w:highlight w:val="none"/>
              </w:rPr>
              <w:t>全面整地</w:t>
            </w:r>
          </w:p>
        </w:tc>
        <w:tc>
          <w:tcPr>
            <w:tcW w:w="525" w:type="pct"/>
            <w:shd w:val="clear" w:color="auto" w:fill="auto"/>
            <w:vAlign w:val="center"/>
          </w:tcPr>
          <w:p>
            <w:pPr>
              <w:pStyle w:val="84"/>
              <w:rPr>
                <w:color w:val="auto"/>
                <w:highlight w:val="none"/>
              </w:rPr>
            </w:pPr>
            <w:r>
              <w:rPr>
                <w:color w:val="auto"/>
                <w:highlight w:val="none"/>
              </w:rPr>
              <w:t>hm</w:t>
            </w:r>
            <w:r>
              <w:rPr>
                <w:rFonts w:eastAsia="宋体"/>
                <w:color w:val="auto"/>
                <w:highlight w:val="none"/>
              </w:rPr>
              <w:t>²</w:t>
            </w:r>
          </w:p>
        </w:tc>
        <w:tc>
          <w:tcPr>
            <w:tcW w:w="1114" w:type="dxa"/>
            <w:shd w:val="clear" w:color="auto" w:fill="auto"/>
            <w:vAlign w:val="center"/>
          </w:tcPr>
          <w:p>
            <w:pPr>
              <w:pStyle w:val="84"/>
              <w:bidi w:val="0"/>
              <w:rPr>
                <w:color w:val="auto"/>
                <w:highlight w:val="none"/>
              </w:rPr>
            </w:pPr>
            <w:r>
              <w:rPr>
                <w:rFonts w:hint="default"/>
                <w:color w:val="auto"/>
                <w:highlight w:val="none"/>
                <w:lang w:val="en-US" w:eastAsia="zh-CN"/>
              </w:rPr>
              <w:t xml:space="preserve">1.20 </w:t>
            </w:r>
          </w:p>
        </w:tc>
        <w:tc>
          <w:tcPr>
            <w:tcW w:w="1969" w:type="dxa"/>
            <w:shd w:val="clear" w:color="auto" w:fill="auto"/>
            <w:vAlign w:val="center"/>
          </w:tcPr>
          <w:p>
            <w:pPr>
              <w:pStyle w:val="84"/>
              <w:bidi w:val="0"/>
              <w:rPr>
                <w:color w:val="auto"/>
                <w:highlight w:val="none"/>
              </w:rPr>
            </w:pPr>
            <w:r>
              <w:rPr>
                <w:rFonts w:hint="eastAsia"/>
                <w:color w:val="auto"/>
                <w:highlight w:val="none"/>
                <w:lang w:val="en-US" w:eastAsia="zh-CN"/>
              </w:rPr>
              <w:t>方案新增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768" w:type="pct"/>
            <w:vMerge w:val="continue"/>
            <w:vAlign w:val="center"/>
          </w:tcPr>
          <w:p>
            <w:pPr>
              <w:pStyle w:val="84"/>
              <w:rPr>
                <w:color w:val="auto"/>
                <w:highlight w:val="none"/>
              </w:rPr>
            </w:pPr>
          </w:p>
        </w:tc>
        <w:tc>
          <w:tcPr>
            <w:tcW w:w="768" w:type="pct"/>
            <w:vMerge w:val="restart"/>
            <w:shd w:val="clear" w:color="auto" w:fill="auto"/>
            <w:vAlign w:val="center"/>
          </w:tcPr>
          <w:p>
            <w:pPr>
              <w:pStyle w:val="84"/>
              <w:rPr>
                <w:color w:val="auto"/>
                <w:highlight w:val="none"/>
              </w:rPr>
            </w:pPr>
            <w:r>
              <w:rPr>
                <w:color w:val="auto"/>
                <w:highlight w:val="none"/>
              </w:rPr>
              <w:t>植物措施</w:t>
            </w:r>
          </w:p>
        </w:tc>
        <w:tc>
          <w:tcPr>
            <w:tcW w:w="1238" w:type="pct"/>
            <w:shd w:val="clear" w:color="auto" w:fill="auto"/>
            <w:vAlign w:val="center"/>
          </w:tcPr>
          <w:p>
            <w:pPr>
              <w:pStyle w:val="84"/>
              <w:rPr>
                <w:color w:val="auto"/>
                <w:highlight w:val="none"/>
              </w:rPr>
            </w:pPr>
            <w:r>
              <w:rPr>
                <w:color w:val="auto"/>
                <w:highlight w:val="none"/>
              </w:rPr>
              <w:t>景观绿化</w:t>
            </w:r>
          </w:p>
        </w:tc>
        <w:tc>
          <w:tcPr>
            <w:tcW w:w="525" w:type="pct"/>
            <w:shd w:val="clear" w:color="auto" w:fill="auto"/>
            <w:vAlign w:val="center"/>
          </w:tcPr>
          <w:p>
            <w:pPr>
              <w:pStyle w:val="84"/>
              <w:rPr>
                <w:color w:val="auto"/>
                <w:highlight w:val="none"/>
              </w:rPr>
            </w:pPr>
            <w:r>
              <w:rPr>
                <w:color w:val="auto"/>
                <w:highlight w:val="none"/>
              </w:rPr>
              <w:t>hm</w:t>
            </w:r>
            <w:r>
              <w:rPr>
                <w:rFonts w:eastAsia="宋体"/>
                <w:color w:val="auto"/>
                <w:highlight w:val="none"/>
              </w:rPr>
              <w:t>²</w:t>
            </w:r>
          </w:p>
        </w:tc>
        <w:tc>
          <w:tcPr>
            <w:tcW w:w="1114" w:type="dxa"/>
            <w:shd w:val="clear" w:color="auto" w:fill="auto"/>
            <w:vAlign w:val="center"/>
          </w:tcPr>
          <w:p>
            <w:pPr>
              <w:pStyle w:val="84"/>
              <w:bidi w:val="0"/>
              <w:rPr>
                <w:color w:val="auto"/>
                <w:highlight w:val="none"/>
              </w:rPr>
            </w:pPr>
            <w:r>
              <w:rPr>
                <w:rFonts w:hint="default"/>
                <w:color w:val="auto"/>
                <w:highlight w:val="none"/>
                <w:lang w:val="en-US" w:eastAsia="zh-CN"/>
              </w:rPr>
              <w:t xml:space="preserve">1.20 </w:t>
            </w:r>
          </w:p>
        </w:tc>
        <w:tc>
          <w:tcPr>
            <w:tcW w:w="1969" w:type="dxa"/>
            <w:shd w:val="clear" w:color="auto" w:fill="auto"/>
            <w:vAlign w:val="center"/>
          </w:tcPr>
          <w:p>
            <w:pPr>
              <w:pStyle w:val="84"/>
              <w:bidi w:val="0"/>
              <w:rPr>
                <w:color w:val="auto"/>
                <w:highlight w:val="none"/>
              </w:rPr>
            </w:pPr>
            <w:r>
              <w:rPr>
                <w:rFonts w:hint="eastAsia"/>
                <w:color w:val="auto"/>
                <w:highlight w:val="none"/>
                <w:lang w:val="en-US" w:eastAsia="zh-CN"/>
              </w:rPr>
              <w:t>主体已列未实施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768" w:type="pct"/>
            <w:vMerge w:val="continue"/>
            <w:vAlign w:val="center"/>
          </w:tcPr>
          <w:p>
            <w:pPr>
              <w:pStyle w:val="84"/>
              <w:rPr>
                <w:color w:val="auto"/>
                <w:highlight w:val="none"/>
              </w:rPr>
            </w:pPr>
          </w:p>
        </w:tc>
        <w:tc>
          <w:tcPr>
            <w:tcW w:w="768" w:type="pct"/>
            <w:vMerge w:val="continue"/>
            <w:vAlign w:val="center"/>
          </w:tcPr>
          <w:p>
            <w:pPr>
              <w:pStyle w:val="84"/>
              <w:rPr>
                <w:color w:val="auto"/>
                <w:highlight w:val="none"/>
              </w:rPr>
            </w:pPr>
          </w:p>
        </w:tc>
        <w:tc>
          <w:tcPr>
            <w:tcW w:w="1238" w:type="pct"/>
            <w:shd w:val="clear" w:color="auto" w:fill="auto"/>
            <w:vAlign w:val="center"/>
          </w:tcPr>
          <w:p>
            <w:pPr>
              <w:pStyle w:val="84"/>
              <w:rPr>
                <w:color w:val="auto"/>
                <w:highlight w:val="none"/>
              </w:rPr>
            </w:pPr>
            <w:r>
              <w:rPr>
                <w:color w:val="auto"/>
                <w:highlight w:val="none"/>
              </w:rPr>
              <w:t>配套微喷灌设施-控制灌溉面积</w:t>
            </w:r>
          </w:p>
        </w:tc>
        <w:tc>
          <w:tcPr>
            <w:tcW w:w="525" w:type="pct"/>
            <w:shd w:val="clear" w:color="auto" w:fill="auto"/>
            <w:vAlign w:val="center"/>
          </w:tcPr>
          <w:p>
            <w:pPr>
              <w:pStyle w:val="84"/>
              <w:rPr>
                <w:color w:val="auto"/>
                <w:highlight w:val="none"/>
              </w:rPr>
            </w:pPr>
            <w:r>
              <w:rPr>
                <w:color w:val="auto"/>
                <w:highlight w:val="none"/>
              </w:rPr>
              <w:t>hm</w:t>
            </w:r>
            <w:r>
              <w:rPr>
                <w:rFonts w:eastAsia="宋体"/>
                <w:color w:val="auto"/>
                <w:highlight w:val="none"/>
              </w:rPr>
              <w:t>²</w:t>
            </w:r>
          </w:p>
        </w:tc>
        <w:tc>
          <w:tcPr>
            <w:tcW w:w="1114" w:type="dxa"/>
            <w:shd w:val="clear" w:color="auto" w:fill="auto"/>
            <w:vAlign w:val="center"/>
          </w:tcPr>
          <w:p>
            <w:pPr>
              <w:pStyle w:val="84"/>
              <w:bidi w:val="0"/>
              <w:rPr>
                <w:color w:val="auto"/>
                <w:highlight w:val="none"/>
              </w:rPr>
            </w:pPr>
            <w:r>
              <w:rPr>
                <w:rFonts w:hint="default"/>
                <w:color w:val="auto"/>
                <w:highlight w:val="none"/>
                <w:lang w:val="en-US" w:eastAsia="zh-CN"/>
              </w:rPr>
              <w:t xml:space="preserve">1.20 </w:t>
            </w:r>
          </w:p>
        </w:tc>
        <w:tc>
          <w:tcPr>
            <w:tcW w:w="1969" w:type="dxa"/>
            <w:shd w:val="clear" w:color="auto" w:fill="auto"/>
            <w:vAlign w:val="center"/>
          </w:tcPr>
          <w:p>
            <w:pPr>
              <w:pStyle w:val="84"/>
              <w:bidi w:val="0"/>
              <w:rPr>
                <w:color w:val="auto"/>
                <w:highlight w:val="none"/>
              </w:rPr>
            </w:pPr>
            <w:r>
              <w:rPr>
                <w:rFonts w:hint="eastAsia"/>
                <w:color w:val="auto"/>
                <w:highlight w:val="none"/>
                <w:lang w:val="en-US" w:eastAsia="zh-CN"/>
              </w:rPr>
              <w:t>主体已列未实施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768" w:type="pct"/>
            <w:vMerge w:val="restart"/>
            <w:shd w:val="clear" w:color="auto" w:fill="auto"/>
            <w:vAlign w:val="center"/>
          </w:tcPr>
          <w:p>
            <w:pPr>
              <w:pStyle w:val="84"/>
              <w:rPr>
                <w:color w:val="auto"/>
                <w:highlight w:val="none"/>
              </w:rPr>
            </w:pPr>
            <w:r>
              <w:rPr>
                <w:color w:val="auto"/>
                <w:highlight w:val="none"/>
              </w:rPr>
              <w:t>道路及硬化区</w:t>
            </w:r>
          </w:p>
        </w:tc>
        <w:tc>
          <w:tcPr>
            <w:tcW w:w="768" w:type="pct"/>
            <w:shd w:val="clear" w:color="auto" w:fill="auto"/>
            <w:vAlign w:val="center"/>
          </w:tcPr>
          <w:p>
            <w:pPr>
              <w:pStyle w:val="84"/>
              <w:rPr>
                <w:color w:val="auto"/>
                <w:highlight w:val="none"/>
              </w:rPr>
            </w:pPr>
            <w:r>
              <w:rPr>
                <w:color w:val="auto"/>
                <w:highlight w:val="none"/>
              </w:rPr>
              <w:t>工程措施</w:t>
            </w:r>
          </w:p>
        </w:tc>
        <w:tc>
          <w:tcPr>
            <w:tcW w:w="1238" w:type="pct"/>
            <w:shd w:val="clear" w:color="auto" w:fill="auto"/>
            <w:vAlign w:val="center"/>
          </w:tcPr>
          <w:p>
            <w:pPr>
              <w:pStyle w:val="84"/>
              <w:rPr>
                <w:color w:val="auto"/>
                <w:highlight w:val="none"/>
              </w:rPr>
            </w:pPr>
            <w:r>
              <w:rPr>
                <w:color w:val="auto"/>
                <w:highlight w:val="none"/>
              </w:rPr>
              <w:t>土地平整</w:t>
            </w:r>
          </w:p>
        </w:tc>
        <w:tc>
          <w:tcPr>
            <w:tcW w:w="525" w:type="pct"/>
            <w:shd w:val="clear" w:color="auto" w:fill="auto"/>
            <w:vAlign w:val="center"/>
          </w:tcPr>
          <w:p>
            <w:pPr>
              <w:pStyle w:val="84"/>
              <w:rPr>
                <w:color w:val="auto"/>
                <w:highlight w:val="none"/>
              </w:rPr>
            </w:pPr>
            <w:r>
              <w:rPr>
                <w:color w:val="auto"/>
                <w:highlight w:val="none"/>
              </w:rPr>
              <w:t>hm</w:t>
            </w:r>
            <w:r>
              <w:rPr>
                <w:rFonts w:eastAsia="宋体"/>
                <w:color w:val="auto"/>
                <w:highlight w:val="none"/>
              </w:rPr>
              <w:t>²</w:t>
            </w:r>
          </w:p>
        </w:tc>
        <w:tc>
          <w:tcPr>
            <w:tcW w:w="1114" w:type="dxa"/>
            <w:shd w:val="clear" w:color="auto" w:fill="auto"/>
            <w:vAlign w:val="center"/>
          </w:tcPr>
          <w:p>
            <w:pPr>
              <w:pStyle w:val="84"/>
              <w:bidi w:val="0"/>
              <w:rPr>
                <w:color w:val="auto"/>
                <w:highlight w:val="none"/>
              </w:rPr>
            </w:pPr>
            <w:r>
              <w:rPr>
                <w:rFonts w:hint="default"/>
                <w:color w:val="auto"/>
                <w:highlight w:val="none"/>
                <w:lang w:val="en-US" w:eastAsia="zh-CN"/>
              </w:rPr>
              <w:t xml:space="preserve">1.02 </w:t>
            </w:r>
          </w:p>
        </w:tc>
        <w:tc>
          <w:tcPr>
            <w:tcW w:w="1969" w:type="dxa"/>
            <w:shd w:val="clear" w:color="auto" w:fill="auto"/>
            <w:vAlign w:val="center"/>
          </w:tcPr>
          <w:p>
            <w:pPr>
              <w:pStyle w:val="84"/>
              <w:bidi w:val="0"/>
              <w:rPr>
                <w:color w:val="auto"/>
                <w:highlight w:val="none"/>
              </w:rPr>
            </w:pPr>
            <w:r>
              <w:rPr>
                <w:rFonts w:hint="eastAsia"/>
                <w:color w:val="auto"/>
                <w:highlight w:val="none"/>
                <w:lang w:val="en-US" w:eastAsia="zh-CN"/>
              </w:rPr>
              <w:t>主体已列未实施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768" w:type="pct"/>
            <w:vMerge w:val="continue"/>
            <w:vAlign w:val="center"/>
          </w:tcPr>
          <w:p>
            <w:pPr>
              <w:pStyle w:val="84"/>
              <w:rPr>
                <w:color w:val="auto"/>
                <w:highlight w:val="none"/>
              </w:rPr>
            </w:pPr>
          </w:p>
        </w:tc>
        <w:tc>
          <w:tcPr>
            <w:tcW w:w="768" w:type="pct"/>
            <w:shd w:val="clear" w:color="auto" w:fill="auto"/>
            <w:vAlign w:val="center"/>
          </w:tcPr>
          <w:p>
            <w:pPr>
              <w:pStyle w:val="84"/>
              <w:rPr>
                <w:color w:val="auto"/>
                <w:highlight w:val="none"/>
              </w:rPr>
            </w:pPr>
            <w:r>
              <w:rPr>
                <w:color w:val="auto"/>
                <w:highlight w:val="none"/>
              </w:rPr>
              <w:t>临时措施</w:t>
            </w:r>
          </w:p>
        </w:tc>
        <w:tc>
          <w:tcPr>
            <w:tcW w:w="1238" w:type="pct"/>
            <w:shd w:val="clear" w:color="auto" w:fill="auto"/>
            <w:vAlign w:val="center"/>
          </w:tcPr>
          <w:p>
            <w:pPr>
              <w:pStyle w:val="84"/>
              <w:rPr>
                <w:color w:val="auto"/>
                <w:highlight w:val="none"/>
              </w:rPr>
            </w:pPr>
            <w:r>
              <w:rPr>
                <w:color w:val="auto"/>
                <w:highlight w:val="none"/>
              </w:rPr>
              <w:t>洒水</w:t>
            </w:r>
          </w:p>
        </w:tc>
        <w:tc>
          <w:tcPr>
            <w:tcW w:w="525" w:type="pct"/>
            <w:shd w:val="clear" w:color="auto" w:fill="auto"/>
            <w:vAlign w:val="center"/>
          </w:tcPr>
          <w:p>
            <w:pPr>
              <w:pStyle w:val="84"/>
              <w:rPr>
                <w:color w:val="auto"/>
                <w:highlight w:val="none"/>
              </w:rPr>
            </w:pPr>
            <w:r>
              <w:rPr>
                <w:color w:val="auto"/>
                <w:highlight w:val="none"/>
              </w:rPr>
              <w:t>m</w:t>
            </w:r>
            <w:r>
              <w:rPr>
                <w:rFonts w:eastAsia="宋体"/>
                <w:color w:val="auto"/>
                <w:highlight w:val="none"/>
              </w:rPr>
              <w:t>³</w:t>
            </w:r>
          </w:p>
        </w:tc>
        <w:tc>
          <w:tcPr>
            <w:tcW w:w="1114" w:type="dxa"/>
            <w:shd w:val="clear" w:color="auto" w:fill="auto"/>
            <w:vAlign w:val="center"/>
          </w:tcPr>
          <w:p>
            <w:pPr>
              <w:pStyle w:val="84"/>
              <w:bidi w:val="0"/>
              <w:rPr>
                <w:color w:val="auto"/>
                <w:highlight w:val="none"/>
              </w:rPr>
            </w:pPr>
            <w:r>
              <w:rPr>
                <w:rFonts w:hint="default"/>
                <w:color w:val="auto"/>
                <w:highlight w:val="none"/>
                <w:lang w:val="en-US" w:eastAsia="zh-CN"/>
              </w:rPr>
              <w:t xml:space="preserve">3682.59 </w:t>
            </w:r>
          </w:p>
        </w:tc>
        <w:tc>
          <w:tcPr>
            <w:tcW w:w="1969" w:type="dxa"/>
            <w:shd w:val="clear" w:color="auto" w:fill="auto"/>
            <w:vAlign w:val="center"/>
          </w:tcPr>
          <w:p>
            <w:pPr>
              <w:pStyle w:val="84"/>
              <w:bidi w:val="0"/>
              <w:rPr>
                <w:color w:val="auto"/>
                <w:highlight w:val="none"/>
              </w:rPr>
            </w:pPr>
            <w:r>
              <w:rPr>
                <w:rFonts w:hint="eastAsia"/>
                <w:color w:val="auto"/>
                <w:highlight w:val="none"/>
                <w:lang w:val="en-US" w:eastAsia="zh-CN"/>
              </w:rPr>
              <w:t>方案新增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768" w:type="pct"/>
            <w:vMerge w:val="restart"/>
            <w:shd w:val="clear" w:color="auto" w:fill="auto"/>
            <w:vAlign w:val="center"/>
          </w:tcPr>
          <w:p>
            <w:pPr>
              <w:pStyle w:val="84"/>
              <w:rPr>
                <w:color w:val="auto"/>
                <w:highlight w:val="none"/>
              </w:rPr>
            </w:pPr>
            <w:r>
              <w:rPr>
                <w:color w:val="auto"/>
                <w:highlight w:val="none"/>
              </w:rPr>
              <w:t>管线工程区</w:t>
            </w:r>
          </w:p>
        </w:tc>
        <w:tc>
          <w:tcPr>
            <w:tcW w:w="768" w:type="pct"/>
            <w:shd w:val="clear" w:color="auto" w:fill="auto"/>
            <w:vAlign w:val="center"/>
          </w:tcPr>
          <w:p>
            <w:pPr>
              <w:pStyle w:val="84"/>
              <w:rPr>
                <w:color w:val="auto"/>
                <w:highlight w:val="none"/>
              </w:rPr>
            </w:pPr>
            <w:r>
              <w:rPr>
                <w:color w:val="auto"/>
                <w:highlight w:val="none"/>
              </w:rPr>
              <w:t>工程措施</w:t>
            </w:r>
          </w:p>
        </w:tc>
        <w:tc>
          <w:tcPr>
            <w:tcW w:w="1238" w:type="pct"/>
            <w:shd w:val="clear" w:color="auto" w:fill="auto"/>
            <w:vAlign w:val="center"/>
          </w:tcPr>
          <w:p>
            <w:pPr>
              <w:pStyle w:val="84"/>
              <w:rPr>
                <w:color w:val="auto"/>
                <w:highlight w:val="none"/>
              </w:rPr>
            </w:pPr>
            <w:r>
              <w:rPr>
                <w:color w:val="auto"/>
                <w:highlight w:val="none"/>
              </w:rPr>
              <w:t>土地平整</w:t>
            </w:r>
          </w:p>
        </w:tc>
        <w:tc>
          <w:tcPr>
            <w:tcW w:w="525" w:type="pct"/>
            <w:shd w:val="clear" w:color="auto" w:fill="auto"/>
            <w:vAlign w:val="center"/>
          </w:tcPr>
          <w:p>
            <w:pPr>
              <w:pStyle w:val="84"/>
              <w:rPr>
                <w:color w:val="auto"/>
                <w:highlight w:val="none"/>
              </w:rPr>
            </w:pPr>
            <w:r>
              <w:rPr>
                <w:color w:val="auto"/>
                <w:highlight w:val="none"/>
              </w:rPr>
              <w:t>hm</w:t>
            </w:r>
            <w:r>
              <w:rPr>
                <w:rFonts w:eastAsia="宋体"/>
                <w:color w:val="auto"/>
                <w:highlight w:val="none"/>
              </w:rPr>
              <w:t>²</w:t>
            </w:r>
          </w:p>
        </w:tc>
        <w:tc>
          <w:tcPr>
            <w:tcW w:w="1114" w:type="dxa"/>
            <w:shd w:val="clear" w:color="auto" w:fill="auto"/>
            <w:vAlign w:val="center"/>
          </w:tcPr>
          <w:p>
            <w:pPr>
              <w:pStyle w:val="84"/>
              <w:bidi w:val="0"/>
              <w:rPr>
                <w:color w:val="auto"/>
                <w:highlight w:val="none"/>
              </w:rPr>
            </w:pPr>
            <w:r>
              <w:rPr>
                <w:rFonts w:hint="default"/>
                <w:color w:val="auto"/>
                <w:highlight w:val="none"/>
                <w:lang w:val="en-US" w:eastAsia="zh-CN"/>
              </w:rPr>
              <w:t>0.50</w:t>
            </w:r>
          </w:p>
        </w:tc>
        <w:tc>
          <w:tcPr>
            <w:tcW w:w="1969" w:type="dxa"/>
            <w:shd w:val="clear" w:color="auto" w:fill="auto"/>
            <w:vAlign w:val="center"/>
          </w:tcPr>
          <w:p>
            <w:pPr>
              <w:pStyle w:val="84"/>
              <w:bidi w:val="0"/>
              <w:rPr>
                <w:color w:val="auto"/>
                <w:highlight w:val="none"/>
              </w:rPr>
            </w:pPr>
            <w:r>
              <w:rPr>
                <w:rFonts w:hint="eastAsia"/>
                <w:color w:val="auto"/>
                <w:highlight w:val="none"/>
                <w:lang w:val="en-US" w:eastAsia="zh-CN"/>
              </w:rPr>
              <w:t>主体已列未实施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768" w:type="pct"/>
            <w:vMerge w:val="continue"/>
            <w:vAlign w:val="center"/>
          </w:tcPr>
          <w:p>
            <w:pPr>
              <w:pStyle w:val="84"/>
              <w:rPr>
                <w:color w:val="auto"/>
                <w:highlight w:val="none"/>
              </w:rPr>
            </w:pPr>
          </w:p>
        </w:tc>
        <w:tc>
          <w:tcPr>
            <w:tcW w:w="768" w:type="pct"/>
            <w:shd w:val="clear" w:color="auto" w:fill="auto"/>
            <w:vAlign w:val="center"/>
          </w:tcPr>
          <w:p>
            <w:pPr>
              <w:pStyle w:val="84"/>
              <w:rPr>
                <w:color w:val="auto"/>
                <w:highlight w:val="none"/>
              </w:rPr>
            </w:pPr>
            <w:r>
              <w:rPr>
                <w:color w:val="auto"/>
                <w:highlight w:val="none"/>
              </w:rPr>
              <w:t>临时措施</w:t>
            </w:r>
          </w:p>
        </w:tc>
        <w:tc>
          <w:tcPr>
            <w:tcW w:w="1238" w:type="pct"/>
            <w:shd w:val="clear" w:color="auto" w:fill="auto"/>
            <w:vAlign w:val="center"/>
          </w:tcPr>
          <w:p>
            <w:pPr>
              <w:pStyle w:val="84"/>
              <w:rPr>
                <w:color w:val="auto"/>
                <w:highlight w:val="none"/>
              </w:rPr>
            </w:pPr>
            <w:r>
              <w:rPr>
                <w:color w:val="auto"/>
                <w:highlight w:val="none"/>
              </w:rPr>
              <w:t>防尘网苫盖</w:t>
            </w:r>
          </w:p>
        </w:tc>
        <w:tc>
          <w:tcPr>
            <w:tcW w:w="525" w:type="pct"/>
            <w:shd w:val="clear" w:color="auto" w:fill="auto"/>
            <w:vAlign w:val="center"/>
          </w:tcPr>
          <w:p>
            <w:pPr>
              <w:pStyle w:val="84"/>
              <w:rPr>
                <w:color w:val="auto"/>
                <w:highlight w:val="none"/>
              </w:rPr>
            </w:pPr>
            <w:r>
              <w:rPr>
                <w:color w:val="auto"/>
                <w:highlight w:val="none"/>
              </w:rPr>
              <w:t>m</w:t>
            </w:r>
            <w:r>
              <w:rPr>
                <w:rFonts w:eastAsia="宋体"/>
                <w:color w:val="auto"/>
                <w:highlight w:val="none"/>
              </w:rPr>
              <w:t>²</w:t>
            </w:r>
          </w:p>
        </w:tc>
        <w:tc>
          <w:tcPr>
            <w:tcW w:w="1114" w:type="dxa"/>
            <w:shd w:val="clear" w:color="auto" w:fill="auto"/>
            <w:vAlign w:val="center"/>
          </w:tcPr>
          <w:p>
            <w:pPr>
              <w:pStyle w:val="84"/>
              <w:bidi w:val="0"/>
              <w:rPr>
                <w:color w:val="auto"/>
                <w:highlight w:val="none"/>
              </w:rPr>
            </w:pPr>
            <w:r>
              <w:rPr>
                <w:rFonts w:hint="default"/>
                <w:color w:val="auto"/>
                <w:highlight w:val="none"/>
                <w:lang w:val="en-US" w:eastAsia="zh-CN"/>
              </w:rPr>
              <w:t xml:space="preserve">800 </w:t>
            </w:r>
          </w:p>
        </w:tc>
        <w:tc>
          <w:tcPr>
            <w:tcW w:w="1969" w:type="dxa"/>
            <w:shd w:val="clear" w:color="auto" w:fill="auto"/>
            <w:vAlign w:val="center"/>
          </w:tcPr>
          <w:p>
            <w:pPr>
              <w:pStyle w:val="84"/>
              <w:bidi w:val="0"/>
              <w:rPr>
                <w:color w:val="auto"/>
                <w:highlight w:val="none"/>
              </w:rPr>
            </w:pPr>
            <w:r>
              <w:rPr>
                <w:rFonts w:hint="eastAsia"/>
                <w:color w:val="auto"/>
                <w:highlight w:val="none"/>
                <w:lang w:val="en-US" w:eastAsia="zh-CN"/>
              </w:rPr>
              <w:t>方案新增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768" w:type="pct"/>
            <w:vMerge w:val="restart"/>
            <w:shd w:val="clear" w:color="auto" w:fill="auto"/>
            <w:vAlign w:val="center"/>
          </w:tcPr>
          <w:p>
            <w:pPr>
              <w:pStyle w:val="84"/>
              <w:rPr>
                <w:color w:val="auto"/>
                <w:highlight w:val="none"/>
              </w:rPr>
            </w:pPr>
            <w:r>
              <w:rPr>
                <w:color w:val="auto"/>
                <w:highlight w:val="none"/>
              </w:rPr>
              <w:t>施工生产区</w:t>
            </w:r>
          </w:p>
        </w:tc>
        <w:tc>
          <w:tcPr>
            <w:tcW w:w="768" w:type="pct"/>
            <w:shd w:val="clear" w:color="auto" w:fill="auto"/>
            <w:vAlign w:val="center"/>
          </w:tcPr>
          <w:p>
            <w:pPr>
              <w:pStyle w:val="84"/>
              <w:rPr>
                <w:color w:val="auto"/>
                <w:highlight w:val="none"/>
              </w:rPr>
            </w:pPr>
            <w:r>
              <w:rPr>
                <w:color w:val="auto"/>
                <w:highlight w:val="none"/>
              </w:rPr>
              <w:t>工程措施</w:t>
            </w:r>
          </w:p>
        </w:tc>
        <w:tc>
          <w:tcPr>
            <w:tcW w:w="1238" w:type="pct"/>
            <w:shd w:val="clear" w:color="auto" w:fill="auto"/>
            <w:vAlign w:val="center"/>
          </w:tcPr>
          <w:p>
            <w:pPr>
              <w:pStyle w:val="84"/>
              <w:rPr>
                <w:color w:val="auto"/>
                <w:highlight w:val="none"/>
              </w:rPr>
            </w:pPr>
            <w:r>
              <w:rPr>
                <w:color w:val="auto"/>
                <w:highlight w:val="none"/>
              </w:rPr>
              <w:t>土地平整</w:t>
            </w:r>
          </w:p>
        </w:tc>
        <w:tc>
          <w:tcPr>
            <w:tcW w:w="525" w:type="pct"/>
            <w:shd w:val="clear" w:color="auto" w:fill="auto"/>
            <w:vAlign w:val="center"/>
          </w:tcPr>
          <w:p>
            <w:pPr>
              <w:pStyle w:val="84"/>
              <w:rPr>
                <w:color w:val="auto"/>
                <w:highlight w:val="none"/>
              </w:rPr>
            </w:pPr>
            <w:r>
              <w:rPr>
                <w:color w:val="auto"/>
                <w:highlight w:val="none"/>
              </w:rPr>
              <w:t>hm</w:t>
            </w:r>
            <w:r>
              <w:rPr>
                <w:rFonts w:eastAsia="宋体"/>
                <w:color w:val="auto"/>
                <w:highlight w:val="none"/>
              </w:rPr>
              <w:t>²</w:t>
            </w:r>
          </w:p>
        </w:tc>
        <w:tc>
          <w:tcPr>
            <w:tcW w:w="1114" w:type="dxa"/>
            <w:shd w:val="clear" w:color="auto" w:fill="auto"/>
            <w:vAlign w:val="center"/>
          </w:tcPr>
          <w:p>
            <w:pPr>
              <w:pStyle w:val="84"/>
              <w:bidi w:val="0"/>
              <w:rPr>
                <w:color w:val="auto"/>
                <w:highlight w:val="none"/>
              </w:rPr>
            </w:pPr>
            <w:r>
              <w:rPr>
                <w:rFonts w:hint="default"/>
                <w:color w:val="auto"/>
                <w:highlight w:val="none"/>
                <w:lang w:val="en-US" w:eastAsia="zh-CN"/>
              </w:rPr>
              <w:t xml:space="preserve">0.30 </w:t>
            </w:r>
          </w:p>
        </w:tc>
        <w:tc>
          <w:tcPr>
            <w:tcW w:w="1969" w:type="dxa"/>
            <w:shd w:val="clear" w:color="auto" w:fill="auto"/>
            <w:vAlign w:val="center"/>
          </w:tcPr>
          <w:p>
            <w:pPr>
              <w:pStyle w:val="84"/>
              <w:bidi w:val="0"/>
              <w:rPr>
                <w:color w:val="auto"/>
                <w:highlight w:val="none"/>
              </w:rPr>
            </w:pPr>
            <w:r>
              <w:rPr>
                <w:rFonts w:hint="eastAsia"/>
                <w:color w:val="auto"/>
                <w:highlight w:val="none"/>
                <w:lang w:val="en-US" w:eastAsia="zh-CN"/>
              </w:rPr>
              <w:t>主体已列未实施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768" w:type="pct"/>
            <w:vMerge w:val="continue"/>
            <w:vAlign w:val="center"/>
          </w:tcPr>
          <w:p>
            <w:pPr>
              <w:pStyle w:val="84"/>
              <w:rPr>
                <w:color w:val="auto"/>
                <w:highlight w:val="none"/>
              </w:rPr>
            </w:pPr>
          </w:p>
        </w:tc>
        <w:tc>
          <w:tcPr>
            <w:tcW w:w="768" w:type="pct"/>
            <w:shd w:val="clear" w:color="auto" w:fill="auto"/>
            <w:noWrap/>
            <w:vAlign w:val="center"/>
          </w:tcPr>
          <w:p>
            <w:pPr>
              <w:pStyle w:val="84"/>
              <w:rPr>
                <w:color w:val="auto"/>
                <w:sz w:val="22"/>
                <w:highlight w:val="none"/>
              </w:rPr>
            </w:pPr>
            <w:r>
              <w:rPr>
                <w:color w:val="auto"/>
                <w:sz w:val="22"/>
                <w:highlight w:val="none"/>
              </w:rPr>
              <w:t>临时措施</w:t>
            </w:r>
          </w:p>
        </w:tc>
        <w:tc>
          <w:tcPr>
            <w:tcW w:w="1238" w:type="pct"/>
            <w:shd w:val="clear" w:color="auto" w:fill="auto"/>
            <w:vAlign w:val="center"/>
          </w:tcPr>
          <w:p>
            <w:pPr>
              <w:pStyle w:val="84"/>
              <w:rPr>
                <w:color w:val="auto"/>
                <w:highlight w:val="none"/>
              </w:rPr>
            </w:pPr>
            <w:r>
              <w:rPr>
                <w:color w:val="auto"/>
                <w:highlight w:val="none"/>
              </w:rPr>
              <w:t>彩钢板围栏</w:t>
            </w:r>
          </w:p>
        </w:tc>
        <w:tc>
          <w:tcPr>
            <w:tcW w:w="525" w:type="pct"/>
            <w:shd w:val="clear" w:color="auto" w:fill="auto"/>
            <w:vAlign w:val="center"/>
          </w:tcPr>
          <w:p>
            <w:pPr>
              <w:pStyle w:val="84"/>
              <w:rPr>
                <w:color w:val="auto"/>
                <w:highlight w:val="none"/>
              </w:rPr>
            </w:pPr>
            <w:r>
              <w:rPr>
                <w:color w:val="auto"/>
                <w:highlight w:val="none"/>
              </w:rPr>
              <w:t>m</w:t>
            </w:r>
          </w:p>
        </w:tc>
        <w:tc>
          <w:tcPr>
            <w:tcW w:w="1114" w:type="dxa"/>
            <w:shd w:val="clear" w:color="auto" w:fill="auto"/>
            <w:vAlign w:val="center"/>
          </w:tcPr>
          <w:p>
            <w:pPr>
              <w:pStyle w:val="84"/>
              <w:bidi w:val="0"/>
              <w:rPr>
                <w:color w:val="auto"/>
                <w:highlight w:val="none"/>
              </w:rPr>
            </w:pPr>
            <w:r>
              <w:rPr>
                <w:rFonts w:hint="default"/>
                <w:color w:val="auto"/>
                <w:highlight w:val="none"/>
                <w:lang w:val="en-US" w:eastAsia="zh-CN"/>
              </w:rPr>
              <w:t>200</w:t>
            </w:r>
          </w:p>
        </w:tc>
        <w:tc>
          <w:tcPr>
            <w:tcW w:w="1969" w:type="dxa"/>
            <w:shd w:val="clear" w:color="auto" w:fill="auto"/>
            <w:vAlign w:val="center"/>
          </w:tcPr>
          <w:p>
            <w:pPr>
              <w:pStyle w:val="84"/>
              <w:bidi w:val="0"/>
              <w:rPr>
                <w:color w:val="auto"/>
                <w:highlight w:val="none"/>
              </w:rPr>
            </w:pPr>
            <w:r>
              <w:rPr>
                <w:rFonts w:hint="eastAsia"/>
                <w:color w:val="auto"/>
                <w:highlight w:val="none"/>
                <w:lang w:val="en-US" w:eastAsia="zh-CN"/>
              </w:rPr>
              <w:t>方案新增</w:t>
            </w:r>
          </w:p>
        </w:tc>
      </w:tr>
    </w:tbl>
    <w:p>
      <w:pPr>
        <w:pStyle w:val="66"/>
        <w:rPr>
          <w:color w:val="auto"/>
          <w:highlight w:val="none"/>
        </w:rPr>
      </w:pPr>
      <w:bookmarkStart w:id="132" w:name="_Toc22033"/>
      <w:r>
        <w:rPr>
          <w:color w:val="auto"/>
          <w:highlight w:val="none"/>
        </w:rPr>
        <w:t xml:space="preserve">5.4 </w:t>
      </w:r>
      <w:bookmarkEnd w:id="130"/>
      <w:bookmarkEnd w:id="131"/>
      <w:r>
        <w:rPr>
          <w:color w:val="auto"/>
          <w:highlight w:val="none"/>
        </w:rPr>
        <w:t>施工要求</w:t>
      </w:r>
      <w:bookmarkEnd w:id="132"/>
    </w:p>
    <w:p>
      <w:pPr>
        <w:pStyle w:val="69"/>
        <w:rPr>
          <w:color w:val="auto"/>
          <w:highlight w:val="none"/>
        </w:rPr>
      </w:pPr>
      <w:r>
        <w:rPr>
          <w:color w:val="auto"/>
          <w:highlight w:val="none"/>
        </w:rPr>
        <w:t>5.4.1 施工方法</w:t>
      </w:r>
    </w:p>
    <w:p>
      <w:pPr>
        <w:pStyle w:val="56"/>
        <w:ind w:firstLine="480"/>
        <w:rPr>
          <w:color w:val="auto"/>
          <w:highlight w:val="none"/>
        </w:rPr>
      </w:pPr>
      <w:r>
        <w:rPr>
          <w:color w:val="auto"/>
          <w:highlight w:val="none"/>
        </w:rPr>
        <w:t>（1）工程措施</w:t>
      </w:r>
    </w:p>
    <w:p>
      <w:pPr>
        <w:pStyle w:val="56"/>
        <w:ind w:firstLine="480"/>
        <w:rPr>
          <w:color w:val="auto"/>
          <w:highlight w:val="none"/>
        </w:rPr>
      </w:pPr>
      <w:r>
        <w:rPr>
          <w:color w:val="auto"/>
          <w:highlight w:val="none"/>
        </w:rPr>
        <w:t>1）土地平整：采用机械施工和人工施工相结合的方法，机械以74kw推土机为主，人工则配合机械进行零星场地或边角地区的平整。</w:t>
      </w:r>
    </w:p>
    <w:p>
      <w:pPr>
        <w:pStyle w:val="56"/>
        <w:ind w:firstLine="480"/>
        <w:rPr>
          <w:color w:val="auto"/>
          <w:highlight w:val="none"/>
        </w:rPr>
      </w:pPr>
      <w:r>
        <w:rPr>
          <w:color w:val="auto"/>
          <w:highlight w:val="none"/>
        </w:rPr>
        <w:t>2）全面整地：采用机械施工和人工施工相结合的方法，机械以74kw推土机为主，将人工肥平铺至绿化区范围内，在利用施工机械对其表层平整、翻松，将人工肥与表层土壤混合，人工则配合机械进行零星场地或边角地区的平整、翻松、施肥。</w:t>
      </w:r>
    </w:p>
    <w:p>
      <w:pPr>
        <w:pStyle w:val="56"/>
        <w:ind w:firstLine="480"/>
        <w:rPr>
          <w:color w:val="auto"/>
          <w:highlight w:val="none"/>
        </w:rPr>
      </w:pPr>
      <w:r>
        <w:rPr>
          <w:color w:val="auto"/>
          <w:highlight w:val="none"/>
        </w:rPr>
        <w:t>（2）植物措施</w:t>
      </w:r>
    </w:p>
    <w:p>
      <w:pPr>
        <w:pStyle w:val="56"/>
        <w:ind w:firstLine="480"/>
        <w:rPr>
          <w:color w:val="auto"/>
          <w:highlight w:val="none"/>
        </w:rPr>
      </w:pPr>
      <w:r>
        <w:rPr>
          <w:color w:val="auto"/>
          <w:highlight w:val="none"/>
        </w:rPr>
        <w:t>绿化区栽植的乔灌木以及种植的草坪均由当地苗木公司购买，绿化区在造林前进行场地平整和全面整地。造林时按照设计的株行距挖尺寸为50cm×50cm的植树穴坑，各项造林整地工程的填方土埂必须分层拍实。</w:t>
      </w:r>
    </w:p>
    <w:p>
      <w:pPr>
        <w:pStyle w:val="56"/>
        <w:ind w:firstLine="480"/>
        <w:rPr>
          <w:color w:val="auto"/>
          <w:highlight w:val="none"/>
        </w:rPr>
      </w:pPr>
      <w:r>
        <w:rPr>
          <w:color w:val="auto"/>
          <w:highlight w:val="none"/>
        </w:rPr>
        <w:t>（3）临时措施</w:t>
      </w:r>
    </w:p>
    <w:p>
      <w:pPr>
        <w:pStyle w:val="56"/>
        <w:ind w:firstLine="480"/>
        <w:rPr>
          <w:color w:val="auto"/>
          <w:highlight w:val="none"/>
        </w:rPr>
      </w:pPr>
      <w:r>
        <w:rPr>
          <w:color w:val="auto"/>
          <w:highlight w:val="none"/>
        </w:rPr>
        <w:t>1）洒水：为减少项目区内施工场地扬尘、在工程施工过程中，对道路及硬化区进行临时洒水防护措施，采用8m³洒水车洒水。水源利用主体水源。</w:t>
      </w:r>
    </w:p>
    <w:p>
      <w:pPr>
        <w:pStyle w:val="56"/>
        <w:ind w:firstLine="480"/>
        <w:rPr>
          <w:color w:val="auto"/>
          <w:highlight w:val="none"/>
        </w:rPr>
      </w:pPr>
      <w:r>
        <w:rPr>
          <w:color w:val="auto"/>
          <w:highlight w:val="none"/>
        </w:rPr>
        <w:t>2）防尘网苫盖：临时堆放的细颗粒砂料，为了避免裸露，采用防尘网苫盖进行防护。人工将1.5×4.0米的防尘网边缘用18号细铁丝缝合连接在一起，然后运输到施工现场。将缝合好的防护网进行摊铺苫盖，之后用马蹄钉固定，马蹄钉按50～60cm的间距固定。马蹄钉采用14号钢筋制作，总长60cm。防尘网拆除时，先用钢钎将马蹄钉拆除，分片折网，叠好后回收待用。</w:t>
      </w:r>
    </w:p>
    <w:p>
      <w:pPr>
        <w:pStyle w:val="56"/>
        <w:ind w:firstLine="480"/>
        <w:rPr>
          <w:color w:val="auto"/>
          <w:highlight w:val="none"/>
        </w:rPr>
      </w:pPr>
      <w:r>
        <w:rPr>
          <w:color w:val="auto"/>
          <w:highlight w:val="none"/>
        </w:rPr>
        <w:t>3）彩钢板拦挡：彩钢板由汽车拉运、人工竖立拦挡。彩钢板高度2m，底部埋深0.2m，地表以上拦挡高度1.8m，挡板外侧采取钢支架支撑。</w:t>
      </w:r>
    </w:p>
    <w:p>
      <w:pPr>
        <w:pStyle w:val="69"/>
        <w:rPr>
          <w:color w:val="auto"/>
          <w:highlight w:val="none"/>
        </w:rPr>
      </w:pPr>
      <w:r>
        <w:rPr>
          <w:color w:val="auto"/>
          <w:highlight w:val="none"/>
        </w:rPr>
        <w:t>5.4.2 施工进度</w:t>
      </w:r>
    </w:p>
    <w:p>
      <w:pPr>
        <w:pStyle w:val="56"/>
        <w:ind w:firstLine="480"/>
        <w:rPr>
          <w:color w:val="auto"/>
          <w:highlight w:val="none"/>
        </w:rPr>
      </w:pPr>
      <w:r>
        <w:rPr>
          <w:color w:val="auto"/>
          <w:highlight w:val="none"/>
        </w:rPr>
        <w:t>水土保持工程要求与主体工程同时设计、同时施工、同时验收。为达到防治水土流失的目的，应把握好施工工序和时机。实施过程中可结合主体工程及其施工特点和本地区的气候特点，利用主体工程的施工条件布设水土保持措施，合理使用资金、劳力、材料和机械设备，保证水土保持工程的施工进度和工程质量。</w:t>
      </w:r>
    </w:p>
    <w:p>
      <w:pPr>
        <w:pStyle w:val="56"/>
        <w:ind w:firstLine="480"/>
        <w:rPr>
          <w:color w:val="auto"/>
          <w:highlight w:val="none"/>
        </w:rPr>
      </w:pPr>
      <w:r>
        <w:rPr>
          <w:color w:val="auto"/>
          <w:highlight w:val="none"/>
        </w:rPr>
        <w:t>（1）施工进度安排原则</w:t>
      </w:r>
    </w:p>
    <w:p>
      <w:pPr>
        <w:pStyle w:val="56"/>
        <w:ind w:firstLine="480"/>
        <w:rPr>
          <w:color w:val="auto"/>
          <w:highlight w:val="none"/>
        </w:rPr>
      </w:pPr>
      <w:r>
        <w:rPr>
          <w:color w:val="auto"/>
          <w:highlight w:val="none"/>
        </w:rPr>
        <w:t>1）根据水土保持与主体工程同步实施的原则，参照工程施工进度，各项水土保持措施的实施进度与相应的工程进度衔接，同时保证重点，又点面结合。</w:t>
      </w:r>
    </w:p>
    <w:p>
      <w:pPr>
        <w:pStyle w:val="56"/>
        <w:ind w:firstLine="480"/>
        <w:rPr>
          <w:color w:val="auto"/>
          <w:highlight w:val="none"/>
        </w:rPr>
      </w:pPr>
      <w:r>
        <w:rPr>
          <w:color w:val="auto"/>
          <w:highlight w:val="none"/>
        </w:rPr>
        <w:t>2）在生态效益优先的基础上，考虑经济效益。年度投资平衡和工程量平衡综合考虑，合理安排各项水土保持措施的实施进度。</w:t>
      </w:r>
    </w:p>
    <w:p>
      <w:pPr>
        <w:pStyle w:val="56"/>
        <w:ind w:firstLine="480"/>
        <w:rPr>
          <w:color w:val="auto"/>
          <w:highlight w:val="none"/>
        </w:rPr>
      </w:pPr>
      <w:r>
        <w:rPr>
          <w:color w:val="auto"/>
          <w:highlight w:val="none"/>
        </w:rPr>
        <w:t>3）合理安排水土保持工程实施进度，力争主体工程完成后完成所有水土保持措施。</w:t>
      </w:r>
    </w:p>
    <w:p>
      <w:pPr>
        <w:pStyle w:val="56"/>
        <w:ind w:firstLine="480"/>
        <w:rPr>
          <w:color w:val="auto"/>
          <w:highlight w:val="none"/>
        </w:rPr>
      </w:pPr>
      <w:r>
        <w:rPr>
          <w:color w:val="auto"/>
          <w:highlight w:val="none"/>
        </w:rPr>
        <w:t>（2）水土保持工程实施进度</w:t>
      </w:r>
    </w:p>
    <w:p>
      <w:pPr>
        <w:pStyle w:val="56"/>
        <w:ind w:firstLine="480"/>
        <w:rPr>
          <w:color w:val="auto"/>
          <w:highlight w:val="none"/>
        </w:rPr>
      </w:pPr>
      <w:r>
        <w:rPr>
          <w:color w:val="auto"/>
          <w:highlight w:val="none"/>
        </w:rPr>
        <w:t>按照主体工程施工组织设计建设工期，以水土保持分区布设措施，施工季节、施工顺序，分期实施，合理安排。主体工程已于2020年</w:t>
      </w:r>
      <w:r>
        <w:rPr>
          <w:rFonts w:hint="eastAsia"/>
          <w:color w:val="auto"/>
          <w:highlight w:val="none"/>
          <w:lang w:val="en-US" w:eastAsia="zh-CN"/>
        </w:rPr>
        <w:t>4</w:t>
      </w:r>
      <w:r>
        <w:rPr>
          <w:color w:val="auto"/>
          <w:highlight w:val="none"/>
        </w:rPr>
        <w:t>月开工建设，计划于2021年</w:t>
      </w:r>
      <w:r>
        <w:rPr>
          <w:rFonts w:hint="eastAsia"/>
          <w:color w:val="auto"/>
          <w:highlight w:val="none"/>
          <w:lang w:val="en-US" w:eastAsia="zh-CN"/>
        </w:rPr>
        <w:t>10</w:t>
      </w:r>
      <w:r>
        <w:rPr>
          <w:color w:val="auto"/>
          <w:highlight w:val="none"/>
        </w:rPr>
        <w:t>月建设完成，总工期1</w:t>
      </w:r>
      <w:r>
        <w:rPr>
          <w:rFonts w:hint="eastAsia"/>
          <w:color w:val="auto"/>
          <w:highlight w:val="none"/>
          <w:lang w:val="en-US" w:eastAsia="zh-CN"/>
        </w:rPr>
        <w:t>9</w:t>
      </w:r>
      <w:r>
        <w:rPr>
          <w:color w:val="auto"/>
          <w:highlight w:val="none"/>
        </w:rPr>
        <w:t>个月。本项目水土保持工程于2020年</w:t>
      </w:r>
      <w:r>
        <w:rPr>
          <w:rFonts w:hint="eastAsia"/>
          <w:color w:val="auto"/>
          <w:highlight w:val="none"/>
          <w:lang w:val="en-US" w:eastAsia="zh-CN"/>
        </w:rPr>
        <w:t>8</w:t>
      </w:r>
      <w:r>
        <w:rPr>
          <w:color w:val="auto"/>
          <w:highlight w:val="none"/>
        </w:rPr>
        <w:t>月开始实施，与主体工程同时完工。</w:t>
      </w:r>
    </w:p>
    <w:p>
      <w:pPr>
        <w:pStyle w:val="56"/>
        <w:ind w:firstLine="480"/>
        <w:rPr>
          <w:color w:val="auto"/>
          <w:highlight w:val="none"/>
        </w:rPr>
      </w:pPr>
      <w:r>
        <w:rPr>
          <w:color w:val="auto"/>
          <w:highlight w:val="none"/>
        </w:rPr>
        <w:t>本项目水土保持措施施工进度表，见表5.4-1。</w:t>
      </w:r>
    </w:p>
    <w:p>
      <w:pPr>
        <w:pStyle w:val="75"/>
        <w:rPr>
          <w:color w:val="auto"/>
          <w:highlight w:val="none"/>
        </w:rPr>
      </w:pPr>
      <w:r>
        <w:rPr>
          <w:color w:val="auto"/>
          <w:highlight w:val="none"/>
        </w:rPr>
        <w:t>表5.4-1     水土保持措施实施进度表</w:t>
      </w:r>
    </w:p>
    <w:p>
      <w:pPr>
        <w:pStyle w:val="56"/>
        <w:ind w:firstLine="0" w:firstLineChars="0"/>
        <w:rPr>
          <w:color w:val="auto"/>
          <w:sz w:val="22"/>
          <w:highlight w:val="none"/>
        </w:rPr>
      </w:pPr>
      <w:r>
        <w:rPr>
          <w:color w:val="auto"/>
          <w:highlight w:val="none"/>
        </w:rPr>
        <w:drawing>
          <wp:inline distT="0" distB="0" distL="114300" distR="114300">
            <wp:extent cx="5610225" cy="2153285"/>
            <wp:effectExtent l="0" t="0" r="9525" b="1841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1"/>
                    <a:stretch>
                      <a:fillRect/>
                    </a:stretch>
                  </pic:blipFill>
                  <pic:spPr>
                    <a:xfrm>
                      <a:off x="0" y="0"/>
                      <a:ext cx="5610225" cy="2153285"/>
                    </a:xfrm>
                    <a:prstGeom prst="rect">
                      <a:avLst/>
                    </a:prstGeom>
                    <a:noFill/>
                    <a:ln>
                      <a:noFill/>
                    </a:ln>
                  </pic:spPr>
                </pic:pic>
              </a:graphicData>
            </a:graphic>
          </wp:inline>
        </w:drawing>
      </w:r>
    </w:p>
    <w:p>
      <w:pPr>
        <w:pStyle w:val="56"/>
        <w:ind w:firstLine="440"/>
        <w:rPr>
          <w:color w:val="auto"/>
          <w:sz w:val="22"/>
          <w:highlight w:val="none"/>
        </w:rPr>
      </w:pPr>
      <w:r>
        <w:rPr>
          <w:color w:val="auto"/>
          <w:sz w:val="22"/>
          <w:highlight w:val="none"/>
        </w:rPr>
        <mc:AlternateContent>
          <mc:Choice Requires="wps">
            <w:drawing>
              <wp:anchor distT="0" distB="0" distL="114300" distR="114300" simplePos="0" relativeHeight="252372992" behindDoc="0" locked="0" layoutInCell="1" allowOverlap="1">
                <wp:simplePos x="0" y="0"/>
                <wp:positionH relativeFrom="column">
                  <wp:posOffset>3166745</wp:posOffset>
                </wp:positionH>
                <wp:positionV relativeFrom="paragraph">
                  <wp:posOffset>113030</wp:posOffset>
                </wp:positionV>
                <wp:extent cx="782320" cy="0"/>
                <wp:effectExtent l="0" t="10795" r="17780" b="17780"/>
                <wp:wrapNone/>
                <wp:docPr id="12" name="直线 1437"/>
                <wp:cNvGraphicFramePr/>
                <a:graphic xmlns:a="http://schemas.openxmlformats.org/drawingml/2006/main">
                  <a:graphicData uri="http://schemas.microsoft.com/office/word/2010/wordprocessingShape">
                    <wps:wsp>
                      <wps:cNvCnPr/>
                      <wps:spPr>
                        <a:xfrm>
                          <a:off x="0" y="0"/>
                          <a:ext cx="782320" cy="0"/>
                        </a:xfrm>
                        <a:prstGeom prst="line">
                          <a:avLst/>
                        </a:prstGeom>
                        <a:ln w="22225" cap="flat" cmpd="sng">
                          <a:solidFill>
                            <a:srgbClr val="000000"/>
                          </a:solidFill>
                          <a:prstDash val="dash"/>
                          <a:headEnd type="none" w="med" len="med"/>
                          <a:tailEnd type="none" w="med" len="med"/>
                        </a:ln>
                      </wps:spPr>
                      <wps:bodyPr upright="1"/>
                    </wps:wsp>
                  </a:graphicData>
                </a:graphic>
              </wp:anchor>
            </w:drawing>
          </mc:Choice>
          <mc:Fallback>
            <w:pict>
              <v:line id="直线 1437" o:spid="_x0000_s1026" o:spt="20" style="position:absolute;left:0pt;margin-left:249.35pt;margin-top:8.9pt;height:0pt;width:61.6pt;z-index:252372992;mso-width-relative:page;mso-height-relative:page;" filled="f" stroked="t" coordsize="21600,21600" o:gfxdata="UEsDBAoAAAAAAIdO4kAAAAAAAAAAAAAAAAAEAAAAZHJzL1BLAwQUAAAACACHTuJA1MgKJNkAAAAJ&#10;AQAADwAAAGRycy9kb3ducmV2LnhtbE2PwU7DMBBE70j8g7WVuCDqpEJNG+L00MAFgQRpJHp0420S&#10;Ea+j2GnL37OIAxx35ml2JttcbC9OOPrOkYJ4HoFAqp3pqFFQ7Z7uViB80GR07wgVfKGHTX59lenU&#10;uDO946kMjeAQ8qlW0IYwpFL6ukWr/dwNSOwd3Wh14HNspBn1mcNtLxdRtJRWd8QfWj3gtsX6s5ys&#10;grfqWb6WH9vd9HJbJcXjviiafaHUzSyOHkAEvIQ/GH7qc3XIudPBTWS86BXcr1cJo2wkPIGB5SJe&#10;gzj8CjLP5P8F+TdQSwMEFAAAAAgAh07iQBiN4/TrAQAA3gMAAA4AAABkcnMvZTJvRG9jLnhtbK1T&#10;zY7TMBC+I/EOlu80bRbYVdR0D1uWC4JKLA8wtZ3Ekv/kcZv2WXgNTlx4nH0Nxk63C8ulB3Jwxp7x&#10;N/N9M17eHqxhexVRe9fyxWzOmXLCS+36ln97uH9zwxkmcBKMd6rlR4X8dvX61XIMjar94I1UkRGI&#10;w2YMLR9SCk1VoRiUBZz5oBw5Ox8tJNrGvpIRRkK3pqrn8/fV6KMM0QuFSKfryclPiPESQN91Wqi1&#10;FzurXJpQozKQiBIOOiBflWq7Ton0petQJWZaTkxTWSkJ2du8VqslNH2EMGhxKgEuKeEFJwvaUdIz&#10;1BoSsF3U/0BZLaJH36WZ8LaaiBRFiMVi/kKbrwMEVbiQ1BjOouP/gxWf95vItKRJqDlzYKnjj99/&#10;PP78xRZvr66zPmPAhsLu3Caedhg2MZM9dNHmP9Fgh6Lp8aypOiQm6PD6pr6qSW3x5Kqe74WI6aPy&#10;lmWj5Ua7zBYa2H/CRLko9CkkHxvHxpbX9L0jPKDZ66jnZNpA9aPry2X0Rst7bUy+grHf3pnI9pD7&#10;X75MiYD/CstZ1oDDFCfJmgZjUCA/OMnSMZAujt4DzyVYJTkzip5PtggPmgTaXBJJmY2jArKok4zZ&#10;2np5pDbsQtT9QEosSpHZQ20v5Z5GNM/Vn/uC9PwsV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MgKJNkAAAAJAQAADwAAAAAAAAABACAAAAAiAAAAZHJzL2Rvd25yZXYueG1sUEsBAhQAFAAAAAgA&#10;h07iQBiN4/TrAQAA3gMAAA4AAAAAAAAAAQAgAAAAKAEAAGRycy9lMm9Eb2MueG1sUEsFBgAAAAAG&#10;AAYAWQEAAIUFAAAAAA==&#10;">
                <v:fill on="f" focussize="0,0"/>
                <v:stroke weight="1.75pt" color="#000000" joinstyle="round" dashstyle="dash"/>
                <v:imagedata o:title=""/>
                <o:lock v:ext="edit" aspectratio="f"/>
              </v:line>
            </w:pict>
          </mc:Fallback>
        </mc:AlternateContent>
      </w:r>
      <w:r>
        <w:rPr>
          <w:color w:val="auto"/>
          <w:sz w:val="22"/>
          <w:highlight w:val="none"/>
        </w:rPr>
        <mc:AlternateContent>
          <mc:Choice Requires="wps">
            <w:drawing>
              <wp:anchor distT="0" distB="0" distL="114300" distR="114300" simplePos="0" relativeHeight="252371968" behindDoc="0" locked="0" layoutInCell="1" allowOverlap="1">
                <wp:simplePos x="0" y="0"/>
                <wp:positionH relativeFrom="column">
                  <wp:posOffset>1186180</wp:posOffset>
                </wp:positionH>
                <wp:positionV relativeFrom="paragraph">
                  <wp:posOffset>113030</wp:posOffset>
                </wp:positionV>
                <wp:extent cx="782320" cy="0"/>
                <wp:effectExtent l="0" t="10795" r="17780" b="17780"/>
                <wp:wrapNone/>
                <wp:docPr id="7" name="直线 1436"/>
                <wp:cNvGraphicFramePr/>
                <a:graphic xmlns:a="http://schemas.openxmlformats.org/drawingml/2006/main">
                  <a:graphicData uri="http://schemas.microsoft.com/office/word/2010/wordprocessingShape">
                    <wps:wsp>
                      <wps:cNvCnPr/>
                      <wps:spPr>
                        <a:xfrm>
                          <a:off x="0" y="0"/>
                          <a:ext cx="782320" cy="0"/>
                        </a:xfrm>
                        <a:prstGeom prst="line">
                          <a:avLst/>
                        </a:prstGeom>
                        <a:ln w="22225" cap="flat" cmpd="sng">
                          <a:solidFill>
                            <a:srgbClr val="000000"/>
                          </a:solidFill>
                          <a:prstDash val="solid"/>
                          <a:headEnd type="none" w="med" len="med"/>
                          <a:tailEnd type="none" w="med" len="med"/>
                        </a:ln>
                      </wps:spPr>
                      <wps:bodyPr upright="1"/>
                    </wps:wsp>
                  </a:graphicData>
                </a:graphic>
              </wp:anchor>
            </w:drawing>
          </mc:Choice>
          <mc:Fallback>
            <w:pict>
              <v:line id="直线 1436" o:spid="_x0000_s1026" o:spt="20" style="position:absolute;left:0pt;margin-left:93.4pt;margin-top:8.9pt;height:0pt;width:61.6pt;z-index:252371968;mso-width-relative:page;mso-height-relative:page;" filled="f" stroked="t" coordsize="21600,21600" o:gfxdata="UEsDBAoAAAAAAIdO4kAAAAAAAAAAAAAAAAAEAAAAZHJzL1BLAwQUAAAACACHTuJAIJTIVdUAAAAJ&#10;AQAADwAAAGRycy9kb3ducmV2LnhtbE2PzU7DMBCE70i8g7VIXBC1A6iUEKcSSFwRlCKu23ibRI3X&#10;aeymLU/Poh7gtH+j2W+K+cF3aqQhtoEtZBMDirgKruXawvLj5XoGKiZkh11gsnCkCPPy/KzA3IU9&#10;v9O4SLUSE445WmhS6nOtY9WQxzgJPbHc1mHwmGQcau0G3Iu57/SNMVPtsWX50GBPzw1Vm8XOW9ik&#10;t4f1ssNjzL5fx7v4uX26+tpae3mRmUdQiQ7pTwy/+IIOpTCtwo5dVJ3Ms6mgJ2nupYrgNjMSbnVa&#10;6LLQ/xOUP1BLAwQUAAAACACHTuJAmsdiW+oBAADeAwAADgAAAGRycy9lMm9Eb2MueG1srVPNjtMw&#10;EL4j8Q6W7zRtFnZXUdM9bFkuCCoBDzC1ncSS/+Rxm/ZZeA1OXHicfQ3GTrcLy6UHcnDGnvE3830z&#10;Xt4drGF7FVF71/LFbM6ZcsJL7fqWf/v68OaWM0zgJBjvVMuPCvnd6vWr5RgaVfvBG6kiIxCHzRha&#10;PqQUmqpCMSgLOPNBOXJ2PlpItI19JSOMhG5NVc/n19XoowzRC4VIp+vJyU+I8RJA33VaqLUXO6tc&#10;mlCjMpCIEg46IF+VartOifS561AlZlpOTFNZKQnZ27xWqyU0fYQwaHEqAS4p4QUnC9pR0jPUGhKw&#10;XdT/QFktokffpZnwtpqIFEWIxWL+QpsvAwRVuJDUGM6i4/+DFZ/2m8i0bPkNZw4sNfzx+4/Hn7/Y&#10;4u3VdZZnDNhQ1L3bxNMOwyZmrocu2vwnFuxQJD2eJVWHxAQd3tzWVzWJLZ5c1fO9EDF9UN6ybLTc&#10;aJfJQgP7j5goF4U+heRj49jY8pq+d4QHNHodtZxMG6h8dH25jN5o+aCNyVcw9tt7E9kecvvLlykR&#10;8F9hOcsacJjiimsajEGBfO8kS8dAwjh6DzzXYJXkzCh6PtkiQGgSaHNJJKU2jirIqk46Zmvr5ZHa&#10;sAtR9wNJsShVZg+1vdR7GtE8V3/uC9Lzs1z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CUyFXV&#10;AAAACQEAAA8AAAAAAAAAAQAgAAAAIgAAAGRycy9kb3ducmV2LnhtbFBLAQIUABQAAAAIAIdO4kCa&#10;x2Jb6gEAAN4DAAAOAAAAAAAAAAEAIAAAACQBAABkcnMvZTJvRG9jLnhtbFBLBQYAAAAABgAGAFkB&#10;AACABQAAAAA=&#10;">
                <v:fill on="f" focussize="0,0"/>
                <v:stroke weight="1.75pt" color="#000000" joinstyle="round"/>
                <v:imagedata o:title=""/>
                <o:lock v:ext="edit" aspectratio="f"/>
              </v:line>
            </w:pict>
          </mc:Fallback>
        </mc:AlternateContent>
      </w:r>
      <w:r>
        <w:rPr>
          <w:color w:val="auto"/>
          <w:sz w:val="22"/>
          <w:highlight w:val="none"/>
        </w:rPr>
        <w:t>注：主体工程“           ”； 水土保持措施“            ”</w:t>
      </w:r>
    </w:p>
    <w:p>
      <w:pPr>
        <w:ind w:firstLine="480"/>
        <w:rPr>
          <w:color w:val="auto"/>
          <w:highlight w:val="none"/>
        </w:rPr>
      </w:pPr>
    </w:p>
    <w:p>
      <w:pPr>
        <w:ind w:firstLine="480"/>
        <w:rPr>
          <w:color w:val="auto"/>
          <w:highlight w:val="none"/>
        </w:rPr>
      </w:pPr>
    </w:p>
    <w:p>
      <w:pPr>
        <w:ind w:firstLine="480"/>
        <w:rPr>
          <w:color w:val="auto"/>
          <w:highlight w:val="none"/>
        </w:rPr>
        <w:sectPr>
          <w:headerReference r:id="rId22"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65"/>
        <w:rPr>
          <w:color w:val="auto"/>
          <w:highlight w:val="none"/>
        </w:rPr>
      </w:pPr>
      <w:bookmarkStart w:id="133" w:name="_Toc6813"/>
      <w:bookmarkStart w:id="134" w:name="_Toc407014560"/>
      <w:bookmarkStart w:id="135" w:name="_Toc417412345"/>
      <w:r>
        <w:rPr>
          <w:color w:val="auto"/>
          <w:highlight w:val="none"/>
        </w:rPr>
        <w:t>6 水土保持监测</w:t>
      </w:r>
      <w:bookmarkEnd w:id="133"/>
      <w:bookmarkEnd w:id="134"/>
      <w:bookmarkEnd w:id="135"/>
    </w:p>
    <w:p>
      <w:pPr>
        <w:pStyle w:val="56"/>
        <w:ind w:firstLine="480"/>
        <w:rPr>
          <w:color w:val="auto"/>
          <w:highlight w:val="none"/>
        </w:rPr>
      </w:pPr>
      <w:bookmarkStart w:id="136" w:name="_Toc417412347"/>
      <w:bookmarkStart w:id="137" w:name="_Toc407014562"/>
      <w:r>
        <w:rPr>
          <w:color w:val="auto"/>
          <w:highlight w:val="none"/>
        </w:rPr>
        <w:t>根据《新疆维吾尔自治区实施&lt;中华人民共和国水土保持法&gt;办法》和《新疆维吾尔自治区生产建设项目水土保持方案管理办法》，</w:t>
      </w:r>
      <w:r>
        <w:rPr>
          <w:rFonts w:hint="eastAsia"/>
          <w:color w:val="auto"/>
          <w:highlight w:val="none"/>
          <w:lang w:eastAsia="zh-CN"/>
        </w:rPr>
        <w:t>伊宁县书香·雅居</w:t>
      </w:r>
      <w:r>
        <w:rPr>
          <w:color w:val="auto"/>
          <w:highlight w:val="none"/>
        </w:rPr>
        <w:t>建设项目水土保持方案报告表对水土保持监测不做具体要求。</w:t>
      </w:r>
    </w:p>
    <w:bookmarkEnd w:id="136"/>
    <w:bookmarkEnd w:id="137"/>
    <w:p>
      <w:pPr>
        <w:pStyle w:val="56"/>
        <w:ind w:firstLine="480"/>
        <w:rPr>
          <w:color w:val="auto"/>
          <w:highlight w:val="none"/>
        </w:rPr>
      </w:pPr>
    </w:p>
    <w:p>
      <w:pPr>
        <w:pStyle w:val="56"/>
        <w:ind w:firstLine="480"/>
        <w:rPr>
          <w:color w:val="auto"/>
          <w:highlight w:val="none"/>
        </w:rPr>
      </w:pPr>
    </w:p>
    <w:p>
      <w:pPr>
        <w:pStyle w:val="56"/>
        <w:ind w:firstLine="480"/>
        <w:rPr>
          <w:color w:val="auto"/>
          <w:highlight w:val="none"/>
        </w:rPr>
      </w:pPr>
    </w:p>
    <w:p>
      <w:pPr>
        <w:pStyle w:val="56"/>
        <w:ind w:firstLine="480"/>
        <w:rPr>
          <w:color w:val="auto"/>
          <w:highlight w:val="none"/>
        </w:rPr>
        <w:sectPr>
          <w:headerReference r:id="rId23"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65"/>
        <w:rPr>
          <w:color w:val="auto"/>
          <w:highlight w:val="none"/>
        </w:rPr>
      </w:pPr>
      <w:bookmarkStart w:id="138" w:name="_Toc1069"/>
      <w:r>
        <w:rPr>
          <w:color w:val="auto"/>
          <w:highlight w:val="none"/>
        </w:rPr>
        <w:t>7 水土保持投资估算及效益分析</w:t>
      </w:r>
      <w:bookmarkEnd w:id="138"/>
    </w:p>
    <w:p>
      <w:pPr>
        <w:pStyle w:val="66"/>
        <w:ind w:firstLine="148"/>
        <w:rPr>
          <w:color w:val="auto"/>
          <w:highlight w:val="none"/>
        </w:rPr>
      </w:pPr>
      <w:bookmarkStart w:id="139" w:name="_Toc7760"/>
      <w:r>
        <w:rPr>
          <w:color w:val="auto"/>
          <w:highlight w:val="none"/>
        </w:rPr>
        <w:t>7.1 投资估算</w:t>
      </w:r>
      <w:bookmarkEnd w:id="139"/>
    </w:p>
    <w:p>
      <w:pPr>
        <w:pStyle w:val="69"/>
        <w:rPr>
          <w:color w:val="auto"/>
          <w:highlight w:val="none"/>
        </w:rPr>
      </w:pPr>
      <w:r>
        <w:rPr>
          <w:color w:val="auto"/>
          <w:highlight w:val="none"/>
        </w:rPr>
        <w:t>7.1.1 编制原则及依据</w:t>
      </w:r>
    </w:p>
    <w:p>
      <w:pPr>
        <w:pStyle w:val="72"/>
        <w:rPr>
          <w:color w:val="auto"/>
          <w:highlight w:val="none"/>
        </w:rPr>
      </w:pPr>
      <w:r>
        <w:rPr>
          <w:color w:val="auto"/>
          <w:highlight w:val="none"/>
        </w:rPr>
        <w:t>7.1.1.1 编制原则</w:t>
      </w:r>
    </w:p>
    <w:p>
      <w:pPr>
        <w:pStyle w:val="56"/>
        <w:numPr>
          <w:ilvl w:val="0"/>
          <w:numId w:val="8"/>
        </w:numPr>
        <w:ind w:firstLineChars="0"/>
        <w:rPr>
          <w:color w:val="auto"/>
          <w:highlight w:val="none"/>
        </w:rPr>
      </w:pPr>
      <w:r>
        <w:rPr>
          <w:color w:val="auto"/>
          <w:highlight w:val="none"/>
        </w:rPr>
        <w:t>本方案水土保持投资估算的编制依据、编制定额、价格水平年与基础单价、主要工程单价中的相关费率等与主体工程相一致；主体工程中没有明确规定的，采用水利部《开发建设项目水土保持工程投资概(估)算编制规定》(水总[2003]67号)及相关行业、地方标准和当地现行价。水土保持投资费用构成按《开发建设项目水土保持工程概(估)算编制规定》执行。</w:t>
      </w:r>
    </w:p>
    <w:p>
      <w:pPr>
        <w:pStyle w:val="56"/>
        <w:numPr>
          <w:ilvl w:val="0"/>
          <w:numId w:val="8"/>
        </w:numPr>
        <w:ind w:firstLineChars="0"/>
        <w:rPr>
          <w:color w:val="auto"/>
          <w:highlight w:val="none"/>
        </w:rPr>
      </w:pPr>
      <w:r>
        <w:rPr>
          <w:color w:val="auto"/>
          <w:highlight w:val="none"/>
        </w:rPr>
        <w:t>水土保持投资估算总表按工程措施、植物措施、临时工程和独立费用、预备费等5部分计列。分部工程估算表按照防治分区计列上述各项投资。</w:t>
      </w:r>
    </w:p>
    <w:p>
      <w:pPr>
        <w:pStyle w:val="56"/>
        <w:numPr>
          <w:ilvl w:val="0"/>
          <w:numId w:val="8"/>
        </w:numPr>
        <w:ind w:firstLineChars="0"/>
        <w:rPr>
          <w:color w:val="auto"/>
          <w:highlight w:val="none"/>
        </w:rPr>
      </w:pPr>
      <w:r>
        <w:rPr>
          <w:color w:val="auto"/>
          <w:highlight w:val="none"/>
        </w:rPr>
        <w:t>水土保持工程总投资由工程措施投资、植物措施投资、临时措施投资、独立费用及基本预备费五部分组成。</w:t>
      </w:r>
    </w:p>
    <w:p>
      <w:pPr>
        <w:pStyle w:val="56"/>
        <w:numPr>
          <w:ilvl w:val="0"/>
          <w:numId w:val="8"/>
        </w:numPr>
        <w:ind w:firstLineChars="0"/>
        <w:rPr>
          <w:color w:val="auto"/>
          <w:highlight w:val="none"/>
        </w:rPr>
      </w:pPr>
      <w:r>
        <w:rPr>
          <w:color w:val="auto"/>
          <w:highlight w:val="none"/>
        </w:rPr>
        <w:t>水土保持投资估算价格水平年为2020年第</w:t>
      </w:r>
      <w:r>
        <w:rPr>
          <w:rFonts w:hint="eastAsia"/>
          <w:color w:val="auto"/>
          <w:highlight w:val="none"/>
          <w:lang w:eastAsia="zh-CN"/>
        </w:rPr>
        <w:t>三</w:t>
      </w:r>
      <w:r>
        <w:rPr>
          <w:color w:val="auto"/>
          <w:highlight w:val="none"/>
        </w:rPr>
        <w:t>季度。</w:t>
      </w:r>
    </w:p>
    <w:p>
      <w:pPr>
        <w:pStyle w:val="72"/>
        <w:rPr>
          <w:color w:val="auto"/>
          <w:highlight w:val="none"/>
        </w:rPr>
      </w:pPr>
      <w:r>
        <w:rPr>
          <w:color w:val="auto"/>
          <w:highlight w:val="none"/>
        </w:rPr>
        <w:t>7.1.1.2 编制依据</w:t>
      </w:r>
    </w:p>
    <w:p>
      <w:pPr>
        <w:pStyle w:val="56"/>
        <w:numPr>
          <w:ilvl w:val="0"/>
          <w:numId w:val="9"/>
        </w:numPr>
        <w:ind w:firstLineChars="0"/>
        <w:rPr>
          <w:color w:val="auto"/>
          <w:szCs w:val="21"/>
          <w:highlight w:val="none"/>
        </w:rPr>
      </w:pPr>
      <w:r>
        <w:rPr>
          <w:color w:val="auto"/>
          <w:szCs w:val="21"/>
          <w:highlight w:val="none"/>
        </w:rPr>
        <w:t>《开发建设项目水土保持工程投资概(估)算编制规定》、《开发建设项目水土保持工程估算定额》、《开发建设项目水土保持工程施工机械台时费定额》(水利部水总〔2003〕67号)；</w:t>
      </w:r>
    </w:p>
    <w:p>
      <w:pPr>
        <w:pStyle w:val="56"/>
        <w:numPr>
          <w:ilvl w:val="0"/>
          <w:numId w:val="9"/>
        </w:numPr>
        <w:ind w:firstLineChars="0"/>
        <w:rPr>
          <w:color w:val="auto"/>
          <w:szCs w:val="21"/>
          <w:highlight w:val="none"/>
        </w:rPr>
      </w:pPr>
      <w:r>
        <w:rPr>
          <w:color w:val="auto"/>
          <w:szCs w:val="21"/>
          <w:highlight w:val="none"/>
        </w:rPr>
        <w:t>《水土保持工程概(估)算费编制规定及定额》(水利部[2003]67号)；</w:t>
      </w:r>
    </w:p>
    <w:p>
      <w:pPr>
        <w:pStyle w:val="56"/>
        <w:numPr>
          <w:ilvl w:val="0"/>
          <w:numId w:val="9"/>
        </w:numPr>
        <w:ind w:firstLineChars="0"/>
        <w:rPr>
          <w:color w:val="auto"/>
          <w:szCs w:val="21"/>
          <w:highlight w:val="none"/>
        </w:rPr>
      </w:pPr>
      <w:r>
        <w:rPr>
          <w:color w:val="auto"/>
          <w:szCs w:val="21"/>
          <w:highlight w:val="none"/>
        </w:rPr>
        <w:t>《关于公布取消和停止征收100项行政事业性收费项目的通知》(财政部、国家发展改革委，财综[2008]78号)；</w:t>
      </w:r>
    </w:p>
    <w:p>
      <w:pPr>
        <w:pStyle w:val="56"/>
        <w:numPr>
          <w:ilvl w:val="0"/>
          <w:numId w:val="9"/>
        </w:numPr>
        <w:ind w:firstLineChars="0"/>
        <w:rPr>
          <w:color w:val="auto"/>
          <w:szCs w:val="21"/>
          <w:highlight w:val="none"/>
        </w:rPr>
      </w:pPr>
      <w:r>
        <w:rPr>
          <w:color w:val="auto"/>
          <w:szCs w:val="21"/>
          <w:highlight w:val="none"/>
        </w:rPr>
        <w:t>《关于印发《水土保持补偿费征收使用管理办法》的通知》，财政部国家发展改革委水利部中国人民银行，财综[2014]8号；</w:t>
      </w:r>
    </w:p>
    <w:p>
      <w:pPr>
        <w:pStyle w:val="56"/>
        <w:numPr>
          <w:ilvl w:val="0"/>
          <w:numId w:val="9"/>
        </w:numPr>
        <w:ind w:firstLineChars="0"/>
        <w:rPr>
          <w:color w:val="auto"/>
          <w:szCs w:val="21"/>
          <w:highlight w:val="none"/>
        </w:rPr>
      </w:pPr>
      <w:r>
        <w:rPr>
          <w:color w:val="auto"/>
          <w:szCs w:val="21"/>
          <w:highlight w:val="none"/>
        </w:rPr>
        <w:t>《关于水土保持补偿费收费标准(试行)的通知》，国家发展改革委财政部水利部，发改价格[2014]886号；主体工程涉及的新疆物价局、财政厅、水利厅颁发的各省(区)“水土保持设施补尝费收取与管理办法”的有关文件；</w:t>
      </w:r>
    </w:p>
    <w:p>
      <w:pPr>
        <w:pStyle w:val="56"/>
        <w:numPr>
          <w:ilvl w:val="0"/>
          <w:numId w:val="9"/>
        </w:numPr>
        <w:ind w:firstLineChars="0"/>
        <w:rPr>
          <w:color w:val="auto"/>
          <w:szCs w:val="21"/>
          <w:highlight w:val="none"/>
        </w:rPr>
      </w:pPr>
      <w:r>
        <w:rPr>
          <w:color w:val="auto"/>
          <w:highlight w:val="none"/>
        </w:rPr>
        <w:t>《新疆维吾尔自治区水土保持设施补偿费、水土流失防治费收缴使用管理暂行规定》新政发(2000)45号；</w:t>
      </w:r>
    </w:p>
    <w:p>
      <w:pPr>
        <w:pStyle w:val="56"/>
        <w:numPr>
          <w:ilvl w:val="0"/>
          <w:numId w:val="9"/>
        </w:numPr>
        <w:ind w:firstLineChars="0"/>
        <w:rPr>
          <w:color w:val="auto"/>
          <w:highlight w:val="none"/>
        </w:rPr>
      </w:pPr>
      <w:r>
        <w:rPr>
          <w:color w:val="auto"/>
          <w:highlight w:val="none"/>
        </w:rPr>
        <w:t>《新疆维吾尔自治区水土保持补偿费征收使用管理办法》(新财非税[2015]10号)；</w:t>
      </w:r>
    </w:p>
    <w:p>
      <w:pPr>
        <w:pStyle w:val="56"/>
        <w:numPr>
          <w:ilvl w:val="0"/>
          <w:numId w:val="9"/>
        </w:numPr>
        <w:ind w:firstLineChars="0"/>
        <w:rPr>
          <w:color w:val="auto"/>
          <w:highlight w:val="none"/>
        </w:rPr>
      </w:pPr>
      <w:r>
        <w:rPr>
          <w:rFonts w:hint="eastAsia" w:cs="Times New Roman"/>
          <w:color w:val="auto"/>
          <w:lang w:eastAsia="zh-CN"/>
        </w:rPr>
        <w:t>《关于严格执行国家发展改革委财政部降低部分行政事业性收费标准的通知》</w:t>
      </w:r>
      <w:r>
        <w:rPr>
          <w:rFonts w:hint="default" w:ascii="Times New Roman" w:hAnsi="Times New Roman" w:eastAsia="仿宋_GB2312" w:cs="Times New Roman"/>
          <w:color w:val="auto"/>
        </w:rPr>
        <w:t>新</w:t>
      </w:r>
      <w:r>
        <w:rPr>
          <w:rFonts w:hint="eastAsia" w:cs="Times New Roman"/>
          <w:color w:val="auto"/>
          <w:lang w:eastAsia="zh-CN"/>
        </w:rPr>
        <w:t>水办</w:t>
      </w:r>
      <w:r>
        <w:rPr>
          <w:rFonts w:hint="default" w:ascii="Times New Roman" w:hAnsi="Times New Roman" w:eastAsia="仿宋_GB2312" w:cs="Times New Roman"/>
          <w:color w:val="auto"/>
        </w:rPr>
        <w:t>〔20</w:t>
      </w:r>
      <w:r>
        <w:rPr>
          <w:rFonts w:hint="eastAsia" w:cs="Times New Roman"/>
          <w:color w:val="auto"/>
          <w:lang w:val="en-US" w:eastAsia="zh-CN"/>
        </w:rPr>
        <w:t>20</w:t>
      </w:r>
      <w:r>
        <w:rPr>
          <w:rFonts w:hint="default" w:ascii="Times New Roman" w:hAnsi="Times New Roman" w:eastAsia="仿宋_GB2312" w:cs="Times New Roman"/>
          <w:color w:val="auto"/>
        </w:rPr>
        <w:t>〕1</w:t>
      </w:r>
      <w:r>
        <w:rPr>
          <w:rFonts w:hint="eastAsia" w:cs="Times New Roman"/>
          <w:color w:val="auto"/>
          <w:lang w:val="en-US" w:eastAsia="zh-CN"/>
        </w:rPr>
        <w:t>68</w:t>
      </w:r>
      <w:r>
        <w:rPr>
          <w:rFonts w:hint="default" w:ascii="Times New Roman" w:hAnsi="Times New Roman" w:eastAsia="仿宋_GB2312" w:cs="Times New Roman"/>
          <w:color w:val="auto"/>
        </w:rPr>
        <w:t>号</w:t>
      </w:r>
    </w:p>
    <w:p>
      <w:pPr>
        <w:pStyle w:val="56"/>
        <w:numPr>
          <w:ilvl w:val="0"/>
          <w:numId w:val="9"/>
        </w:numPr>
        <w:ind w:firstLineChars="0"/>
        <w:rPr>
          <w:color w:val="auto"/>
          <w:highlight w:val="none"/>
        </w:rPr>
      </w:pPr>
      <w:r>
        <w:rPr>
          <w:color w:val="auto"/>
          <w:highlight w:val="none"/>
        </w:rPr>
        <w:t>《关于印发水利工程营业税改增值税计价依据调整办法的通知》(水利部办公厅，办水总[2016]132号，2016年7月5日)；</w:t>
      </w:r>
    </w:p>
    <w:p>
      <w:pPr>
        <w:pStyle w:val="56"/>
        <w:numPr>
          <w:ilvl w:val="0"/>
          <w:numId w:val="9"/>
        </w:numPr>
        <w:ind w:firstLineChars="0"/>
        <w:rPr>
          <w:color w:val="auto"/>
          <w:highlight w:val="none"/>
        </w:rPr>
      </w:pPr>
      <w:r>
        <w:rPr>
          <w:color w:val="auto"/>
          <w:highlight w:val="none"/>
        </w:rPr>
        <w:t>《建设工程监理与相关服务收费管理规定》（国家发改委670号文）；</w:t>
      </w:r>
    </w:p>
    <w:p>
      <w:pPr>
        <w:pStyle w:val="56"/>
        <w:numPr>
          <w:ilvl w:val="0"/>
          <w:numId w:val="9"/>
        </w:numPr>
        <w:ind w:firstLineChars="0"/>
        <w:rPr>
          <w:color w:val="auto"/>
          <w:highlight w:val="none"/>
        </w:rPr>
      </w:pPr>
      <w:r>
        <w:rPr>
          <w:color w:val="auto"/>
          <w:highlight w:val="none"/>
        </w:rPr>
        <w:t>财政部 税务总局关于调整增值税税率的通知（财税〔2018〕32号）；</w:t>
      </w:r>
    </w:p>
    <w:p>
      <w:pPr>
        <w:pStyle w:val="56"/>
        <w:numPr>
          <w:ilvl w:val="0"/>
          <w:numId w:val="9"/>
        </w:numPr>
        <w:ind w:firstLineChars="0"/>
        <w:rPr>
          <w:color w:val="auto"/>
          <w:highlight w:val="none"/>
        </w:rPr>
      </w:pPr>
      <w:r>
        <w:rPr>
          <w:color w:val="auto"/>
          <w:highlight w:val="none"/>
        </w:rPr>
        <w:t>水利部办公厅关于调整水利工程计价依据 增值税计算标准的通知（办财务函[2019]448号）；</w:t>
      </w:r>
    </w:p>
    <w:p>
      <w:pPr>
        <w:pStyle w:val="56"/>
        <w:numPr>
          <w:ilvl w:val="0"/>
          <w:numId w:val="9"/>
        </w:numPr>
        <w:ind w:firstLineChars="0"/>
        <w:rPr>
          <w:color w:val="auto"/>
          <w:highlight w:val="none"/>
        </w:rPr>
      </w:pPr>
      <w:r>
        <w:rPr>
          <w:color w:val="auto"/>
          <w:highlight w:val="none"/>
        </w:rPr>
        <w:t>新疆维吾尔自治区住房和城乡建设厅关于实施《建筑业增值税新税率调整建设工程计价依据的通知》（新建标〔2018〕6号）</w:t>
      </w:r>
    </w:p>
    <w:p>
      <w:pPr>
        <w:pStyle w:val="56"/>
        <w:numPr>
          <w:ilvl w:val="0"/>
          <w:numId w:val="9"/>
        </w:numPr>
        <w:ind w:firstLineChars="0"/>
        <w:rPr>
          <w:color w:val="auto"/>
          <w:highlight w:val="none"/>
        </w:rPr>
      </w:pPr>
      <w:r>
        <w:rPr>
          <w:color w:val="auto"/>
          <w:highlight w:val="none"/>
        </w:rPr>
        <w:t>《水利工程计价依据增值税计算标准的通知》办财务函[2019]448号；</w:t>
      </w:r>
    </w:p>
    <w:p>
      <w:pPr>
        <w:pStyle w:val="56"/>
        <w:numPr>
          <w:ilvl w:val="0"/>
          <w:numId w:val="9"/>
        </w:numPr>
        <w:ind w:firstLineChars="0"/>
        <w:rPr>
          <w:color w:val="auto"/>
          <w:highlight w:val="none"/>
        </w:rPr>
      </w:pPr>
      <w:r>
        <w:rPr>
          <w:color w:val="auto"/>
          <w:highlight w:val="none"/>
        </w:rPr>
        <w:t>主体工程设计资料；</w:t>
      </w:r>
    </w:p>
    <w:p>
      <w:pPr>
        <w:pStyle w:val="69"/>
        <w:rPr>
          <w:color w:val="auto"/>
          <w:highlight w:val="none"/>
        </w:rPr>
      </w:pPr>
      <w:r>
        <w:rPr>
          <w:color w:val="auto"/>
          <w:highlight w:val="none"/>
        </w:rPr>
        <w:t>7.1.2 编制说明与估算成果</w:t>
      </w:r>
    </w:p>
    <w:p>
      <w:pPr>
        <w:pStyle w:val="72"/>
        <w:rPr>
          <w:color w:val="auto"/>
          <w:highlight w:val="none"/>
        </w:rPr>
      </w:pPr>
      <w:r>
        <w:rPr>
          <w:color w:val="auto"/>
          <w:highlight w:val="none"/>
        </w:rPr>
        <w:t>7.1.2.1 编制说明</w:t>
      </w:r>
    </w:p>
    <w:p>
      <w:pPr>
        <w:pStyle w:val="56"/>
        <w:ind w:firstLine="482"/>
        <w:rPr>
          <w:b/>
          <w:color w:val="auto"/>
          <w:highlight w:val="none"/>
        </w:rPr>
      </w:pPr>
      <w:r>
        <w:rPr>
          <w:b/>
          <w:color w:val="auto"/>
          <w:highlight w:val="none"/>
        </w:rPr>
        <w:t>（1）基础单价</w:t>
      </w:r>
    </w:p>
    <w:p>
      <w:pPr>
        <w:pStyle w:val="56"/>
        <w:ind w:firstLine="480"/>
        <w:rPr>
          <w:color w:val="auto"/>
          <w:highlight w:val="none"/>
        </w:rPr>
      </w:pPr>
      <w:r>
        <w:rPr>
          <w:color w:val="auto"/>
          <w:highlight w:val="none"/>
        </w:rPr>
        <w:t>1）人工单价</w:t>
      </w:r>
    </w:p>
    <w:p>
      <w:pPr>
        <w:pStyle w:val="56"/>
        <w:ind w:firstLine="480"/>
        <w:rPr>
          <w:color w:val="auto"/>
          <w:highlight w:val="none"/>
        </w:rPr>
      </w:pPr>
      <w:r>
        <w:rPr>
          <w:color w:val="auto"/>
          <w:highlight w:val="none"/>
        </w:rPr>
        <w:t>本水保工程的单价采取主体工程中的单价，不足的部分采取水利部水总[2003]67号文颁发的《开发建设项目水土保持工程概（估）算编制规定》。本工程采用的人工预算单价、主要工程单价、取费费率与主体工程一致，不足部分参考相关规定。本工程参考主体工程人工单价，为10.80元/h。</w:t>
      </w:r>
    </w:p>
    <w:p>
      <w:pPr>
        <w:pStyle w:val="56"/>
        <w:ind w:firstLine="480"/>
        <w:rPr>
          <w:color w:val="auto"/>
          <w:highlight w:val="none"/>
        </w:rPr>
      </w:pPr>
      <w:r>
        <w:rPr>
          <w:color w:val="auto"/>
          <w:highlight w:val="none"/>
        </w:rPr>
        <w:t>2）主要材料价格</w:t>
      </w:r>
    </w:p>
    <w:p>
      <w:pPr>
        <w:pStyle w:val="56"/>
        <w:ind w:firstLine="480"/>
        <w:rPr>
          <w:color w:val="auto"/>
          <w:highlight w:val="none"/>
        </w:rPr>
      </w:pPr>
      <w:r>
        <w:rPr>
          <w:color w:val="auto"/>
          <w:highlight w:val="none"/>
        </w:rPr>
        <w:t>根据本工程地理位置及施工组织设计确定主要材料：防尘网从</w:t>
      </w:r>
      <w:r>
        <w:rPr>
          <w:rFonts w:hint="eastAsia"/>
          <w:color w:val="auto"/>
          <w:highlight w:val="none"/>
          <w:lang w:eastAsia="zh-CN"/>
        </w:rPr>
        <w:t>伊宁</w:t>
      </w:r>
      <w:r>
        <w:rPr>
          <w:rFonts w:hint="eastAsia"/>
          <w:color w:val="auto"/>
          <w:highlight w:val="none"/>
        </w:rPr>
        <w:t>县</w:t>
      </w:r>
      <w:r>
        <w:rPr>
          <w:color w:val="auto"/>
          <w:highlight w:val="none"/>
        </w:rPr>
        <w:t>购买，汽车运到工地，本工程不计运输保险费，采购及保管费按1~2.3%计取。</w:t>
      </w:r>
    </w:p>
    <w:p>
      <w:pPr>
        <w:pStyle w:val="56"/>
        <w:ind w:firstLine="480"/>
        <w:rPr>
          <w:color w:val="auto"/>
          <w:highlight w:val="none"/>
        </w:rPr>
      </w:pPr>
      <w:r>
        <w:rPr>
          <w:color w:val="auto"/>
          <w:highlight w:val="none"/>
        </w:rPr>
        <w:t>3）水、电价格</w:t>
      </w:r>
    </w:p>
    <w:p>
      <w:pPr>
        <w:pStyle w:val="56"/>
        <w:ind w:firstLine="480"/>
        <w:rPr>
          <w:color w:val="auto"/>
          <w:highlight w:val="none"/>
        </w:rPr>
      </w:pPr>
      <w:r>
        <w:rPr>
          <w:color w:val="auto"/>
          <w:highlight w:val="none"/>
        </w:rPr>
        <w:t>施工用电参考主体工程单价：平均电价0.80元/kW.h。</w:t>
      </w:r>
    </w:p>
    <w:p>
      <w:pPr>
        <w:pStyle w:val="56"/>
        <w:ind w:firstLine="480"/>
        <w:rPr>
          <w:color w:val="auto"/>
          <w:highlight w:val="none"/>
        </w:rPr>
      </w:pPr>
      <w:r>
        <w:rPr>
          <w:color w:val="auto"/>
          <w:highlight w:val="none"/>
        </w:rPr>
        <w:t>施工用水参考主体工程单价：水价为3.50元/m³。</w:t>
      </w:r>
    </w:p>
    <w:p>
      <w:pPr>
        <w:pStyle w:val="56"/>
        <w:ind w:firstLine="480"/>
        <w:rPr>
          <w:color w:val="auto"/>
          <w:highlight w:val="none"/>
        </w:rPr>
      </w:pPr>
      <w:r>
        <w:rPr>
          <w:color w:val="auto"/>
          <w:highlight w:val="none"/>
        </w:rPr>
        <w:t>4）施工机械台时费</w:t>
      </w:r>
    </w:p>
    <w:p>
      <w:pPr>
        <w:pStyle w:val="56"/>
        <w:ind w:firstLine="480"/>
        <w:rPr>
          <w:color w:val="auto"/>
          <w:highlight w:val="none"/>
        </w:rPr>
      </w:pPr>
      <w:r>
        <w:rPr>
          <w:color w:val="auto"/>
          <w:highlight w:val="none"/>
        </w:rPr>
        <w:t>主要施工机械台时费与主体工程保持一致，不足部分按照《施工机械台时费定额》编制。</w:t>
      </w:r>
    </w:p>
    <w:p>
      <w:pPr>
        <w:pStyle w:val="56"/>
        <w:ind w:firstLine="482"/>
        <w:rPr>
          <w:b/>
          <w:color w:val="auto"/>
          <w:highlight w:val="none"/>
        </w:rPr>
      </w:pPr>
      <w:r>
        <w:rPr>
          <w:b/>
          <w:color w:val="auto"/>
          <w:highlight w:val="none"/>
        </w:rPr>
        <w:t>（2）工程单价</w:t>
      </w:r>
    </w:p>
    <w:p>
      <w:pPr>
        <w:pStyle w:val="56"/>
        <w:ind w:firstLine="480"/>
        <w:rPr>
          <w:color w:val="auto"/>
          <w:highlight w:val="none"/>
        </w:rPr>
      </w:pPr>
      <w:r>
        <w:rPr>
          <w:color w:val="auto"/>
          <w:highlight w:val="none"/>
        </w:rPr>
        <w:t>工程单价采用主体工程单价，不足部分采用《水土保持工程估算定额》编制。单价中费率采用主体工程的费率，主体工程估算中未明确的采用《开发建设项目水土保持工程概（估）算编制规定》。</w:t>
      </w:r>
    </w:p>
    <w:p>
      <w:pPr>
        <w:pStyle w:val="56"/>
        <w:ind w:firstLine="482"/>
        <w:rPr>
          <w:b/>
          <w:color w:val="auto"/>
          <w:highlight w:val="none"/>
        </w:rPr>
      </w:pPr>
      <w:r>
        <w:rPr>
          <w:b/>
          <w:color w:val="auto"/>
          <w:highlight w:val="none"/>
        </w:rPr>
        <w:t>（3）费率标准</w:t>
      </w:r>
    </w:p>
    <w:p>
      <w:pPr>
        <w:pStyle w:val="56"/>
        <w:ind w:firstLine="480"/>
        <w:rPr>
          <w:color w:val="auto"/>
          <w:highlight w:val="none"/>
        </w:rPr>
      </w:pPr>
      <w:r>
        <w:rPr>
          <w:color w:val="auto"/>
          <w:highlight w:val="none"/>
        </w:rPr>
        <w:t>工程措施单价根据《水土保持工程概（估）算编制规定》规定，由直接工程费（包括直接费、其他直接费、现场经费）、间接费、企业利润、税金和扩大系数构成。</w:t>
      </w:r>
    </w:p>
    <w:p>
      <w:pPr>
        <w:pStyle w:val="56"/>
        <w:ind w:firstLine="480"/>
        <w:rPr>
          <w:color w:val="auto"/>
          <w:highlight w:val="none"/>
        </w:rPr>
      </w:pPr>
      <w:r>
        <w:rPr>
          <w:color w:val="auto"/>
          <w:highlight w:val="none"/>
        </w:rPr>
        <w:t>措施费率表，见表7-1-1。</w:t>
      </w:r>
    </w:p>
    <w:p>
      <w:pPr>
        <w:pStyle w:val="75"/>
        <w:rPr>
          <w:color w:val="auto"/>
          <w:highlight w:val="none"/>
        </w:rPr>
      </w:pPr>
      <w:r>
        <w:rPr>
          <w:color w:val="auto"/>
          <w:highlight w:val="none"/>
        </w:rPr>
        <w:t>表7-1-1           措施费率汇总表         单位：%</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9"/>
        <w:gridCol w:w="1294"/>
        <w:gridCol w:w="3271"/>
        <w:gridCol w:w="1305"/>
        <w:gridCol w:w="1154"/>
        <w:gridCol w:w="13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375" w:type="pct"/>
            <w:vAlign w:val="center"/>
          </w:tcPr>
          <w:p>
            <w:pPr>
              <w:pStyle w:val="84"/>
              <w:rPr>
                <w:snapToGrid w:val="0"/>
                <w:color w:val="auto"/>
                <w:kern w:val="24"/>
                <w:highlight w:val="none"/>
              </w:rPr>
            </w:pPr>
            <w:r>
              <w:rPr>
                <w:snapToGrid w:val="0"/>
                <w:color w:val="auto"/>
                <w:kern w:val="24"/>
                <w:highlight w:val="none"/>
              </w:rPr>
              <w:t>序号</w:t>
            </w:r>
          </w:p>
        </w:tc>
        <w:tc>
          <w:tcPr>
            <w:tcW w:w="714" w:type="pct"/>
            <w:vAlign w:val="center"/>
          </w:tcPr>
          <w:p>
            <w:pPr>
              <w:pStyle w:val="84"/>
              <w:rPr>
                <w:snapToGrid w:val="0"/>
                <w:color w:val="auto"/>
                <w:kern w:val="24"/>
                <w:highlight w:val="none"/>
              </w:rPr>
            </w:pPr>
            <w:r>
              <w:rPr>
                <w:snapToGrid w:val="0"/>
                <w:color w:val="auto"/>
                <w:kern w:val="24"/>
                <w:highlight w:val="none"/>
              </w:rPr>
              <w:t>工程类别</w:t>
            </w:r>
          </w:p>
        </w:tc>
        <w:tc>
          <w:tcPr>
            <w:tcW w:w="1805" w:type="pct"/>
            <w:vAlign w:val="center"/>
          </w:tcPr>
          <w:p>
            <w:pPr>
              <w:pStyle w:val="84"/>
              <w:rPr>
                <w:snapToGrid w:val="0"/>
                <w:color w:val="auto"/>
                <w:kern w:val="24"/>
                <w:highlight w:val="none"/>
              </w:rPr>
            </w:pPr>
            <w:r>
              <w:rPr>
                <w:snapToGrid w:val="0"/>
                <w:color w:val="auto"/>
                <w:kern w:val="24"/>
                <w:highlight w:val="none"/>
              </w:rPr>
              <w:t>计算基础</w:t>
            </w:r>
          </w:p>
        </w:tc>
        <w:tc>
          <w:tcPr>
            <w:tcW w:w="720" w:type="pct"/>
            <w:vAlign w:val="center"/>
          </w:tcPr>
          <w:p>
            <w:pPr>
              <w:pStyle w:val="84"/>
              <w:rPr>
                <w:snapToGrid w:val="0"/>
                <w:color w:val="auto"/>
                <w:kern w:val="24"/>
                <w:highlight w:val="none"/>
              </w:rPr>
            </w:pPr>
            <w:r>
              <w:rPr>
                <w:snapToGrid w:val="0"/>
                <w:color w:val="auto"/>
                <w:kern w:val="24"/>
                <w:highlight w:val="none"/>
              </w:rPr>
              <w:t>土石方工程</w:t>
            </w:r>
          </w:p>
        </w:tc>
        <w:tc>
          <w:tcPr>
            <w:tcW w:w="637" w:type="pct"/>
            <w:vAlign w:val="center"/>
          </w:tcPr>
          <w:p>
            <w:pPr>
              <w:pStyle w:val="84"/>
              <w:rPr>
                <w:snapToGrid w:val="0"/>
                <w:color w:val="auto"/>
                <w:kern w:val="24"/>
                <w:highlight w:val="none"/>
              </w:rPr>
            </w:pPr>
            <w:r>
              <w:rPr>
                <w:snapToGrid w:val="0"/>
                <w:color w:val="auto"/>
                <w:kern w:val="24"/>
                <w:highlight w:val="none"/>
              </w:rPr>
              <w:t>植物措施</w:t>
            </w:r>
          </w:p>
        </w:tc>
        <w:tc>
          <w:tcPr>
            <w:tcW w:w="749" w:type="pct"/>
            <w:vAlign w:val="center"/>
          </w:tcPr>
          <w:p>
            <w:pPr>
              <w:pStyle w:val="84"/>
              <w:rPr>
                <w:snapToGrid w:val="0"/>
                <w:color w:val="auto"/>
                <w:kern w:val="24"/>
                <w:highlight w:val="none"/>
              </w:rPr>
            </w:pPr>
            <w:r>
              <w:rPr>
                <w:snapToGrid w:val="0"/>
                <w:color w:val="auto"/>
                <w:kern w:val="24"/>
                <w:highlight w:val="none"/>
              </w:rPr>
              <w:t>其他工程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375" w:type="pct"/>
            <w:vAlign w:val="center"/>
          </w:tcPr>
          <w:p>
            <w:pPr>
              <w:pStyle w:val="84"/>
              <w:rPr>
                <w:snapToGrid w:val="0"/>
                <w:color w:val="auto"/>
                <w:kern w:val="24"/>
                <w:highlight w:val="none"/>
              </w:rPr>
            </w:pPr>
            <w:r>
              <w:rPr>
                <w:snapToGrid w:val="0"/>
                <w:color w:val="auto"/>
                <w:kern w:val="24"/>
                <w:highlight w:val="none"/>
              </w:rPr>
              <w:t>一</w:t>
            </w:r>
          </w:p>
        </w:tc>
        <w:tc>
          <w:tcPr>
            <w:tcW w:w="714" w:type="pct"/>
            <w:vAlign w:val="center"/>
          </w:tcPr>
          <w:p>
            <w:pPr>
              <w:pStyle w:val="84"/>
              <w:rPr>
                <w:snapToGrid w:val="0"/>
                <w:color w:val="auto"/>
                <w:kern w:val="24"/>
                <w:highlight w:val="none"/>
              </w:rPr>
            </w:pPr>
            <w:r>
              <w:rPr>
                <w:snapToGrid w:val="0"/>
                <w:color w:val="auto"/>
                <w:kern w:val="24"/>
                <w:highlight w:val="none"/>
              </w:rPr>
              <w:t>其他直接费</w:t>
            </w:r>
          </w:p>
        </w:tc>
        <w:tc>
          <w:tcPr>
            <w:tcW w:w="1805" w:type="pct"/>
            <w:vAlign w:val="center"/>
          </w:tcPr>
          <w:p>
            <w:pPr>
              <w:pStyle w:val="84"/>
              <w:rPr>
                <w:snapToGrid w:val="0"/>
                <w:color w:val="auto"/>
                <w:kern w:val="24"/>
                <w:highlight w:val="none"/>
              </w:rPr>
            </w:pPr>
            <w:r>
              <w:rPr>
                <w:snapToGrid w:val="0"/>
                <w:color w:val="auto"/>
                <w:kern w:val="24"/>
                <w:highlight w:val="none"/>
              </w:rPr>
              <w:t>直接费</w:t>
            </w:r>
          </w:p>
        </w:tc>
        <w:tc>
          <w:tcPr>
            <w:tcW w:w="720" w:type="pct"/>
            <w:vAlign w:val="center"/>
          </w:tcPr>
          <w:p>
            <w:pPr>
              <w:pStyle w:val="84"/>
              <w:rPr>
                <w:snapToGrid w:val="0"/>
                <w:color w:val="auto"/>
                <w:kern w:val="24"/>
                <w:highlight w:val="none"/>
              </w:rPr>
            </w:pPr>
            <w:r>
              <w:rPr>
                <w:snapToGrid w:val="0"/>
                <w:color w:val="auto"/>
                <w:kern w:val="24"/>
                <w:highlight w:val="none"/>
              </w:rPr>
              <w:t>4.0</w:t>
            </w:r>
          </w:p>
        </w:tc>
        <w:tc>
          <w:tcPr>
            <w:tcW w:w="637" w:type="pct"/>
            <w:vAlign w:val="center"/>
          </w:tcPr>
          <w:p>
            <w:pPr>
              <w:pStyle w:val="84"/>
              <w:rPr>
                <w:snapToGrid w:val="0"/>
                <w:color w:val="auto"/>
                <w:kern w:val="24"/>
                <w:highlight w:val="none"/>
              </w:rPr>
            </w:pPr>
            <w:r>
              <w:rPr>
                <w:snapToGrid w:val="0"/>
                <w:color w:val="auto"/>
                <w:kern w:val="24"/>
                <w:highlight w:val="none"/>
              </w:rPr>
              <w:t>3.0</w:t>
            </w:r>
          </w:p>
        </w:tc>
        <w:tc>
          <w:tcPr>
            <w:tcW w:w="749" w:type="pct"/>
            <w:vAlign w:val="center"/>
          </w:tcPr>
          <w:p>
            <w:pPr>
              <w:pStyle w:val="84"/>
              <w:rPr>
                <w:snapToGrid w:val="0"/>
                <w:color w:val="auto"/>
                <w:kern w:val="24"/>
                <w:highlight w:val="none"/>
              </w:rPr>
            </w:pPr>
            <w:r>
              <w:rPr>
                <w:snapToGrid w:val="0"/>
                <w:color w:val="auto"/>
                <w:kern w:val="24"/>
                <w:highlight w:val="none"/>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375" w:type="pct"/>
            <w:vAlign w:val="center"/>
          </w:tcPr>
          <w:p>
            <w:pPr>
              <w:pStyle w:val="84"/>
              <w:rPr>
                <w:snapToGrid w:val="0"/>
                <w:color w:val="auto"/>
                <w:kern w:val="24"/>
                <w:highlight w:val="none"/>
              </w:rPr>
            </w:pPr>
            <w:r>
              <w:rPr>
                <w:snapToGrid w:val="0"/>
                <w:color w:val="auto"/>
                <w:kern w:val="24"/>
                <w:highlight w:val="none"/>
              </w:rPr>
              <w:t>二</w:t>
            </w:r>
          </w:p>
        </w:tc>
        <w:tc>
          <w:tcPr>
            <w:tcW w:w="714" w:type="pct"/>
            <w:vAlign w:val="center"/>
          </w:tcPr>
          <w:p>
            <w:pPr>
              <w:pStyle w:val="84"/>
              <w:rPr>
                <w:snapToGrid w:val="0"/>
                <w:color w:val="auto"/>
                <w:kern w:val="24"/>
                <w:highlight w:val="none"/>
              </w:rPr>
            </w:pPr>
            <w:r>
              <w:rPr>
                <w:snapToGrid w:val="0"/>
                <w:color w:val="auto"/>
                <w:kern w:val="24"/>
                <w:highlight w:val="none"/>
              </w:rPr>
              <w:t>现场经费</w:t>
            </w:r>
          </w:p>
        </w:tc>
        <w:tc>
          <w:tcPr>
            <w:tcW w:w="1805" w:type="pct"/>
            <w:vAlign w:val="center"/>
          </w:tcPr>
          <w:p>
            <w:pPr>
              <w:pStyle w:val="84"/>
              <w:rPr>
                <w:snapToGrid w:val="0"/>
                <w:color w:val="auto"/>
                <w:kern w:val="24"/>
                <w:highlight w:val="none"/>
              </w:rPr>
            </w:pPr>
            <w:r>
              <w:rPr>
                <w:snapToGrid w:val="0"/>
                <w:color w:val="auto"/>
                <w:kern w:val="24"/>
                <w:highlight w:val="none"/>
              </w:rPr>
              <w:t>直接费</w:t>
            </w:r>
          </w:p>
        </w:tc>
        <w:tc>
          <w:tcPr>
            <w:tcW w:w="720" w:type="pct"/>
            <w:vAlign w:val="center"/>
          </w:tcPr>
          <w:p>
            <w:pPr>
              <w:pStyle w:val="84"/>
              <w:rPr>
                <w:snapToGrid w:val="0"/>
                <w:color w:val="auto"/>
                <w:kern w:val="24"/>
                <w:highlight w:val="none"/>
              </w:rPr>
            </w:pPr>
            <w:r>
              <w:rPr>
                <w:snapToGrid w:val="0"/>
                <w:color w:val="auto"/>
                <w:kern w:val="24"/>
                <w:highlight w:val="none"/>
              </w:rPr>
              <w:t>5</w:t>
            </w:r>
          </w:p>
        </w:tc>
        <w:tc>
          <w:tcPr>
            <w:tcW w:w="637" w:type="pct"/>
            <w:vAlign w:val="center"/>
          </w:tcPr>
          <w:p>
            <w:pPr>
              <w:pStyle w:val="84"/>
              <w:rPr>
                <w:snapToGrid w:val="0"/>
                <w:color w:val="auto"/>
                <w:kern w:val="24"/>
                <w:highlight w:val="none"/>
              </w:rPr>
            </w:pPr>
            <w:r>
              <w:rPr>
                <w:snapToGrid w:val="0"/>
                <w:color w:val="auto"/>
                <w:kern w:val="24"/>
                <w:highlight w:val="none"/>
              </w:rPr>
              <w:t>4.0</w:t>
            </w:r>
          </w:p>
        </w:tc>
        <w:tc>
          <w:tcPr>
            <w:tcW w:w="749" w:type="pct"/>
            <w:vAlign w:val="center"/>
          </w:tcPr>
          <w:p>
            <w:pPr>
              <w:pStyle w:val="84"/>
              <w:rPr>
                <w:snapToGrid w:val="0"/>
                <w:color w:val="auto"/>
                <w:kern w:val="24"/>
                <w:highlight w:val="none"/>
              </w:rPr>
            </w:pPr>
            <w:r>
              <w:rPr>
                <w:snapToGrid w:val="0"/>
                <w:color w:val="auto"/>
                <w:kern w:val="24"/>
                <w:highlight w:val="non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375" w:type="pct"/>
            <w:vAlign w:val="center"/>
          </w:tcPr>
          <w:p>
            <w:pPr>
              <w:pStyle w:val="84"/>
              <w:rPr>
                <w:snapToGrid w:val="0"/>
                <w:color w:val="auto"/>
                <w:kern w:val="24"/>
                <w:highlight w:val="none"/>
              </w:rPr>
            </w:pPr>
            <w:r>
              <w:rPr>
                <w:snapToGrid w:val="0"/>
                <w:color w:val="auto"/>
                <w:kern w:val="24"/>
                <w:highlight w:val="none"/>
              </w:rPr>
              <w:t>三</w:t>
            </w:r>
          </w:p>
        </w:tc>
        <w:tc>
          <w:tcPr>
            <w:tcW w:w="714" w:type="pct"/>
            <w:vAlign w:val="center"/>
          </w:tcPr>
          <w:p>
            <w:pPr>
              <w:pStyle w:val="84"/>
              <w:rPr>
                <w:snapToGrid w:val="0"/>
                <w:color w:val="auto"/>
                <w:kern w:val="24"/>
                <w:highlight w:val="none"/>
              </w:rPr>
            </w:pPr>
            <w:r>
              <w:rPr>
                <w:snapToGrid w:val="0"/>
                <w:color w:val="auto"/>
                <w:kern w:val="24"/>
                <w:highlight w:val="none"/>
              </w:rPr>
              <w:t>间接费</w:t>
            </w:r>
          </w:p>
        </w:tc>
        <w:tc>
          <w:tcPr>
            <w:tcW w:w="1805" w:type="pct"/>
            <w:vAlign w:val="center"/>
          </w:tcPr>
          <w:p>
            <w:pPr>
              <w:pStyle w:val="84"/>
              <w:rPr>
                <w:snapToGrid w:val="0"/>
                <w:color w:val="auto"/>
                <w:kern w:val="24"/>
                <w:highlight w:val="none"/>
              </w:rPr>
            </w:pPr>
            <w:r>
              <w:rPr>
                <w:snapToGrid w:val="0"/>
                <w:color w:val="auto"/>
                <w:kern w:val="24"/>
                <w:highlight w:val="none"/>
              </w:rPr>
              <w:t>直接工程费</w:t>
            </w:r>
          </w:p>
        </w:tc>
        <w:tc>
          <w:tcPr>
            <w:tcW w:w="720" w:type="pct"/>
            <w:vAlign w:val="center"/>
          </w:tcPr>
          <w:p>
            <w:pPr>
              <w:pStyle w:val="84"/>
              <w:rPr>
                <w:snapToGrid w:val="0"/>
                <w:color w:val="auto"/>
                <w:kern w:val="24"/>
                <w:highlight w:val="none"/>
              </w:rPr>
            </w:pPr>
            <w:r>
              <w:rPr>
                <w:snapToGrid w:val="0"/>
                <w:color w:val="auto"/>
                <w:kern w:val="24"/>
                <w:highlight w:val="none"/>
              </w:rPr>
              <w:t>4.4</w:t>
            </w:r>
          </w:p>
        </w:tc>
        <w:tc>
          <w:tcPr>
            <w:tcW w:w="637" w:type="pct"/>
            <w:vAlign w:val="center"/>
          </w:tcPr>
          <w:p>
            <w:pPr>
              <w:pStyle w:val="84"/>
              <w:rPr>
                <w:snapToGrid w:val="0"/>
                <w:color w:val="auto"/>
                <w:kern w:val="24"/>
                <w:highlight w:val="none"/>
              </w:rPr>
            </w:pPr>
            <w:r>
              <w:rPr>
                <w:snapToGrid w:val="0"/>
                <w:color w:val="auto"/>
                <w:kern w:val="24"/>
                <w:highlight w:val="none"/>
              </w:rPr>
              <w:t>3.3</w:t>
            </w:r>
          </w:p>
        </w:tc>
        <w:tc>
          <w:tcPr>
            <w:tcW w:w="749" w:type="pct"/>
            <w:vAlign w:val="center"/>
          </w:tcPr>
          <w:p>
            <w:pPr>
              <w:pStyle w:val="84"/>
              <w:rPr>
                <w:snapToGrid w:val="0"/>
                <w:color w:val="auto"/>
                <w:kern w:val="24"/>
                <w:highlight w:val="none"/>
              </w:rPr>
            </w:pPr>
            <w:r>
              <w:rPr>
                <w:snapToGrid w:val="0"/>
                <w:color w:val="auto"/>
                <w:kern w:val="24"/>
                <w:highlight w:val="none"/>
              </w:rPr>
              <w:t>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375" w:type="pct"/>
            <w:vAlign w:val="center"/>
          </w:tcPr>
          <w:p>
            <w:pPr>
              <w:pStyle w:val="84"/>
              <w:rPr>
                <w:snapToGrid w:val="0"/>
                <w:color w:val="auto"/>
                <w:kern w:val="24"/>
                <w:highlight w:val="none"/>
              </w:rPr>
            </w:pPr>
            <w:r>
              <w:rPr>
                <w:snapToGrid w:val="0"/>
                <w:color w:val="auto"/>
                <w:kern w:val="24"/>
                <w:highlight w:val="none"/>
              </w:rPr>
              <w:t>四</w:t>
            </w:r>
          </w:p>
        </w:tc>
        <w:tc>
          <w:tcPr>
            <w:tcW w:w="714" w:type="pct"/>
            <w:vAlign w:val="center"/>
          </w:tcPr>
          <w:p>
            <w:pPr>
              <w:pStyle w:val="84"/>
              <w:rPr>
                <w:snapToGrid w:val="0"/>
                <w:color w:val="auto"/>
                <w:kern w:val="24"/>
                <w:highlight w:val="none"/>
              </w:rPr>
            </w:pPr>
            <w:r>
              <w:rPr>
                <w:snapToGrid w:val="0"/>
                <w:color w:val="auto"/>
                <w:kern w:val="24"/>
                <w:highlight w:val="none"/>
              </w:rPr>
              <w:t>企业利润</w:t>
            </w:r>
          </w:p>
        </w:tc>
        <w:tc>
          <w:tcPr>
            <w:tcW w:w="1805" w:type="pct"/>
            <w:vAlign w:val="center"/>
          </w:tcPr>
          <w:p>
            <w:pPr>
              <w:pStyle w:val="84"/>
              <w:rPr>
                <w:snapToGrid w:val="0"/>
                <w:color w:val="auto"/>
                <w:kern w:val="24"/>
                <w:highlight w:val="none"/>
              </w:rPr>
            </w:pPr>
            <w:r>
              <w:rPr>
                <w:snapToGrid w:val="0"/>
                <w:color w:val="auto"/>
                <w:kern w:val="24"/>
                <w:highlight w:val="none"/>
              </w:rPr>
              <w:t>直工程接费+间接费</w:t>
            </w:r>
          </w:p>
        </w:tc>
        <w:tc>
          <w:tcPr>
            <w:tcW w:w="720" w:type="pct"/>
            <w:vAlign w:val="center"/>
          </w:tcPr>
          <w:p>
            <w:pPr>
              <w:pStyle w:val="84"/>
              <w:rPr>
                <w:snapToGrid w:val="0"/>
                <w:color w:val="auto"/>
                <w:kern w:val="24"/>
                <w:highlight w:val="none"/>
              </w:rPr>
            </w:pPr>
            <w:r>
              <w:rPr>
                <w:snapToGrid w:val="0"/>
                <w:color w:val="auto"/>
                <w:kern w:val="24"/>
                <w:highlight w:val="none"/>
              </w:rPr>
              <w:t>7</w:t>
            </w:r>
          </w:p>
        </w:tc>
        <w:tc>
          <w:tcPr>
            <w:tcW w:w="637" w:type="pct"/>
            <w:vAlign w:val="center"/>
          </w:tcPr>
          <w:p>
            <w:pPr>
              <w:pStyle w:val="84"/>
              <w:rPr>
                <w:snapToGrid w:val="0"/>
                <w:color w:val="auto"/>
                <w:kern w:val="24"/>
                <w:highlight w:val="none"/>
              </w:rPr>
            </w:pPr>
            <w:r>
              <w:rPr>
                <w:snapToGrid w:val="0"/>
                <w:color w:val="auto"/>
                <w:kern w:val="24"/>
                <w:highlight w:val="none"/>
              </w:rPr>
              <w:t>5.</w:t>
            </w:r>
          </w:p>
        </w:tc>
        <w:tc>
          <w:tcPr>
            <w:tcW w:w="749" w:type="pct"/>
            <w:vAlign w:val="center"/>
          </w:tcPr>
          <w:p>
            <w:pPr>
              <w:pStyle w:val="84"/>
              <w:rPr>
                <w:snapToGrid w:val="0"/>
                <w:color w:val="auto"/>
                <w:kern w:val="24"/>
                <w:highlight w:val="none"/>
              </w:rPr>
            </w:pPr>
            <w:r>
              <w:rPr>
                <w:snapToGrid w:val="0"/>
                <w:color w:val="auto"/>
                <w:kern w:val="24"/>
                <w:highlight w:val="none"/>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375" w:type="pct"/>
            <w:vAlign w:val="center"/>
          </w:tcPr>
          <w:p>
            <w:pPr>
              <w:pStyle w:val="84"/>
              <w:rPr>
                <w:snapToGrid w:val="0"/>
                <w:color w:val="auto"/>
                <w:kern w:val="24"/>
                <w:highlight w:val="none"/>
              </w:rPr>
            </w:pPr>
            <w:r>
              <w:rPr>
                <w:snapToGrid w:val="0"/>
                <w:color w:val="auto"/>
                <w:kern w:val="24"/>
                <w:highlight w:val="none"/>
              </w:rPr>
              <w:t>五</w:t>
            </w:r>
          </w:p>
        </w:tc>
        <w:tc>
          <w:tcPr>
            <w:tcW w:w="714" w:type="pct"/>
            <w:vAlign w:val="center"/>
          </w:tcPr>
          <w:p>
            <w:pPr>
              <w:pStyle w:val="84"/>
              <w:rPr>
                <w:snapToGrid w:val="0"/>
                <w:color w:val="auto"/>
                <w:kern w:val="24"/>
                <w:highlight w:val="none"/>
              </w:rPr>
            </w:pPr>
            <w:r>
              <w:rPr>
                <w:snapToGrid w:val="0"/>
                <w:color w:val="auto"/>
                <w:kern w:val="24"/>
                <w:highlight w:val="none"/>
              </w:rPr>
              <w:t>税金</w:t>
            </w:r>
          </w:p>
        </w:tc>
        <w:tc>
          <w:tcPr>
            <w:tcW w:w="1805" w:type="pct"/>
            <w:vAlign w:val="center"/>
          </w:tcPr>
          <w:p>
            <w:pPr>
              <w:pStyle w:val="84"/>
              <w:rPr>
                <w:snapToGrid w:val="0"/>
                <w:color w:val="auto"/>
                <w:kern w:val="24"/>
                <w:highlight w:val="none"/>
              </w:rPr>
            </w:pPr>
            <w:r>
              <w:rPr>
                <w:snapToGrid w:val="0"/>
                <w:color w:val="auto"/>
                <w:kern w:val="24"/>
                <w:highlight w:val="none"/>
              </w:rPr>
              <w:t>直接费工程费+间接费+企业利润</w:t>
            </w:r>
          </w:p>
        </w:tc>
        <w:tc>
          <w:tcPr>
            <w:tcW w:w="720" w:type="pct"/>
            <w:vAlign w:val="center"/>
          </w:tcPr>
          <w:p>
            <w:pPr>
              <w:pStyle w:val="84"/>
              <w:rPr>
                <w:snapToGrid w:val="0"/>
                <w:color w:val="auto"/>
                <w:kern w:val="24"/>
                <w:highlight w:val="none"/>
              </w:rPr>
            </w:pPr>
            <w:r>
              <w:rPr>
                <w:snapToGrid w:val="0"/>
                <w:color w:val="auto"/>
                <w:kern w:val="24"/>
                <w:highlight w:val="none"/>
              </w:rPr>
              <w:t>9</w:t>
            </w:r>
          </w:p>
        </w:tc>
        <w:tc>
          <w:tcPr>
            <w:tcW w:w="637" w:type="pct"/>
            <w:vAlign w:val="center"/>
          </w:tcPr>
          <w:p>
            <w:pPr>
              <w:pStyle w:val="84"/>
              <w:rPr>
                <w:snapToGrid w:val="0"/>
                <w:color w:val="auto"/>
                <w:kern w:val="24"/>
                <w:highlight w:val="none"/>
              </w:rPr>
            </w:pPr>
            <w:r>
              <w:rPr>
                <w:snapToGrid w:val="0"/>
                <w:color w:val="auto"/>
                <w:kern w:val="24"/>
                <w:highlight w:val="none"/>
              </w:rPr>
              <w:t>9</w:t>
            </w:r>
          </w:p>
        </w:tc>
        <w:tc>
          <w:tcPr>
            <w:tcW w:w="749" w:type="pct"/>
            <w:vAlign w:val="center"/>
          </w:tcPr>
          <w:p>
            <w:pPr>
              <w:pStyle w:val="84"/>
              <w:rPr>
                <w:snapToGrid w:val="0"/>
                <w:color w:val="auto"/>
                <w:kern w:val="24"/>
                <w:highlight w:val="none"/>
              </w:rPr>
            </w:pPr>
            <w:r>
              <w:rPr>
                <w:snapToGrid w:val="0"/>
                <w:color w:val="auto"/>
                <w:kern w:val="24"/>
                <w:highlight w:val="none"/>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375" w:type="pct"/>
            <w:vAlign w:val="center"/>
          </w:tcPr>
          <w:p>
            <w:pPr>
              <w:pStyle w:val="84"/>
              <w:rPr>
                <w:snapToGrid w:val="0"/>
                <w:color w:val="auto"/>
                <w:kern w:val="24"/>
                <w:highlight w:val="none"/>
              </w:rPr>
            </w:pPr>
            <w:r>
              <w:rPr>
                <w:snapToGrid w:val="0"/>
                <w:color w:val="auto"/>
                <w:kern w:val="24"/>
                <w:highlight w:val="none"/>
              </w:rPr>
              <w:t>六</w:t>
            </w:r>
          </w:p>
        </w:tc>
        <w:tc>
          <w:tcPr>
            <w:tcW w:w="714" w:type="pct"/>
            <w:vAlign w:val="center"/>
          </w:tcPr>
          <w:p>
            <w:pPr>
              <w:pStyle w:val="84"/>
              <w:rPr>
                <w:snapToGrid w:val="0"/>
                <w:color w:val="auto"/>
                <w:kern w:val="24"/>
                <w:highlight w:val="none"/>
              </w:rPr>
            </w:pPr>
            <w:r>
              <w:rPr>
                <w:snapToGrid w:val="0"/>
                <w:color w:val="auto"/>
                <w:kern w:val="24"/>
                <w:highlight w:val="none"/>
              </w:rPr>
              <w:t>扩大</w:t>
            </w:r>
          </w:p>
        </w:tc>
        <w:tc>
          <w:tcPr>
            <w:tcW w:w="1805" w:type="pct"/>
            <w:vAlign w:val="center"/>
          </w:tcPr>
          <w:p>
            <w:pPr>
              <w:pStyle w:val="84"/>
              <w:rPr>
                <w:snapToGrid w:val="0"/>
                <w:color w:val="auto"/>
                <w:kern w:val="24"/>
                <w:highlight w:val="none"/>
              </w:rPr>
            </w:pPr>
          </w:p>
        </w:tc>
        <w:tc>
          <w:tcPr>
            <w:tcW w:w="720" w:type="pct"/>
            <w:vAlign w:val="center"/>
          </w:tcPr>
          <w:p>
            <w:pPr>
              <w:pStyle w:val="84"/>
              <w:rPr>
                <w:snapToGrid w:val="0"/>
                <w:color w:val="auto"/>
                <w:kern w:val="24"/>
                <w:highlight w:val="none"/>
              </w:rPr>
            </w:pPr>
            <w:r>
              <w:rPr>
                <w:snapToGrid w:val="0"/>
                <w:color w:val="auto"/>
                <w:kern w:val="24"/>
                <w:highlight w:val="none"/>
              </w:rPr>
              <w:t>10</w:t>
            </w:r>
          </w:p>
        </w:tc>
        <w:tc>
          <w:tcPr>
            <w:tcW w:w="637" w:type="pct"/>
            <w:vAlign w:val="center"/>
          </w:tcPr>
          <w:p>
            <w:pPr>
              <w:pStyle w:val="84"/>
              <w:rPr>
                <w:snapToGrid w:val="0"/>
                <w:color w:val="auto"/>
                <w:kern w:val="24"/>
                <w:highlight w:val="none"/>
              </w:rPr>
            </w:pPr>
            <w:r>
              <w:rPr>
                <w:snapToGrid w:val="0"/>
                <w:color w:val="auto"/>
                <w:kern w:val="24"/>
                <w:highlight w:val="none"/>
              </w:rPr>
              <w:t>10</w:t>
            </w:r>
          </w:p>
        </w:tc>
        <w:tc>
          <w:tcPr>
            <w:tcW w:w="749" w:type="pct"/>
            <w:vAlign w:val="center"/>
          </w:tcPr>
          <w:p>
            <w:pPr>
              <w:pStyle w:val="84"/>
              <w:rPr>
                <w:snapToGrid w:val="0"/>
                <w:color w:val="auto"/>
                <w:kern w:val="24"/>
                <w:highlight w:val="none"/>
              </w:rPr>
            </w:pPr>
            <w:r>
              <w:rPr>
                <w:snapToGrid w:val="0"/>
                <w:color w:val="auto"/>
                <w:kern w:val="24"/>
                <w:highlight w:val="none"/>
              </w:rPr>
              <w:t>10</w:t>
            </w:r>
          </w:p>
        </w:tc>
      </w:tr>
    </w:tbl>
    <w:p>
      <w:pPr>
        <w:pStyle w:val="56"/>
        <w:ind w:firstLine="482"/>
        <w:rPr>
          <w:b/>
          <w:color w:val="auto"/>
          <w:highlight w:val="none"/>
        </w:rPr>
      </w:pPr>
      <w:r>
        <w:rPr>
          <w:b/>
          <w:color w:val="auto"/>
          <w:highlight w:val="none"/>
        </w:rPr>
        <w:t>（4）临时工程</w:t>
      </w:r>
    </w:p>
    <w:p>
      <w:pPr>
        <w:pStyle w:val="56"/>
        <w:ind w:firstLine="480"/>
        <w:rPr>
          <w:color w:val="auto"/>
          <w:highlight w:val="none"/>
        </w:rPr>
      </w:pPr>
      <w:r>
        <w:rPr>
          <w:color w:val="auto"/>
          <w:highlight w:val="none"/>
        </w:rPr>
        <w:t>临时防护设施按设计工程量计算投资，其他临时工程投资按前两部分建安工作量之和的2％计算。</w:t>
      </w:r>
    </w:p>
    <w:p>
      <w:pPr>
        <w:pStyle w:val="56"/>
        <w:ind w:firstLine="482"/>
        <w:rPr>
          <w:b/>
          <w:color w:val="auto"/>
          <w:highlight w:val="none"/>
        </w:rPr>
      </w:pPr>
      <w:r>
        <w:rPr>
          <w:b/>
          <w:color w:val="auto"/>
          <w:highlight w:val="none"/>
        </w:rPr>
        <w:t>（5）独立费用</w:t>
      </w:r>
    </w:p>
    <w:p>
      <w:pPr>
        <w:pStyle w:val="56"/>
        <w:ind w:firstLine="480"/>
        <w:rPr>
          <w:color w:val="auto"/>
          <w:highlight w:val="none"/>
        </w:rPr>
      </w:pPr>
      <w:r>
        <w:rPr>
          <w:color w:val="auto"/>
          <w:highlight w:val="none"/>
        </w:rPr>
        <w:t>独立费用包括建设管理费、水土保持工程监理费、科研勘测设计费、水土保持监测费、水土保持设施验收报告编制费。独立费用计算，详见表7-1-2。</w:t>
      </w:r>
    </w:p>
    <w:p>
      <w:pPr>
        <w:pStyle w:val="75"/>
        <w:rPr>
          <w:color w:val="auto"/>
          <w:highlight w:val="none"/>
        </w:rPr>
      </w:pPr>
      <w:r>
        <w:rPr>
          <w:color w:val="auto"/>
          <w:highlight w:val="none"/>
        </w:rPr>
        <w:t>表7.1-2             独立费用计算表</w:t>
      </w:r>
    </w:p>
    <w:tbl>
      <w:tblPr>
        <w:tblStyle w:val="27"/>
        <w:tblW w:w="90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4"/>
        <w:gridCol w:w="2173"/>
        <w:gridCol w:w="4801"/>
        <w:gridCol w:w="17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2557" w:type="dxa"/>
            <w:gridSpan w:val="2"/>
            <w:vAlign w:val="center"/>
          </w:tcPr>
          <w:p>
            <w:pPr>
              <w:pStyle w:val="84"/>
              <w:rPr>
                <w:color w:val="auto"/>
                <w:highlight w:val="none"/>
              </w:rPr>
            </w:pPr>
            <w:r>
              <w:rPr>
                <w:color w:val="auto"/>
                <w:highlight w:val="none"/>
              </w:rPr>
              <w:t>项目名称</w:t>
            </w:r>
          </w:p>
        </w:tc>
        <w:tc>
          <w:tcPr>
            <w:tcW w:w="4801" w:type="dxa"/>
            <w:vAlign w:val="center"/>
          </w:tcPr>
          <w:p>
            <w:pPr>
              <w:pStyle w:val="84"/>
              <w:rPr>
                <w:color w:val="auto"/>
                <w:highlight w:val="none"/>
              </w:rPr>
            </w:pPr>
            <w:r>
              <w:rPr>
                <w:color w:val="auto"/>
                <w:highlight w:val="none"/>
              </w:rPr>
              <w:t>编制依据</w:t>
            </w:r>
          </w:p>
        </w:tc>
        <w:tc>
          <w:tcPr>
            <w:tcW w:w="1727" w:type="dxa"/>
            <w:vAlign w:val="center"/>
          </w:tcPr>
          <w:p>
            <w:pPr>
              <w:pStyle w:val="84"/>
              <w:rPr>
                <w:color w:val="auto"/>
                <w:highlight w:val="none"/>
              </w:rPr>
            </w:pPr>
            <w:r>
              <w:rPr>
                <w:color w:val="auto"/>
                <w:highlight w:val="none"/>
              </w:rPr>
              <w:t>计算公式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84" w:type="dxa"/>
            <w:vMerge w:val="restart"/>
            <w:vAlign w:val="center"/>
          </w:tcPr>
          <w:p>
            <w:pPr>
              <w:pStyle w:val="84"/>
              <w:rPr>
                <w:color w:val="auto"/>
                <w:highlight w:val="none"/>
              </w:rPr>
            </w:pPr>
            <w:r>
              <w:rPr>
                <w:color w:val="auto"/>
                <w:highlight w:val="none"/>
              </w:rPr>
              <w:t>独立费用</w:t>
            </w:r>
          </w:p>
        </w:tc>
        <w:tc>
          <w:tcPr>
            <w:tcW w:w="2173" w:type="dxa"/>
            <w:vAlign w:val="center"/>
          </w:tcPr>
          <w:p>
            <w:pPr>
              <w:pStyle w:val="84"/>
              <w:rPr>
                <w:color w:val="auto"/>
                <w:highlight w:val="none"/>
              </w:rPr>
            </w:pPr>
            <w:r>
              <w:rPr>
                <w:color w:val="auto"/>
                <w:highlight w:val="none"/>
              </w:rPr>
              <w:t>建设管理费</w:t>
            </w:r>
          </w:p>
        </w:tc>
        <w:tc>
          <w:tcPr>
            <w:tcW w:w="4801" w:type="dxa"/>
            <w:vAlign w:val="center"/>
          </w:tcPr>
          <w:p>
            <w:pPr>
              <w:pStyle w:val="84"/>
              <w:rPr>
                <w:color w:val="auto"/>
                <w:highlight w:val="none"/>
              </w:rPr>
            </w:pPr>
            <w:r>
              <w:rPr>
                <w:color w:val="auto"/>
                <w:highlight w:val="none"/>
              </w:rPr>
              <w:t>《开发建设项目水土保持工程概（估）算编制规定》67号文水利部。此项费用与主体工程合并使用</w:t>
            </w:r>
          </w:p>
        </w:tc>
        <w:tc>
          <w:tcPr>
            <w:tcW w:w="1727" w:type="dxa"/>
            <w:vAlign w:val="center"/>
          </w:tcPr>
          <w:p>
            <w:pPr>
              <w:pStyle w:val="84"/>
              <w:rPr>
                <w:color w:val="auto"/>
                <w:highlight w:val="none"/>
              </w:rPr>
            </w:pPr>
            <w:r>
              <w:rPr>
                <w:color w:val="auto"/>
                <w:highlight w:val="none"/>
              </w:rPr>
              <w:t>新增措施投资×2.0%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84" w:type="dxa"/>
            <w:vMerge w:val="continue"/>
            <w:vAlign w:val="center"/>
          </w:tcPr>
          <w:p>
            <w:pPr>
              <w:pStyle w:val="84"/>
              <w:rPr>
                <w:color w:val="auto"/>
                <w:highlight w:val="none"/>
              </w:rPr>
            </w:pPr>
          </w:p>
        </w:tc>
        <w:tc>
          <w:tcPr>
            <w:tcW w:w="2173" w:type="dxa"/>
            <w:vAlign w:val="center"/>
          </w:tcPr>
          <w:p>
            <w:pPr>
              <w:pStyle w:val="84"/>
              <w:rPr>
                <w:color w:val="auto"/>
                <w:highlight w:val="none"/>
              </w:rPr>
            </w:pPr>
            <w:r>
              <w:rPr>
                <w:color w:val="auto"/>
                <w:highlight w:val="none"/>
              </w:rPr>
              <w:t>水土保持监理费</w:t>
            </w:r>
          </w:p>
        </w:tc>
        <w:tc>
          <w:tcPr>
            <w:tcW w:w="4801" w:type="dxa"/>
            <w:vAlign w:val="center"/>
          </w:tcPr>
          <w:p>
            <w:pPr>
              <w:pStyle w:val="84"/>
              <w:rPr>
                <w:color w:val="auto"/>
                <w:highlight w:val="none"/>
              </w:rPr>
            </w:pPr>
            <w:r>
              <w:rPr>
                <w:color w:val="auto"/>
                <w:highlight w:val="none"/>
              </w:rPr>
              <w:t>国家发展与改革委员会办公厅、建设部办公厅《关于印发修订建设监理与咨询服务费收费标准的工作方案的通知》（发改办价格[2007]670号）</w:t>
            </w:r>
          </w:p>
        </w:tc>
        <w:tc>
          <w:tcPr>
            <w:tcW w:w="1727" w:type="dxa"/>
            <w:vAlign w:val="center"/>
          </w:tcPr>
          <w:p>
            <w:pPr>
              <w:pStyle w:val="84"/>
              <w:rPr>
                <w:color w:val="auto"/>
                <w:highlight w:val="none"/>
              </w:rPr>
            </w:pPr>
            <w:r>
              <w:rPr>
                <w:color w:val="auto"/>
                <w:highlight w:val="none"/>
              </w:rPr>
              <w:t>结合水土保持监理费取费依据以及项目建设实际情况确定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84" w:type="dxa"/>
            <w:vMerge w:val="continue"/>
            <w:vAlign w:val="center"/>
          </w:tcPr>
          <w:p>
            <w:pPr>
              <w:pStyle w:val="84"/>
              <w:rPr>
                <w:color w:val="auto"/>
                <w:highlight w:val="none"/>
              </w:rPr>
            </w:pPr>
          </w:p>
        </w:tc>
        <w:tc>
          <w:tcPr>
            <w:tcW w:w="2173" w:type="dxa"/>
            <w:vAlign w:val="center"/>
          </w:tcPr>
          <w:p>
            <w:pPr>
              <w:pStyle w:val="84"/>
              <w:rPr>
                <w:color w:val="auto"/>
                <w:highlight w:val="none"/>
              </w:rPr>
            </w:pPr>
            <w:r>
              <w:rPr>
                <w:color w:val="auto"/>
                <w:highlight w:val="none"/>
              </w:rPr>
              <w:t>水土保持方案编制费</w:t>
            </w:r>
          </w:p>
        </w:tc>
        <w:tc>
          <w:tcPr>
            <w:tcW w:w="4801" w:type="dxa"/>
            <w:vAlign w:val="center"/>
          </w:tcPr>
          <w:p>
            <w:pPr>
              <w:pStyle w:val="84"/>
              <w:rPr>
                <w:color w:val="auto"/>
                <w:highlight w:val="none"/>
              </w:rPr>
            </w:pPr>
            <w:r>
              <w:rPr>
                <w:color w:val="auto"/>
                <w:highlight w:val="none"/>
              </w:rPr>
              <w:t>详见本项目水土保持方案编制费合同。</w:t>
            </w:r>
          </w:p>
        </w:tc>
        <w:tc>
          <w:tcPr>
            <w:tcW w:w="1727" w:type="dxa"/>
            <w:vAlign w:val="center"/>
          </w:tcPr>
          <w:p>
            <w:pPr>
              <w:pStyle w:val="84"/>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84" w:type="dxa"/>
            <w:vMerge w:val="continue"/>
            <w:vAlign w:val="center"/>
          </w:tcPr>
          <w:p>
            <w:pPr>
              <w:pStyle w:val="84"/>
              <w:rPr>
                <w:color w:val="auto"/>
                <w:highlight w:val="none"/>
              </w:rPr>
            </w:pPr>
          </w:p>
        </w:tc>
        <w:tc>
          <w:tcPr>
            <w:tcW w:w="2173" w:type="dxa"/>
            <w:vAlign w:val="center"/>
          </w:tcPr>
          <w:p>
            <w:pPr>
              <w:pStyle w:val="84"/>
              <w:rPr>
                <w:color w:val="auto"/>
                <w:highlight w:val="none"/>
              </w:rPr>
            </w:pPr>
            <w:r>
              <w:rPr>
                <w:color w:val="auto"/>
                <w:highlight w:val="none"/>
              </w:rPr>
              <w:t>水土保持监测费</w:t>
            </w:r>
          </w:p>
        </w:tc>
        <w:tc>
          <w:tcPr>
            <w:tcW w:w="4801" w:type="dxa"/>
            <w:vAlign w:val="center"/>
          </w:tcPr>
          <w:p>
            <w:pPr>
              <w:pStyle w:val="84"/>
              <w:rPr>
                <w:color w:val="auto"/>
                <w:highlight w:val="none"/>
              </w:rPr>
            </w:pPr>
            <w:r>
              <w:rPr>
                <w:color w:val="auto"/>
                <w:highlight w:val="none"/>
              </w:rPr>
              <w:t>根据《新疆维吾尔自治区实施&lt;中华人民共和国水土保持法&gt;办法》和《新疆维吾尔自治区生产建设项目水土保持方案管理办法》，报告表不要求监测</w:t>
            </w:r>
          </w:p>
        </w:tc>
        <w:tc>
          <w:tcPr>
            <w:tcW w:w="1727" w:type="dxa"/>
            <w:vAlign w:val="center"/>
          </w:tcPr>
          <w:p>
            <w:pPr>
              <w:pStyle w:val="84"/>
              <w:rPr>
                <w:color w:val="auto"/>
                <w:highlight w:val="none"/>
              </w:rPr>
            </w:pPr>
            <w:r>
              <w:rPr>
                <w:color w:val="auto"/>
                <w:highlight w:val="none"/>
              </w:rPr>
              <w:t>报告表不要求监测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84" w:type="dxa"/>
            <w:vMerge w:val="continue"/>
            <w:vAlign w:val="center"/>
          </w:tcPr>
          <w:p>
            <w:pPr>
              <w:pStyle w:val="84"/>
              <w:rPr>
                <w:color w:val="auto"/>
                <w:highlight w:val="none"/>
              </w:rPr>
            </w:pPr>
          </w:p>
        </w:tc>
        <w:tc>
          <w:tcPr>
            <w:tcW w:w="2173" w:type="dxa"/>
            <w:vAlign w:val="center"/>
          </w:tcPr>
          <w:p>
            <w:pPr>
              <w:pStyle w:val="84"/>
              <w:rPr>
                <w:color w:val="auto"/>
                <w:highlight w:val="none"/>
              </w:rPr>
            </w:pPr>
            <w:r>
              <w:rPr>
                <w:color w:val="auto"/>
                <w:highlight w:val="none"/>
              </w:rPr>
              <w:t>水土保持设施验收费</w:t>
            </w:r>
          </w:p>
        </w:tc>
        <w:tc>
          <w:tcPr>
            <w:tcW w:w="4801" w:type="dxa"/>
            <w:vAlign w:val="center"/>
          </w:tcPr>
          <w:p>
            <w:pPr>
              <w:pStyle w:val="84"/>
              <w:rPr>
                <w:color w:val="auto"/>
                <w:highlight w:val="none"/>
              </w:rPr>
            </w:pPr>
            <w:r>
              <w:rPr>
                <w:color w:val="auto"/>
                <w:highlight w:val="none"/>
              </w:rPr>
              <w:t>参照同类建设项目合同价，并根据实际工作量计算确定。</w:t>
            </w:r>
          </w:p>
        </w:tc>
        <w:tc>
          <w:tcPr>
            <w:tcW w:w="1727" w:type="dxa"/>
            <w:vAlign w:val="center"/>
          </w:tcPr>
          <w:p>
            <w:pPr>
              <w:pStyle w:val="84"/>
              <w:rPr>
                <w:color w:val="auto"/>
                <w:highlight w:val="none"/>
              </w:rPr>
            </w:pPr>
            <w:r>
              <w:rPr>
                <w:color w:val="auto"/>
                <w:highlight w:val="none"/>
              </w:rPr>
              <w:t>-</w:t>
            </w:r>
          </w:p>
        </w:tc>
      </w:tr>
    </w:tbl>
    <w:p>
      <w:pPr>
        <w:pStyle w:val="56"/>
        <w:ind w:firstLine="482"/>
        <w:rPr>
          <w:b/>
          <w:color w:val="auto"/>
          <w:highlight w:val="none"/>
        </w:rPr>
      </w:pPr>
      <w:r>
        <w:rPr>
          <w:b/>
          <w:color w:val="auto"/>
          <w:highlight w:val="none"/>
        </w:rPr>
        <w:t>（6）基本预备费</w:t>
      </w:r>
    </w:p>
    <w:p>
      <w:pPr>
        <w:pStyle w:val="56"/>
        <w:ind w:firstLine="480"/>
        <w:rPr>
          <w:color w:val="auto"/>
          <w:highlight w:val="none"/>
        </w:rPr>
      </w:pPr>
      <w:r>
        <w:rPr>
          <w:color w:val="auto"/>
          <w:highlight w:val="none"/>
        </w:rPr>
        <w:t>本项目基本预备费按工程措施、植物措施、施工临时工程、独立费用之和6％计算。</w:t>
      </w:r>
    </w:p>
    <w:p>
      <w:pPr>
        <w:pStyle w:val="56"/>
        <w:ind w:firstLine="482"/>
        <w:rPr>
          <w:b/>
          <w:color w:val="auto"/>
          <w:highlight w:val="none"/>
        </w:rPr>
      </w:pPr>
      <w:r>
        <w:rPr>
          <w:b/>
          <w:color w:val="auto"/>
          <w:highlight w:val="none"/>
        </w:rPr>
        <w:t>（7）水土保持补偿费</w:t>
      </w:r>
    </w:p>
    <w:p>
      <w:pPr>
        <w:pStyle w:val="56"/>
        <w:ind w:firstLine="480"/>
        <w:rPr>
          <w:color w:val="auto"/>
          <w:highlight w:val="none"/>
        </w:rPr>
      </w:pPr>
      <w:r>
        <w:rPr>
          <w:rFonts w:hint="default" w:ascii="Times New Roman" w:hAnsi="Times New Roman" w:eastAsia="仿宋_GB2312" w:cs="Times New Roman"/>
          <w:color w:val="auto"/>
        </w:rPr>
        <w:t>根据《新疆维吾尔自治区水土保持设施补偿费、水土流失防治费收缴使用管理暂行规定》新政发(2000)45号</w:t>
      </w:r>
      <w:r>
        <w:rPr>
          <w:rFonts w:hint="eastAsia" w:cs="Times New Roman"/>
          <w:color w:val="auto"/>
          <w:lang w:eastAsia="zh-CN"/>
        </w:rPr>
        <w:t>、</w:t>
      </w:r>
      <w:r>
        <w:rPr>
          <w:rFonts w:hint="default" w:ascii="Times New Roman" w:hAnsi="Times New Roman" w:eastAsia="仿宋_GB2312" w:cs="Times New Roman"/>
          <w:color w:val="auto"/>
        </w:rPr>
        <w:t>《新疆维吾尔自治区水土保持补偿费征收使用管理办法》新财非税〔2015〕10号和</w:t>
      </w:r>
      <w:r>
        <w:rPr>
          <w:rFonts w:hint="eastAsia" w:cs="Times New Roman"/>
          <w:color w:val="auto"/>
          <w:lang w:eastAsia="zh-CN"/>
        </w:rPr>
        <w:t>《关于严格执行国家发展改革委财政部降低部分行政事业性收费标准的通知》</w:t>
      </w:r>
      <w:r>
        <w:rPr>
          <w:rFonts w:hint="default" w:ascii="Times New Roman" w:hAnsi="Times New Roman" w:eastAsia="仿宋_GB2312" w:cs="Times New Roman"/>
          <w:color w:val="auto"/>
        </w:rPr>
        <w:t>新</w:t>
      </w:r>
      <w:r>
        <w:rPr>
          <w:rFonts w:hint="eastAsia" w:cs="Times New Roman"/>
          <w:color w:val="auto"/>
          <w:lang w:eastAsia="zh-CN"/>
        </w:rPr>
        <w:t>水办</w:t>
      </w:r>
      <w:r>
        <w:rPr>
          <w:rFonts w:hint="default" w:ascii="Times New Roman" w:hAnsi="Times New Roman" w:eastAsia="仿宋_GB2312" w:cs="Times New Roman"/>
          <w:color w:val="auto"/>
        </w:rPr>
        <w:t>〔20</w:t>
      </w:r>
      <w:r>
        <w:rPr>
          <w:rFonts w:hint="eastAsia" w:cs="Times New Roman"/>
          <w:color w:val="auto"/>
          <w:lang w:val="en-US" w:eastAsia="zh-CN"/>
        </w:rPr>
        <w:t>20</w:t>
      </w:r>
      <w:r>
        <w:rPr>
          <w:rFonts w:hint="default" w:ascii="Times New Roman" w:hAnsi="Times New Roman" w:eastAsia="仿宋_GB2312" w:cs="Times New Roman"/>
          <w:color w:val="auto"/>
        </w:rPr>
        <w:t>〕1</w:t>
      </w:r>
      <w:r>
        <w:rPr>
          <w:rFonts w:hint="eastAsia" w:cs="Times New Roman"/>
          <w:color w:val="auto"/>
          <w:lang w:val="en-US" w:eastAsia="zh-CN"/>
        </w:rPr>
        <w:t>68</w:t>
      </w:r>
      <w:r>
        <w:rPr>
          <w:rFonts w:hint="default" w:ascii="Times New Roman" w:hAnsi="Times New Roman" w:eastAsia="仿宋_GB2312" w:cs="Times New Roman"/>
          <w:color w:val="auto"/>
        </w:rPr>
        <w:t>号</w:t>
      </w:r>
      <w:r>
        <w:rPr>
          <w:color w:val="auto"/>
          <w:highlight w:val="none"/>
        </w:rPr>
        <w:t>，本工程</w:t>
      </w:r>
      <w:r>
        <w:rPr>
          <w:rFonts w:hint="eastAsia"/>
          <w:color w:val="auto"/>
          <w:highlight w:val="none"/>
          <w:lang w:eastAsia="zh-CN"/>
        </w:rPr>
        <w:t>为</w:t>
      </w:r>
      <w:r>
        <w:rPr>
          <w:rFonts w:hint="eastAsia"/>
          <w:color w:val="auto"/>
          <w:highlight w:val="none"/>
        </w:rPr>
        <w:t>建设保障性安居工程项目</w:t>
      </w:r>
      <w:r>
        <w:rPr>
          <w:rFonts w:hint="eastAsia"/>
          <w:color w:val="auto"/>
          <w:highlight w:val="none"/>
          <w:lang w:eastAsia="zh-CN"/>
        </w:rPr>
        <w:t>，</w:t>
      </w:r>
      <w:r>
        <w:rPr>
          <w:color w:val="auto"/>
          <w:highlight w:val="none"/>
        </w:rPr>
        <w:t>应</w:t>
      </w:r>
      <w:r>
        <w:rPr>
          <w:rFonts w:hint="eastAsia"/>
          <w:color w:val="auto"/>
          <w:highlight w:val="none"/>
          <w:lang w:eastAsia="zh-CN"/>
        </w:rPr>
        <w:t>免征</w:t>
      </w:r>
      <w:r>
        <w:rPr>
          <w:color w:val="auto"/>
          <w:highlight w:val="none"/>
        </w:rPr>
        <w:t>水土保持补偿费</w:t>
      </w:r>
      <w:r>
        <w:rPr>
          <w:bCs/>
          <w:color w:val="auto"/>
          <w:highlight w:val="none"/>
        </w:rPr>
        <w:t>。</w:t>
      </w:r>
    </w:p>
    <w:p>
      <w:pPr>
        <w:pStyle w:val="72"/>
        <w:rPr>
          <w:color w:val="auto"/>
          <w:highlight w:val="none"/>
        </w:rPr>
      </w:pPr>
      <w:r>
        <w:rPr>
          <w:color w:val="auto"/>
          <w:highlight w:val="none"/>
        </w:rPr>
        <w:t>7.1.2.2 估算成果</w:t>
      </w:r>
    </w:p>
    <w:p>
      <w:pPr>
        <w:pStyle w:val="56"/>
        <w:ind w:firstLine="480"/>
        <w:rPr>
          <w:color w:val="auto"/>
          <w:highlight w:val="none"/>
        </w:rPr>
      </w:pPr>
      <w:r>
        <w:rPr>
          <w:color w:val="auto"/>
          <w:highlight w:val="none"/>
        </w:rPr>
        <w:t>本项目水土保持总投资为</w:t>
      </w:r>
      <w:r>
        <w:rPr>
          <w:rFonts w:hint="eastAsia"/>
          <w:color w:val="auto"/>
          <w:highlight w:val="none"/>
          <w:lang w:val="en-US" w:eastAsia="zh-CN"/>
        </w:rPr>
        <w:t>49.66万元</w:t>
      </w:r>
      <w:r>
        <w:rPr>
          <w:color w:val="auto"/>
          <w:highlight w:val="none"/>
        </w:rPr>
        <w:t>，主体已列水土保持总投资为</w:t>
      </w:r>
      <w:r>
        <w:rPr>
          <w:rFonts w:hint="eastAsia"/>
          <w:color w:val="auto"/>
          <w:highlight w:val="none"/>
          <w:lang w:val="en-US" w:eastAsia="zh-CN"/>
        </w:rPr>
        <w:t>25.63万元</w:t>
      </w:r>
      <w:r>
        <w:rPr>
          <w:color w:val="auto"/>
          <w:highlight w:val="none"/>
        </w:rPr>
        <w:t>，新增水土保持总投资为</w:t>
      </w:r>
      <w:r>
        <w:rPr>
          <w:rFonts w:hint="eastAsia"/>
          <w:color w:val="auto"/>
          <w:highlight w:val="none"/>
          <w:lang w:val="en-US" w:eastAsia="zh-CN"/>
        </w:rPr>
        <w:t>16.34</w:t>
      </w:r>
      <w:r>
        <w:rPr>
          <w:color w:val="auto"/>
          <w:highlight w:val="none"/>
        </w:rPr>
        <w:t>万元。水土保持总投资中工程措施投资</w:t>
      </w:r>
      <w:r>
        <w:rPr>
          <w:rFonts w:hint="eastAsia"/>
          <w:color w:val="auto"/>
          <w:highlight w:val="none"/>
          <w:lang w:val="en-US" w:eastAsia="zh-CN"/>
        </w:rPr>
        <w:t>15.03</w:t>
      </w:r>
      <w:r>
        <w:rPr>
          <w:color w:val="auto"/>
          <w:highlight w:val="none"/>
        </w:rPr>
        <w:t>万元，植物措施投资</w:t>
      </w:r>
      <w:r>
        <w:rPr>
          <w:rFonts w:hint="eastAsia"/>
          <w:color w:val="auto"/>
          <w:highlight w:val="none"/>
          <w:lang w:val="en-US" w:eastAsia="zh-CN"/>
        </w:rPr>
        <w:t>18.27万元</w:t>
      </w:r>
      <w:r>
        <w:rPr>
          <w:color w:val="auto"/>
          <w:highlight w:val="none"/>
        </w:rPr>
        <w:t>，临时措施投资</w:t>
      </w:r>
      <w:r>
        <w:rPr>
          <w:rFonts w:hint="eastAsia"/>
          <w:color w:val="auto"/>
          <w:highlight w:val="none"/>
          <w:lang w:val="en-US" w:eastAsia="zh-CN"/>
        </w:rPr>
        <w:t>8.67</w:t>
      </w:r>
      <w:r>
        <w:rPr>
          <w:color w:val="auto"/>
          <w:highlight w:val="none"/>
        </w:rPr>
        <w:t>万元，独立费用</w:t>
      </w:r>
      <w:r>
        <w:rPr>
          <w:rFonts w:hint="eastAsia"/>
          <w:color w:val="auto"/>
          <w:highlight w:val="none"/>
          <w:lang w:val="en-US" w:eastAsia="zh-CN"/>
        </w:rPr>
        <w:t>6.33</w:t>
      </w:r>
      <w:r>
        <w:rPr>
          <w:color w:val="auto"/>
          <w:highlight w:val="none"/>
        </w:rPr>
        <w:t>万元（其中监理费1.50万元），基本预备费</w:t>
      </w:r>
      <w:r>
        <w:rPr>
          <w:rFonts w:hint="eastAsia"/>
          <w:color w:val="auto"/>
          <w:highlight w:val="none"/>
          <w:lang w:val="en-US" w:eastAsia="zh-CN"/>
        </w:rPr>
        <w:t>1.36</w:t>
      </w:r>
      <w:r>
        <w:rPr>
          <w:color w:val="auto"/>
          <w:highlight w:val="none"/>
        </w:rPr>
        <w:t>万元，水土保持补偿费0元。</w:t>
      </w:r>
    </w:p>
    <w:p>
      <w:pPr>
        <w:widowControl/>
        <w:adjustRightInd/>
        <w:snapToGrid/>
        <w:spacing w:line="240" w:lineRule="auto"/>
        <w:ind w:firstLine="0" w:firstLineChars="0"/>
        <w:jc w:val="left"/>
        <w:rPr>
          <w:rFonts w:eastAsia="仿宋_GB2312"/>
          <w:snapToGrid w:val="0"/>
          <w:color w:val="auto"/>
          <w:kern w:val="24"/>
          <w:szCs w:val="24"/>
          <w:highlight w:val="none"/>
        </w:rPr>
      </w:pPr>
      <w:r>
        <w:rPr>
          <w:color w:val="auto"/>
          <w:highlight w:val="none"/>
        </w:rPr>
        <w:br w:type="page"/>
      </w:r>
    </w:p>
    <w:p>
      <w:pPr>
        <w:pStyle w:val="75"/>
        <w:rPr>
          <w:color w:val="auto"/>
          <w:highlight w:val="none"/>
        </w:rPr>
      </w:pPr>
      <w:r>
        <w:rPr>
          <w:color w:val="auto"/>
          <w:highlight w:val="none"/>
        </w:rPr>
        <w:t>表7.1-3     水土保持投资估算总表      单位：万元</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3"/>
        <w:gridCol w:w="1720"/>
        <w:gridCol w:w="838"/>
        <w:gridCol w:w="963"/>
        <w:gridCol w:w="1421"/>
        <w:gridCol w:w="708"/>
        <w:gridCol w:w="1249"/>
        <w:gridCol w:w="817"/>
        <w:gridCol w:w="8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vMerge w:val="restart"/>
            <w:shd w:val="clear" w:color="auto" w:fill="auto"/>
            <w:vAlign w:val="center"/>
          </w:tcPr>
          <w:p>
            <w:pPr>
              <w:pStyle w:val="84"/>
              <w:bidi w:val="0"/>
              <w:rPr>
                <w:color w:val="auto"/>
                <w:highlight w:val="none"/>
              </w:rPr>
            </w:pPr>
            <w:r>
              <w:rPr>
                <w:color w:val="auto"/>
                <w:highlight w:val="none"/>
              </w:rPr>
              <w:t>序号</w:t>
            </w:r>
          </w:p>
        </w:tc>
        <w:tc>
          <w:tcPr>
            <w:tcW w:w="949" w:type="pct"/>
            <w:vMerge w:val="restart"/>
            <w:shd w:val="clear" w:color="auto" w:fill="auto"/>
            <w:vAlign w:val="center"/>
          </w:tcPr>
          <w:p>
            <w:pPr>
              <w:pStyle w:val="84"/>
              <w:bidi w:val="0"/>
              <w:rPr>
                <w:color w:val="auto"/>
                <w:highlight w:val="none"/>
              </w:rPr>
            </w:pPr>
            <w:r>
              <w:rPr>
                <w:color w:val="auto"/>
                <w:highlight w:val="none"/>
              </w:rPr>
              <w:t>工程或费用名称</w:t>
            </w:r>
          </w:p>
        </w:tc>
        <w:tc>
          <w:tcPr>
            <w:tcW w:w="2858" w:type="pct"/>
            <w:gridSpan w:val="5"/>
            <w:shd w:val="clear" w:color="auto" w:fill="auto"/>
            <w:noWrap/>
            <w:vAlign w:val="center"/>
          </w:tcPr>
          <w:p>
            <w:pPr>
              <w:pStyle w:val="84"/>
              <w:bidi w:val="0"/>
              <w:rPr>
                <w:color w:val="auto"/>
                <w:highlight w:val="none"/>
              </w:rPr>
            </w:pPr>
            <w:r>
              <w:rPr>
                <w:color w:val="auto"/>
                <w:highlight w:val="none"/>
              </w:rPr>
              <w:t>方案新增措施投资</w:t>
            </w:r>
          </w:p>
        </w:tc>
        <w:tc>
          <w:tcPr>
            <w:tcW w:w="450" w:type="pct"/>
            <w:vMerge w:val="restart"/>
            <w:shd w:val="clear" w:color="auto" w:fill="auto"/>
            <w:vAlign w:val="center"/>
          </w:tcPr>
          <w:p>
            <w:pPr>
              <w:pStyle w:val="84"/>
              <w:bidi w:val="0"/>
              <w:rPr>
                <w:color w:val="auto"/>
                <w:highlight w:val="none"/>
              </w:rPr>
            </w:pPr>
            <w:r>
              <w:rPr>
                <w:color w:val="auto"/>
                <w:highlight w:val="none"/>
              </w:rPr>
              <w:t>主体已列</w:t>
            </w:r>
          </w:p>
        </w:tc>
        <w:tc>
          <w:tcPr>
            <w:tcW w:w="464" w:type="pct"/>
            <w:vMerge w:val="restart"/>
            <w:shd w:val="clear" w:color="auto" w:fill="auto"/>
            <w:vAlign w:val="center"/>
          </w:tcPr>
          <w:p>
            <w:pPr>
              <w:pStyle w:val="84"/>
              <w:bidi w:val="0"/>
              <w:rPr>
                <w:color w:val="auto"/>
                <w:highlight w:val="none"/>
              </w:rPr>
            </w:pPr>
            <w:r>
              <w:rPr>
                <w:color w:val="auto"/>
                <w:highlight w:val="none"/>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vMerge w:val="continue"/>
            <w:vAlign w:val="center"/>
          </w:tcPr>
          <w:p>
            <w:pPr>
              <w:pStyle w:val="84"/>
              <w:bidi w:val="0"/>
              <w:rPr>
                <w:color w:val="auto"/>
                <w:highlight w:val="none"/>
              </w:rPr>
            </w:pPr>
          </w:p>
        </w:tc>
        <w:tc>
          <w:tcPr>
            <w:tcW w:w="949" w:type="pct"/>
            <w:vMerge w:val="continue"/>
            <w:vAlign w:val="center"/>
          </w:tcPr>
          <w:p>
            <w:pPr>
              <w:pStyle w:val="84"/>
              <w:bidi w:val="0"/>
              <w:rPr>
                <w:color w:val="auto"/>
                <w:highlight w:val="none"/>
              </w:rPr>
            </w:pPr>
          </w:p>
        </w:tc>
        <w:tc>
          <w:tcPr>
            <w:tcW w:w="462" w:type="pct"/>
            <w:vMerge w:val="restart"/>
            <w:shd w:val="clear" w:color="auto" w:fill="auto"/>
            <w:vAlign w:val="center"/>
          </w:tcPr>
          <w:p>
            <w:pPr>
              <w:pStyle w:val="84"/>
              <w:bidi w:val="0"/>
              <w:rPr>
                <w:color w:val="auto"/>
                <w:highlight w:val="none"/>
              </w:rPr>
            </w:pPr>
            <w:r>
              <w:rPr>
                <w:color w:val="auto"/>
                <w:highlight w:val="none"/>
              </w:rPr>
              <w:t>建安工程费</w:t>
            </w:r>
          </w:p>
        </w:tc>
        <w:tc>
          <w:tcPr>
            <w:tcW w:w="1315" w:type="pct"/>
            <w:gridSpan w:val="2"/>
            <w:shd w:val="clear" w:color="auto" w:fill="auto"/>
            <w:vAlign w:val="center"/>
          </w:tcPr>
          <w:p>
            <w:pPr>
              <w:pStyle w:val="84"/>
              <w:bidi w:val="0"/>
              <w:rPr>
                <w:color w:val="auto"/>
                <w:highlight w:val="none"/>
              </w:rPr>
            </w:pPr>
            <w:r>
              <w:rPr>
                <w:color w:val="auto"/>
                <w:highlight w:val="none"/>
              </w:rPr>
              <w:t>植物措施费</w:t>
            </w:r>
          </w:p>
        </w:tc>
        <w:tc>
          <w:tcPr>
            <w:tcW w:w="390" w:type="pct"/>
            <w:vMerge w:val="restart"/>
            <w:shd w:val="clear" w:color="auto" w:fill="auto"/>
            <w:vAlign w:val="center"/>
          </w:tcPr>
          <w:p>
            <w:pPr>
              <w:pStyle w:val="84"/>
              <w:bidi w:val="0"/>
              <w:rPr>
                <w:color w:val="auto"/>
                <w:highlight w:val="none"/>
              </w:rPr>
            </w:pPr>
            <w:r>
              <w:rPr>
                <w:color w:val="auto"/>
                <w:highlight w:val="none"/>
              </w:rPr>
              <w:t>独立费用</w:t>
            </w:r>
          </w:p>
        </w:tc>
        <w:tc>
          <w:tcPr>
            <w:tcW w:w="689" w:type="pct"/>
            <w:vMerge w:val="restart"/>
            <w:shd w:val="clear" w:color="auto" w:fill="auto"/>
            <w:vAlign w:val="center"/>
          </w:tcPr>
          <w:p>
            <w:pPr>
              <w:pStyle w:val="84"/>
              <w:bidi w:val="0"/>
              <w:rPr>
                <w:color w:val="auto"/>
                <w:highlight w:val="none"/>
              </w:rPr>
            </w:pPr>
            <w:r>
              <w:rPr>
                <w:color w:val="auto"/>
                <w:highlight w:val="none"/>
              </w:rPr>
              <w:t>小计</w:t>
            </w:r>
          </w:p>
        </w:tc>
        <w:tc>
          <w:tcPr>
            <w:tcW w:w="450" w:type="pct"/>
            <w:vMerge w:val="continue"/>
            <w:vAlign w:val="center"/>
          </w:tcPr>
          <w:p>
            <w:pPr>
              <w:pStyle w:val="84"/>
              <w:bidi w:val="0"/>
              <w:rPr>
                <w:color w:val="auto"/>
                <w:highlight w:val="none"/>
              </w:rPr>
            </w:pPr>
          </w:p>
        </w:tc>
        <w:tc>
          <w:tcPr>
            <w:tcW w:w="464" w:type="pct"/>
            <w:vMerge w:val="continue"/>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vMerge w:val="continue"/>
            <w:vAlign w:val="center"/>
          </w:tcPr>
          <w:p>
            <w:pPr>
              <w:pStyle w:val="84"/>
              <w:bidi w:val="0"/>
              <w:rPr>
                <w:color w:val="auto"/>
                <w:highlight w:val="none"/>
              </w:rPr>
            </w:pPr>
          </w:p>
        </w:tc>
        <w:tc>
          <w:tcPr>
            <w:tcW w:w="949" w:type="pct"/>
            <w:vMerge w:val="continue"/>
            <w:vAlign w:val="center"/>
          </w:tcPr>
          <w:p>
            <w:pPr>
              <w:pStyle w:val="84"/>
              <w:bidi w:val="0"/>
              <w:rPr>
                <w:color w:val="auto"/>
                <w:highlight w:val="none"/>
              </w:rPr>
            </w:pPr>
          </w:p>
        </w:tc>
        <w:tc>
          <w:tcPr>
            <w:tcW w:w="462" w:type="pct"/>
            <w:vMerge w:val="continue"/>
            <w:vAlign w:val="center"/>
          </w:tcPr>
          <w:p>
            <w:pPr>
              <w:pStyle w:val="84"/>
              <w:bidi w:val="0"/>
              <w:rPr>
                <w:color w:val="auto"/>
                <w:highlight w:val="none"/>
              </w:rPr>
            </w:pPr>
          </w:p>
        </w:tc>
        <w:tc>
          <w:tcPr>
            <w:tcW w:w="531" w:type="pct"/>
            <w:shd w:val="clear" w:color="auto" w:fill="auto"/>
            <w:vAlign w:val="center"/>
          </w:tcPr>
          <w:p>
            <w:pPr>
              <w:pStyle w:val="84"/>
              <w:bidi w:val="0"/>
              <w:rPr>
                <w:color w:val="auto"/>
                <w:highlight w:val="none"/>
              </w:rPr>
            </w:pPr>
            <w:r>
              <w:rPr>
                <w:color w:val="auto"/>
                <w:highlight w:val="none"/>
              </w:rPr>
              <w:t>栽植费</w:t>
            </w:r>
          </w:p>
        </w:tc>
        <w:tc>
          <w:tcPr>
            <w:tcW w:w="784" w:type="pct"/>
            <w:shd w:val="clear" w:color="auto" w:fill="auto"/>
            <w:vAlign w:val="center"/>
          </w:tcPr>
          <w:p>
            <w:pPr>
              <w:pStyle w:val="84"/>
              <w:bidi w:val="0"/>
              <w:rPr>
                <w:color w:val="auto"/>
                <w:highlight w:val="none"/>
              </w:rPr>
            </w:pPr>
            <w:r>
              <w:rPr>
                <w:color w:val="auto"/>
                <w:highlight w:val="none"/>
              </w:rPr>
              <w:t>苗木、草种费</w:t>
            </w:r>
          </w:p>
        </w:tc>
        <w:tc>
          <w:tcPr>
            <w:tcW w:w="390" w:type="pct"/>
            <w:vMerge w:val="continue"/>
            <w:vAlign w:val="center"/>
          </w:tcPr>
          <w:p>
            <w:pPr>
              <w:pStyle w:val="84"/>
              <w:bidi w:val="0"/>
              <w:rPr>
                <w:color w:val="auto"/>
                <w:highlight w:val="none"/>
              </w:rPr>
            </w:pPr>
          </w:p>
        </w:tc>
        <w:tc>
          <w:tcPr>
            <w:tcW w:w="689" w:type="pct"/>
            <w:vMerge w:val="continue"/>
            <w:vAlign w:val="center"/>
          </w:tcPr>
          <w:p>
            <w:pPr>
              <w:pStyle w:val="84"/>
              <w:bidi w:val="0"/>
              <w:rPr>
                <w:color w:val="auto"/>
                <w:highlight w:val="none"/>
              </w:rPr>
            </w:pPr>
          </w:p>
        </w:tc>
        <w:tc>
          <w:tcPr>
            <w:tcW w:w="450" w:type="pct"/>
            <w:vMerge w:val="continue"/>
            <w:vAlign w:val="center"/>
          </w:tcPr>
          <w:p>
            <w:pPr>
              <w:pStyle w:val="84"/>
              <w:bidi w:val="0"/>
              <w:rPr>
                <w:color w:val="auto"/>
                <w:highlight w:val="none"/>
              </w:rPr>
            </w:pPr>
          </w:p>
        </w:tc>
        <w:tc>
          <w:tcPr>
            <w:tcW w:w="464" w:type="pct"/>
            <w:vMerge w:val="continue"/>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26" w:type="pct"/>
            <w:gridSpan w:val="2"/>
            <w:shd w:val="clear" w:color="auto" w:fill="auto"/>
            <w:vAlign w:val="center"/>
          </w:tcPr>
          <w:p>
            <w:pPr>
              <w:pStyle w:val="84"/>
              <w:bidi w:val="0"/>
              <w:rPr>
                <w:color w:val="auto"/>
                <w:highlight w:val="none"/>
              </w:rPr>
            </w:pPr>
            <w:r>
              <w:rPr>
                <w:color w:val="auto"/>
                <w:highlight w:val="none"/>
              </w:rPr>
              <w:t>第一部分 工程措施</w:t>
            </w:r>
          </w:p>
        </w:tc>
        <w:tc>
          <w:tcPr>
            <w:tcW w:w="462" w:type="pct"/>
            <w:shd w:val="clear" w:color="auto" w:fill="auto"/>
            <w:vAlign w:val="center"/>
          </w:tcPr>
          <w:p>
            <w:pPr>
              <w:pStyle w:val="84"/>
              <w:bidi w:val="0"/>
              <w:rPr>
                <w:rFonts w:hint="default"/>
                <w:color w:val="auto"/>
                <w:highlight w:val="none"/>
                <w:lang w:val="en-US" w:eastAsia="zh-CN"/>
              </w:rPr>
            </w:pPr>
            <w:r>
              <w:rPr>
                <w:rFonts w:hint="default"/>
                <w:color w:val="auto"/>
                <w:highlight w:val="none"/>
                <w:lang w:val="en-US" w:eastAsia="zh-CN"/>
              </w:rPr>
              <w:t xml:space="preserve">12.15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11.34</w:t>
            </w:r>
          </w:p>
        </w:tc>
        <w:tc>
          <w:tcPr>
            <w:tcW w:w="450" w:type="pct"/>
            <w:shd w:val="clear" w:color="auto" w:fill="auto"/>
            <w:vAlign w:val="center"/>
          </w:tcPr>
          <w:p>
            <w:pPr>
              <w:pStyle w:val="84"/>
              <w:bidi w:val="0"/>
              <w:rPr>
                <w:color w:val="auto"/>
                <w:highlight w:val="none"/>
              </w:rPr>
            </w:pPr>
            <w:r>
              <w:rPr>
                <w:rFonts w:hint="default"/>
                <w:color w:val="auto"/>
                <w:highlight w:val="none"/>
                <w:lang w:val="en-US" w:eastAsia="zh-CN"/>
              </w:rPr>
              <w:t xml:space="preserve">3.69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15.03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一</w:t>
            </w:r>
          </w:p>
        </w:tc>
        <w:tc>
          <w:tcPr>
            <w:tcW w:w="949" w:type="pct"/>
            <w:shd w:val="clear" w:color="auto" w:fill="auto"/>
            <w:vAlign w:val="center"/>
          </w:tcPr>
          <w:p>
            <w:pPr>
              <w:pStyle w:val="84"/>
              <w:bidi w:val="0"/>
              <w:rPr>
                <w:color w:val="auto"/>
                <w:highlight w:val="none"/>
              </w:rPr>
            </w:pPr>
            <w:r>
              <w:rPr>
                <w:color w:val="auto"/>
                <w:highlight w:val="none"/>
              </w:rPr>
              <w:t>建构筑物区</w:t>
            </w:r>
          </w:p>
        </w:tc>
        <w:tc>
          <w:tcPr>
            <w:tcW w:w="462" w:type="pct"/>
            <w:shd w:val="clear" w:color="auto" w:fill="auto"/>
            <w:vAlign w:val="center"/>
          </w:tcPr>
          <w:p>
            <w:pPr>
              <w:pStyle w:val="84"/>
              <w:bidi w:val="0"/>
              <w:rPr>
                <w:color w:val="auto"/>
                <w:highlight w:val="none"/>
              </w:rPr>
            </w:pPr>
            <w:r>
              <w:rPr>
                <w:color w:val="auto"/>
                <w:highlight w:val="none"/>
              </w:rPr>
              <w:t>　</w:t>
            </w:r>
            <w:r>
              <w:rPr>
                <w:rFonts w:hint="default"/>
                <w:color w:val="auto"/>
                <w:highlight w:val="none"/>
                <w:lang w:val="en-US" w:eastAsia="zh-CN"/>
              </w:rPr>
              <w:t xml:space="preserve">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color w:val="auto"/>
                <w:highlight w:val="none"/>
              </w:rPr>
              <w:t>　</w:t>
            </w:r>
          </w:p>
        </w:tc>
        <w:tc>
          <w:tcPr>
            <w:tcW w:w="450" w:type="pct"/>
            <w:shd w:val="clear" w:color="auto" w:fill="auto"/>
            <w:vAlign w:val="center"/>
          </w:tcPr>
          <w:p>
            <w:pPr>
              <w:pStyle w:val="84"/>
              <w:bidi w:val="0"/>
              <w:ind w:firstLine="206" w:firstLineChars="100"/>
              <w:jc w:val="both"/>
              <w:rPr>
                <w:rFonts w:hint="eastAsia"/>
                <w:color w:val="auto"/>
                <w:highlight w:val="none"/>
                <w:lang w:val="en-US" w:eastAsia="zh-CN"/>
              </w:rPr>
            </w:pPr>
            <w:r>
              <w:rPr>
                <w:color w:val="auto"/>
                <w:highlight w:val="none"/>
              </w:rPr>
              <w:t>　</w:t>
            </w:r>
          </w:p>
        </w:tc>
        <w:tc>
          <w:tcPr>
            <w:tcW w:w="464" w:type="pct"/>
            <w:shd w:val="clear" w:color="auto" w:fill="auto"/>
            <w:vAlign w:val="center"/>
          </w:tcPr>
          <w:p>
            <w:pPr>
              <w:pStyle w:val="84"/>
              <w:bidi w:val="0"/>
              <w:rPr>
                <w:color w:val="auto"/>
                <w:highlight w:val="none"/>
              </w:rPr>
            </w:pPr>
            <w:r>
              <w:rPr>
                <w:color w:val="auto"/>
                <w:highlight w:val="none"/>
              </w:rPr>
              <w:t>　</w:t>
            </w:r>
            <w:r>
              <w:rPr>
                <w:rFonts w:hint="default"/>
                <w:color w:val="auto"/>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二</w:t>
            </w:r>
          </w:p>
        </w:tc>
        <w:tc>
          <w:tcPr>
            <w:tcW w:w="949" w:type="pct"/>
            <w:shd w:val="clear" w:color="auto" w:fill="auto"/>
            <w:vAlign w:val="center"/>
          </w:tcPr>
          <w:p>
            <w:pPr>
              <w:pStyle w:val="84"/>
              <w:bidi w:val="0"/>
              <w:rPr>
                <w:color w:val="auto"/>
                <w:highlight w:val="none"/>
              </w:rPr>
            </w:pPr>
            <w:r>
              <w:rPr>
                <w:color w:val="auto"/>
                <w:highlight w:val="none"/>
              </w:rPr>
              <w:t>绿化区</w:t>
            </w:r>
          </w:p>
        </w:tc>
        <w:tc>
          <w:tcPr>
            <w:tcW w:w="462" w:type="pct"/>
            <w:shd w:val="clear" w:color="auto" w:fill="auto"/>
            <w:vAlign w:val="center"/>
          </w:tcPr>
          <w:p>
            <w:pPr>
              <w:pStyle w:val="84"/>
              <w:bidi w:val="0"/>
              <w:rPr>
                <w:rFonts w:hint="default"/>
                <w:color w:val="auto"/>
                <w:highlight w:val="none"/>
                <w:lang w:val="en-US" w:eastAsia="zh-CN"/>
              </w:rPr>
            </w:pPr>
            <w:r>
              <w:rPr>
                <w:rFonts w:hint="default"/>
                <w:color w:val="auto"/>
                <w:highlight w:val="none"/>
                <w:lang w:val="en-US" w:eastAsia="zh-CN"/>
              </w:rPr>
              <w:t xml:space="preserve">11.34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rFonts w:hint="eastAsia"/>
                <w:color w:val="auto"/>
                <w:highlight w:val="none"/>
                <w:lang w:val="en-US" w:eastAsia="zh-CN"/>
              </w:rPr>
              <w:t>11.34</w:t>
            </w:r>
            <w:r>
              <w:rPr>
                <w:color w:val="auto"/>
                <w:highlight w:val="none"/>
              </w:rPr>
              <w:t xml:space="preserve"> </w:t>
            </w:r>
          </w:p>
        </w:tc>
        <w:tc>
          <w:tcPr>
            <w:tcW w:w="450" w:type="pct"/>
            <w:shd w:val="clear" w:color="auto" w:fill="auto"/>
            <w:vAlign w:val="center"/>
          </w:tcPr>
          <w:p>
            <w:pPr>
              <w:pStyle w:val="84"/>
              <w:bidi w:val="0"/>
              <w:rPr>
                <w:color w:val="auto"/>
                <w:highlight w:val="none"/>
              </w:rPr>
            </w:pPr>
            <w:r>
              <w:rPr>
                <w:rFonts w:hint="default"/>
                <w:color w:val="auto"/>
                <w:highlight w:val="none"/>
                <w:lang w:val="en-US" w:eastAsia="zh-CN"/>
              </w:rPr>
              <w:t xml:space="preserve">1.46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12.80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三</w:t>
            </w:r>
          </w:p>
        </w:tc>
        <w:tc>
          <w:tcPr>
            <w:tcW w:w="949" w:type="pct"/>
            <w:shd w:val="clear" w:color="auto" w:fill="auto"/>
            <w:vAlign w:val="center"/>
          </w:tcPr>
          <w:p>
            <w:pPr>
              <w:pStyle w:val="84"/>
              <w:bidi w:val="0"/>
              <w:rPr>
                <w:color w:val="auto"/>
                <w:highlight w:val="none"/>
              </w:rPr>
            </w:pPr>
            <w:r>
              <w:rPr>
                <w:color w:val="auto"/>
                <w:highlight w:val="none"/>
              </w:rPr>
              <w:t>道路及硬化区</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color w:val="auto"/>
                <w:highlight w:val="none"/>
              </w:rPr>
              <w:t>　</w:t>
            </w:r>
          </w:p>
        </w:tc>
        <w:tc>
          <w:tcPr>
            <w:tcW w:w="450" w:type="pct"/>
            <w:shd w:val="clear" w:color="auto" w:fill="auto"/>
            <w:vAlign w:val="center"/>
          </w:tcPr>
          <w:p>
            <w:pPr>
              <w:pStyle w:val="84"/>
              <w:bidi w:val="0"/>
              <w:rPr>
                <w:color w:val="auto"/>
                <w:highlight w:val="none"/>
              </w:rPr>
            </w:pPr>
            <w:r>
              <w:rPr>
                <w:rFonts w:hint="default"/>
                <w:color w:val="auto"/>
                <w:highlight w:val="none"/>
                <w:lang w:val="en-US" w:eastAsia="zh-CN"/>
              </w:rPr>
              <w:t xml:space="preserve">1.25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1.25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四</w:t>
            </w:r>
          </w:p>
        </w:tc>
        <w:tc>
          <w:tcPr>
            <w:tcW w:w="949" w:type="pct"/>
            <w:shd w:val="clear" w:color="auto" w:fill="auto"/>
            <w:vAlign w:val="center"/>
          </w:tcPr>
          <w:p>
            <w:pPr>
              <w:pStyle w:val="84"/>
              <w:bidi w:val="0"/>
              <w:rPr>
                <w:color w:val="auto"/>
                <w:highlight w:val="none"/>
              </w:rPr>
            </w:pPr>
            <w:r>
              <w:rPr>
                <w:color w:val="auto"/>
                <w:highlight w:val="none"/>
              </w:rPr>
              <w:t>管线工程区</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color w:val="auto"/>
                <w:highlight w:val="none"/>
              </w:rPr>
              <w:t>　</w:t>
            </w:r>
          </w:p>
        </w:tc>
        <w:tc>
          <w:tcPr>
            <w:tcW w:w="450" w:type="pct"/>
            <w:shd w:val="clear" w:color="auto" w:fill="auto"/>
            <w:vAlign w:val="center"/>
          </w:tcPr>
          <w:p>
            <w:pPr>
              <w:pStyle w:val="84"/>
              <w:bidi w:val="0"/>
              <w:rPr>
                <w:color w:val="auto"/>
                <w:highlight w:val="none"/>
              </w:rPr>
            </w:pPr>
            <w:r>
              <w:rPr>
                <w:rFonts w:hint="default"/>
                <w:color w:val="auto"/>
                <w:highlight w:val="none"/>
                <w:lang w:val="en-US" w:eastAsia="zh-CN"/>
              </w:rPr>
              <w:t xml:space="preserve">0.61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0.61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五</w:t>
            </w:r>
          </w:p>
        </w:tc>
        <w:tc>
          <w:tcPr>
            <w:tcW w:w="949" w:type="pct"/>
            <w:shd w:val="clear" w:color="auto" w:fill="auto"/>
            <w:vAlign w:val="center"/>
          </w:tcPr>
          <w:p>
            <w:pPr>
              <w:pStyle w:val="84"/>
              <w:bidi w:val="0"/>
              <w:rPr>
                <w:color w:val="auto"/>
                <w:highlight w:val="none"/>
              </w:rPr>
            </w:pPr>
            <w:r>
              <w:rPr>
                <w:color w:val="auto"/>
                <w:highlight w:val="none"/>
              </w:rPr>
              <w:t>施工生产区</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color w:val="auto"/>
                <w:highlight w:val="none"/>
              </w:rPr>
              <w:t>　</w:t>
            </w:r>
          </w:p>
        </w:tc>
        <w:tc>
          <w:tcPr>
            <w:tcW w:w="450" w:type="pct"/>
            <w:shd w:val="clear" w:color="auto" w:fill="auto"/>
            <w:vAlign w:val="center"/>
          </w:tcPr>
          <w:p>
            <w:pPr>
              <w:pStyle w:val="84"/>
              <w:bidi w:val="0"/>
              <w:rPr>
                <w:color w:val="auto"/>
                <w:highlight w:val="none"/>
              </w:rPr>
            </w:pPr>
            <w:r>
              <w:rPr>
                <w:rFonts w:hint="default"/>
                <w:color w:val="auto"/>
                <w:highlight w:val="none"/>
                <w:lang w:val="en-US" w:eastAsia="zh-CN"/>
              </w:rPr>
              <w:t xml:space="preserve">0.37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0.37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26" w:type="pct"/>
            <w:gridSpan w:val="2"/>
            <w:shd w:val="clear" w:color="auto" w:fill="auto"/>
            <w:vAlign w:val="center"/>
          </w:tcPr>
          <w:p>
            <w:pPr>
              <w:pStyle w:val="84"/>
              <w:bidi w:val="0"/>
              <w:rPr>
                <w:color w:val="auto"/>
                <w:highlight w:val="none"/>
              </w:rPr>
            </w:pPr>
            <w:r>
              <w:rPr>
                <w:color w:val="auto"/>
                <w:highlight w:val="none"/>
              </w:rPr>
              <w:t>第二部分 植物措施</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color w:val="auto"/>
                <w:highlight w:val="none"/>
              </w:rPr>
              <w:t xml:space="preserve">0 </w:t>
            </w:r>
          </w:p>
        </w:tc>
        <w:tc>
          <w:tcPr>
            <w:tcW w:w="817" w:type="dxa"/>
            <w:shd w:val="clear" w:color="auto" w:fill="auto"/>
            <w:vAlign w:val="center"/>
          </w:tcPr>
          <w:p>
            <w:pPr>
              <w:pStyle w:val="84"/>
              <w:bidi w:val="0"/>
              <w:rPr>
                <w:color w:val="auto"/>
                <w:highlight w:val="none"/>
              </w:rPr>
            </w:pPr>
            <w:r>
              <w:rPr>
                <w:rFonts w:hint="default"/>
                <w:color w:val="auto"/>
                <w:highlight w:val="none"/>
                <w:lang w:val="en-US" w:eastAsia="zh-CN"/>
              </w:rPr>
              <w:t xml:space="preserve">18.27 </w:t>
            </w:r>
          </w:p>
        </w:tc>
        <w:tc>
          <w:tcPr>
            <w:tcW w:w="841" w:type="dxa"/>
            <w:shd w:val="clear" w:color="auto" w:fill="auto"/>
            <w:vAlign w:val="center"/>
          </w:tcPr>
          <w:p>
            <w:pPr>
              <w:pStyle w:val="84"/>
              <w:bidi w:val="0"/>
              <w:rPr>
                <w:color w:val="auto"/>
                <w:highlight w:val="none"/>
              </w:rPr>
            </w:pPr>
            <w:r>
              <w:rPr>
                <w:rFonts w:hint="default"/>
                <w:color w:val="auto"/>
                <w:highlight w:val="none"/>
                <w:lang w:val="en-US" w:eastAsia="zh-CN"/>
              </w:rPr>
              <w:t xml:space="preserve">18.27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一</w:t>
            </w:r>
          </w:p>
        </w:tc>
        <w:tc>
          <w:tcPr>
            <w:tcW w:w="949" w:type="pct"/>
            <w:shd w:val="clear" w:color="auto" w:fill="auto"/>
            <w:vAlign w:val="center"/>
          </w:tcPr>
          <w:p>
            <w:pPr>
              <w:pStyle w:val="84"/>
              <w:bidi w:val="0"/>
              <w:rPr>
                <w:color w:val="auto"/>
                <w:highlight w:val="none"/>
              </w:rPr>
            </w:pPr>
            <w:r>
              <w:rPr>
                <w:color w:val="auto"/>
                <w:highlight w:val="none"/>
              </w:rPr>
              <w:t>绿化区</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color w:val="auto"/>
                <w:highlight w:val="none"/>
              </w:rPr>
              <w:t>　</w:t>
            </w:r>
          </w:p>
        </w:tc>
        <w:tc>
          <w:tcPr>
            <w:tcW w:w="817" w:type="dxa"/>
            <w:shd w:val="clear" w:color="auto" w:fill="auto"/>
            <w:vAlign w:val="center"/>
          </w:tcPr>
          <w:p>
            <w:pPr>
              <w:pStyle w:val="84"/>
              <w:bidi w:val="0"/>
              <w:rPr>
                <w:color w:val="auto"/>
                <w:highlight w:val="none"/>
              </w:rPr>
            </w:pPr>
            <w:r>
              <w:rPr>
                <w:rFonts w:hint="default"/>
                <w:color w:val="auto"/>
                <w:highlight w:val="none"/>
                <w:lang w:val="en-US" w:eastAsia="zh-CN"/>
              </w:rPr>
              <w:t xml:space="preserve">18.27 </w:t>
            </w:r>
          </w:p>
        </w:tc>
        <w:tc>
          <w:tcPr>
            <w:tcW w:w="841" w:type="dxa"/>
            <w:shd w:val="clear" w:color="auto" w:fill="auto"/>
            <w:vAlign w:val="center"/>
          </w:tcPr>
          <w:p>
            <w:pPr>
              <w:pStyle w:val="84"/>
              <w:bidi w:val="0"/>
              <w:rPr>
                <w:color w:val="auto"/>
                <w:highlight w:val="none"/>
              </w:rPr>
            </w:pPr>
            <w:r>
              <w:rPr>
                <w:rFonts w:hint="default"/>
                <w:color w:val="auto"/>
                <w:highlight w:val="none"/>
                <w:lang w:val="en-US" w:eastAsia="zh-CN"/>
              </w:rPr>
              <w:t xml:space="preserve">18.27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26" w:type="pct"/>
            <w:gridSpan w:val="2"/>
            <w:shd w:val="clear" w:color="auto" w:fill="auto"/>
            <w:vAlign w:val="center"/>
          </w:tcPr>
          <w:p>
            <w:pPr>
              <w:pStyle w:val="84"/>
              <w:bidi w:val="0"/>
              <w:rPr>
                <w:color w:val="auto"/>
                <w:highlight w:val="none"/>
              </w:rPr>
            </w:pPr>
            <w:r>
              <w:rPr>
                <w:color w:val="auto"/>
                <w:highlight w:val="none"/>
              </w:rPr>
              <w:t>第三部分 临时工程</w:t>
            </w:r>
          </w:p>
        </w:tc>
        <w:tc>
          <w:tcPr>
            <w:tcW w:w="462" w:type="pct"/>
            <w:shd w:val="clear" w:color="auto" w:fill="auto"/>
            <w:vAlign w:val="center"/>
          </w:tcPr>
          <w:p>
            <w:pPr>
              <w:pStyle w:val="84"/>
              <w:bidi w:val="0"/>
              <w:rPr>
                <w:color w:val="auto"/>
                <w:highlight w:val="none"/>
              </w:rPr>
            </w:pPr>
            <w:r>
              <w:rPr>
                <w:rFonts w:hint="default"/>
                <w:color w:val="auto"/>
                <w:highlight w:val="none"/>
                <w:lang w:val="en-US" w:eastAsia="zh-CN"/>
              </w:rPr>
              <w:t>5.0</w:t>
            </w:r>
            <w:r>
              <w:rPr>
                <w:rFonts w:hint="eastAsia"/>
                <w:color w:val="auto"/>
                <w:highlight w:val="none"/>
                <w:lang w:val="en-US" w:eastAsia="zh-CN"/>
              </w:rPr>
              <w:t>1</w:t>
            </w:r>
            <w:r>
              <w:rPr>
                <w:rFonts w:hint="default"/>
                <w:color w:val="auto"/>
                <w:highlight w:val="none"/>
                <w:lang w:val="en-US" w:eastAsia="zh-CN"/>
              </w:rPr>
              <w:t xml:space="preserve">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5.0</w:t>
            </w:r>
            <w:r>
              <w:rPr>
                <w:rFonts w:hint="eastAsia"/>
                <w:color w:val="auto"/>
                <w:highlight w:val="none"/>
                <w:lang w:val="en-US" w:eastAsia="zh-CN"/>
              </w:rPr>
              <w:t>1</w:t>
            </w:r>
            <w:r>
              <w:rPr>
                <w:rFonts w:hint="default"/>
                <w:color w:val="auto"/>
                <w:highlight w:val="none"/>
                <w:lang w:val="en-US" w:eastAsia="zh-CN"/>
              </w:rPr>
              <w:t xml:space="preserve"> </w:t>
            </w:r>
          </w:p>
        </w:tc>
        <w:tc>
          <w:tcPr>
            <w:tcW w:w="450" w:type="pct"/>
            <w:shd w:val="clear" w:color="auto" w:fill="auto"/>
            <w:vAlign w:val="center"/>
          </w:tcPr>
          <w:p>
            <w:pPr>
              <w:pStyle w:val="84"/>
              <w:bidi w:val="0"/>
              <w:rPr>
                <w:color w:val="auto"/>
                <w:highlight w:val="none"/>
              </w:rPr>
            </w:pPr>
            <w:r>
              <w:rPr>
                <w:rFonts w:hint="default"/>
                <w:color w:val="auto"/>
                <w:highlight w:val="none"/>
                <w:lang w:val="en-US" w:eastAsia="zh-CN"/>
              </w:rPr>
              <w:t xml:space="preserve">3.67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8.6</w:t>
            </w:r>
            <w:r>
              <w:rPr>
                <w:rFonts w:hint="eastAsia"/>
                <w:color w:val="auto"/>
                <w:highlight w:val="none"/>
                <w:lang w:val="en-US" w:eastAsia="zh-CN"/>
              </w:rPr>
              <w:t>7</w:t>
            </w:r>
            <w:r>
              <w:rPr>
                <w:rFonts w:hint="default"/>
                <w:color w:val="auto"/>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一</w:t>
            </w:r>
          </w:p>
        </w:tc>
        <w:tc>
          <w:tcPr>
            <w:tcW w:w="949" w:type="pct"/>
            <w:shd w:val="clear" w:color="auto" w:fill="auto"/>
            <w:vAlign w:val="center"/>
          </w:tcPr>
          <w:p>
            <w:pPr>
              <w:pStyle w:val="84"/>
              <w:bidi w:val="0"/>
              <w:rPr>
                <w:color w:val="auto"/>
                <w:highlight w:val="none"/>
              </w:rPr>
            </w:pPr>
            <w:r>
              <w:rPr>
                <w:color w:val="auto"/>
                <w:highlight w:val="none"/>
              </w:rPr>
              <w:t>建构筑物区</w:t>
            </w:r>
          </w:p>
        </w:tc>
        <w:tc>
          <w:tcPr>
            <w:tcW w:w="462" w:type="pct"/>
            <w:shd w:val="clear" w:color="auto" w:fill="auto"/>
            <w:vAlign w:val="center"/>
          </w:tcPr>
          <w:p>
            <w:pPr>
              <w:pStyle w:val="84"/>
              <w:bidi w:val="0"/>
              <w:rPr>
                <w:color w:val="auto"/>
                <w:highlight w:val="none"/>
              </w:rPr>
            </w:pPr>
            <w:r>
              <w:rPr>
                <w:rFonts w:hint="default"/>
                <w:color w:val="auto"/>
                <w:highlight w:val="none"/>
                <w:lang w:val="en-US" w:eastAsia="zh-CN"/>
              </w:rPr>
              <w:t xml:space="preserve">0.81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 xml:space="preserve">0.81 </w:t>
            </w:r>
          </w:p>
        </w:tc>
        <w:tc>
          <w:tcPr>
            <w:tcW w:w="450" w:type="pct"/>
            <w:shd w:val="clear" w:color="auto" w:fill="auto"/>
            <w:vAlign w:val="center"/>
          </w:tcPr>
          <w:p>
            <w:pPr>
              <w:pStyle w:val="84"/>
              <w:bidi w:val="0"/>
              <w:rPr>
                <w:color w:val="auto"/>
                <w:highlight w:val="none"/>
              </w:rPr>
            </w:pPr>
            <w:r>
              <w:rPr>
                <w:rFonts w:hint="default"/>
                <w:color w:val="auto"/>
                <w:highlight w:val="none"/>
                <w:lang w:val="en-US" w:eastAsia="zh-CN"/>
              </w:rPr>
              <w:t xml:space="preserve">3.67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4.48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二</w:t>
            </w:r>
          </w:p>
        </w:tc>
        <w:tc>
          <w:tcPr>
            <w:tcW w:w="949" w:type="pct"/>
            <w:shd w:val="clear" w:color="auto" w:fill="auto"/>
            <w:vAlign w:val="center"/>
          </w:tcPr>
          <w:p>
            <w:pPr>
              <w:pStyle w:val="84"/>
              <w:bidi w:val="0"/>
              <w:rPr>
                <w:color w:val="auto"/>
                <w:highlight w:val="none"/>
              </w:rPr>
            </w:pPr>
            <w:r>
              <w:rPr>
                <w:color w:val="auto"/>
                <w:highlight w:val="none"/>
              </w:rPr>
              <w:t>道路及硬化区</w:t>
            </w:r>
          </w:p>
        </w:tc>
        <w:tc>
          <w:tcPr>
            <w:tcW w:w="462" w:type="pct"/>
            <w:shd w:val="clear" w:color="auto" w:fill="auto"/>
            <w:vAlign w:val="center"/>
          </w:tcPr>
          <w:p>
            <w:pPr>
              <w:pStyle w:val="84"/>
              <w:bidi w:val="0"/>
              <w:rPr>
                <w:color w:val="auto"/>
                <w:highlight w:val="none"/>
              </w:rPr>
            </w:pPr>
            <w:r>
              <w:rPr>
                <w:rFonts w:hint="default"/>
                <w:color w:val="auto"/>
                <w:highlight w:val="none"/>
                <w:lang w:val="en-US" w:eastAsia="zh-CN"/>
              </w:rPr>
              <w:t xml:space="preserve">2.95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 xml:space="preserve">2.95 </w:t>
            </w:r>
          </w:p>
        </w:tc>
        <w:tc>
          <w:tcPr>
            <w:tcW w:w="450" w:type="pct"/>
            <w:shd w:val="clear" w:color="auto" w:fill="auto"/>
            <w:vAlign w:val="center"/>
          </w:tcPr>
          <w:p>
            <w:pPr>
              <w:pStyle w:val="84"/>
              <w:bidi w:val="0"/>
              <w:rPr>
                <w:color w:val="auto"/>
                <w:highlight w:val="none"/>
              </w:rPr>
            </w:pPr>
            <w:r>
              <w:rPr>
                <w:color w:val="auto"/>
                <w:highlight w:val="none"/>
              </w:rPr>
              <w:t>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2.95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三</w:t>
            </w:r>
          </w:p>
        </w:tc>
        <w:tc>
          <w:tcPr>
            <w:tcW w:w="949" w:type="pct"/>
            <w:shd w:val="clear" w:color="auto" w:fill="auto"/>
            <w:vAlign w:val="center"/>
          </w:tcPr>
          <w:p>
            <w:pPr>
              <w:pStyle w:val="84"/>
              <w:bidi w:val="0"/>
              <w:rPr>
                <w:color w:val="auto"/>
                <w:highlight w:val="none"/>
              </w:rPr>
            </w:pPr>
            <w:r>
              <w:rPr>
                <w:color w:val="auto"/>
                <w:highlight w:val="none"/>
              </w:rPr>
              <w:t>管线工程区</w:t>
            </w:r>
          </w:p>
        </w:tc>
        <w:tc>
          <w:tcPr>
            <w:tcW w:w="462" w:type="pct"/>
            <w:shd w:val="clear" w:color="auto" w:fill="auto"/>
            <w:vAlign w:val="center"/>
          </w:tcPr>
          <w:p>
            <w:pPr>
              <w:pStyle w:val="84"/>
              <w:bidi w:val="0"/>
              <w:rPr>
                <w:color w:val="auto"/>
                <w:highlight w:val="none"/>
              </w:rPr>
            </w:pPr>
            <w:r>
              <w:rPr>
                <w:rFonts w:hint="default"/>
                <w:color w:val="auto"/>
                <w:highlight w:val="none"/>
                <w:lang w:val="en-US" w:eastAsia="zh-CN"/>
              </w:rPr>
              <w:t xml:space="preserve">0.81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 xml:space="preserve">0.81 </w:t>
            </w:r>
          </w:p>
        </w:tc>
        <w:tc>
          <w:tcPr>
            <w:tcW w:w="450" w:type="pct"/>
            <w:shd w:val="clear" w:color="auto" w:fill="auto"/>
            <w:vAlign w:val="center"/>
          </w:tcPr>
          <w:p>
            <w:pPr>
              <w:pStyle w:val="84"/>
              <w:bidi w:val="0"/>
              <w:rPr>
                <w:color w:val="auto"/>
                <w:highlight w:val="none"/>
              </w:rPr>
            </w:pPr>
            <w:r>
              <w:rPr>
                <w:color w:val="auto"/>
                <w:highlight w:val="none"/>
              </w:rPr>
              <w:t>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0.81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四</w:t>
            </w:r>
          </w:p>
        </w:tc>
        <w:tc>
          <w:tcPr>
            <w:tcW w:w="949" w:type="pct"/>
            <w:shd w:val="clear" w:color="auto" w:fill="auto"/>
            <w:vAlign w:val="center"/>
          </w:tcPr>
          <w:p>
            <w:pPr>
              <w:pStyle w:val="84"/>
              <w:bidi w:val="0"/>
              <w:rPr>
                <w:color w:val="auto"/>
                <w:highlight w:val="none"/>
              </w:rPr>
            </w:pPr>
            <w:r>
              <w:rPr>
                <w:color w:val="auto"/>
                <w:highlight w:val="none"/>
              </w:rPr>
              <w:t>施工生产区</w:t>
            </w:r>
          </w:p>
        </w:tc>
        <w:tc>
          <w:tcPr>
            <w:tcW w:w="462" w:type="pct"/>
            <w:shd w:val="clear" w:color="auto" w:fill="auto"/>
            <w:vAlign w:val="center"/>
          </w:tcPr>
          <w:p>
            <w:pPr>
              <w:pStyle w:val="84"/>
              <w:bidi w:val="0"/>
              <w:rPr>
                <w:color w:val="auto"/>
                <w:highlight w:val="none"/>
              </w:rPr>
            </w:pPr>
            <w:r>
              <w:rPr>
                <w:rFonts w:hint="default"/>
                <w:color w:val="auto"/>
                <w:highlight w:val="none"/>
                <w:lang w:val="en-US" w:eastAsia="zh-CN"/>
              </w:rPr>
              <w:t xml:space="preserve">0.20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 xml:space="preserve">0.20 </w:t>
            </w:r>
          </w:p>
        </w:tc>
        <w:tc>
          <w:tcPr>
            <w:tcW w:w="450" w:type="pct"/>
            <w:shd w:val="clear" w:color="auto" w:fill="auto"/>
            <w:vAlign w:val="center"/>
          </w:tcPr>
          <w:p>
            <w:pPr>
              <w:pStyle w:val="84"/>
              <w:bidi w:val="0"/>
              <w:rPr>
                <w:color w:val="auto"/>
                <w:highlight w:val="none"/>
              </w:rPr>
            </w:pPr>
            <w:r>
              <w:rPr>
                <w:color w:val="auto"/>
                <w:highlight w:val="none"/>
              </w:rPr>
              <w:t>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0.20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五</w:t>
            </w:r>
          </w:p>
        </w:tc>
        <w:tc>
          <w:tcPr>
            <w:tcW w:w="949" w:type="pct"/>
            <w:shd w:val="clear" w:color="auto" w:fill="auto"/>
            <w:vAlign w:val="center"/>
          </w:tcPr>
          <w:p>
            <w:pPr>
              <w:pStyle w:val="84"/>
              <w:bidi w:val="0"/>
              <w:rPr>
                <w:color w:val="auto"/>
                <w:highlight w:val="none"/>
              </w:rPr>
            </w:pPr>
            <w:r>
              <w:rPr>
                <w:color w:val="auto"/>
                <w:highlight w:val="none"/>
              </w:rPr>
              <w:t>其他临时工程</w:t>
            </w:r>
          </w:p>
        </w:tc>
        <w:tc>
          <w:tcPr>
            <w:tcW w:w="462" w:type="pct"/>
            <w:shd w:val="clear" w:color="auto" w:fill="auto"/>
            <w:vAlign w:val="center"/>
          </w:tcPr>
          <w:p>
            <w:pPr>
              <w:pStyle w:val="84"/>
              <w:bidi w:val="0"/>
              <w:rPr>
                <w:color w:val="auto"/>
                <w:highlight w:val="none"/>
              </w:rPr>
            </w:pPr>
            <w:r>
              <w:rPr>
                <w:rFonts w:hint="default"/>
                <w:color w:val="auto"/>
                <w:highlight w:val="none"/>
                <w:lang w:val="en-US" w:eastAsia="zh-CN"/>
              </w:rPr>
              <w:t>0.2</w:t>
            </w:r>
            <w:r>
              <w:rPr>
                <w:rFonts w:hint="eastAsia"/>
                <w:color w:val="auto"/>
                <w:highlight w:val="none"/>
                <w:lang w:val="en-US" w:eastAsia="zh-CN"/>
              </w:rPr>
              <w:t>3</w:t>
            </w:r>
            <w:r>
              <w:rPr>
                <w:rFonts w:hint="default"/>
                <w:color w:val="auto"/>
                <w:highlight w:val="none"/>
                <w:lang w:val="en-US" w:eastAsia="zh-CN"/>
              </w:rPr>
              <w:t xml:space="preserve">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0.2</w:t>
            </w:r>
            <w:r>
              <w:rPr>
                <w:rFonts w:hint="eastAsia"/>
                <w:color w:val="auto"/>
                <w:highlight w:val="none"/>
                <w:lang w:val="en-US" w:eastAsia="zh-CN"/>
              </w:rPr>
              <w:t>3</w:t>
            </w:r>
            <w:r>
              <w:rPr>
                <w:rFonts w:hint="default"/>
                <w:color w:val="auto"/>
                <w:highlight w:val="none"/>
                <w:lang w:val="en-US" w:eastAsia="zh-CN"/>
              </w:rPr>
              <w:t xml:space="preserve"> </w:t>
            </w:r>
          </w:p>
        </w:tc>
        <w:tc>
          <w:tcPr>
            <w:tcW w:w="450" w:type="pct"/>
            <w:shd w:val="clear" w:color="auto" w:fill="auto"/>
            <w:vAlign w:val="center"/>
          </w:tcPr>
          <w:p>
            <w:pPr>
              <w:pStyle w:val="84"/>
              <w:bidi w:val="0"/>
              <w:rPr>
                <w:color w:val="auto"/>
                <w:highlight w:val="none"/>
              </w:rPr>
            </w:pPr>
            <w:r>
              <w:rPr>
                <w:color w:val="auto"/>
                <w:highlight w:val="none"/>
              </w:rPr>
              <w:t>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0.2</w:t>
            </w:r>
            <w:r>
              <w:rPr>
                <w:rFonts w:hint="eastAsia"/>
                <w:color w:val="auto"/>
                <w:highlight w:val="none"/>
                <w:lang w:val="en-US" w:eastAsia="zh-CN"/>
              </w:rPr>
              <w:t>3</w:t>
            </w:r>
            <w:r>
              <w:rPr>
                <w:rFonts w:hint="default"/>
                <w:color w:val="auto"/>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26" w:type="pct"/>
            <w:gridSpan w:val="2"/>
            <w:shd w:val="clear" w:color="auto" w:fill="auto"/>
            <w:vAlign w:val="center"/>
          </w:tcPr>
          <w:p>
            <w:pPr>
              <w:pStyle w:val="84"/>
              <w:bidi w:val="0"/>
              <w:rPr>
                <w:color w:val="auto"/>
                <w:highlight w:val="none"/>
              </w:rPr>
            </w:pPr>
            <w:r>
              <w:rPr>
                <w:color w:val="auto"/>
                <w:highlight w:val="none"/>
              </w:rPr>
              <w:t>一至三部分合计</w:t>
            </w:r>
          </w:p>
        </w:tc>
        <w:tc>
          <w:tcPr>
            <w:tcW w:w="462"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16.34</w:t>
            </w:r>
            <w:r>
              <w:rPr>
                <w:rFonts w:hint="default"/>
                <w:color w:val="auto"/>
                <w:highlight w:val="none"/>
                <w:lang w:val="en-US" w:eastAsia="zh-CN"/>
              </w:rPr>
              <w:t xml:space="preserve"> </w:t>
            </w:r>
          </w:p>
        </w:tc>
        <w:tc>
          <w:tcPr>
            <w:tcW w:w="531" w:type="pct"/>
            <w:shd w:val="clear" w:color="auto" w:fill="auto"/>
            <w:vAlign w:val="center"/>
          </w:tcPr>
          <w:p>
            <w:pPr>
              <w:pStyle w:val="84"/>
              <w:bidi w:val="0"/>
              <w:rPr>
                <w:color w:val="auto"/>
                <w:highlight w:val="none"/>
              </w:rPr>
            </w:pPr>
            <w:r>
              <w:rPr>
                <w:color w:val="auto"/>
                <w:highlight w:val="none"/>
              </w:rPr>
              <w:t xml:space="preserve">0 </w:t>
            </w:r>
          </w:p>
        </w:tc>
        <w:tc>
          <w:tcPr>
            <w:tcW w:w="784" w:type="pct"/>
            <w:shd w:val="clear" w:color="auto" w:fill="auto"/>
            <w:vAlign w:val="center"/>
          </w:tcPr>
          <w:p>
            <w:pPr>
              <w:pStyle w:val="84"/>
              <w:bidi w:val="0"/>
              <w:rPr>
                <w:color w:val="auto"/>
                <w:highlight w:val="none"/>
              </w:rPr>
            </w:pPr>
            <w:r>
              <w:rPr>
                <w:color w:val="auto"/>
                <w:highlight w:val="none"/>
              </w:rPr>
              <w:t xml:space="preserve">0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rFonts w:hint="default"/>
                <w:color w:val="auto"/>
                <w:highlight w:val="none"/>
                <w:lang w:val="en-US" w:eastAsia="zh-CN"/>
              </w:rPr>
            </w:pPr>
            <w:r>
              <w:rPr>
                <w:rFonts w:hint="default"/>
                <w:color w:val="auto"/>
                <w:highlight w:val="none"/>
                <w:lang w:val="en-US" w:eastAsia="zh-CN"/>
              </w:rPr>
              <w:t>16.3</w:t>
            </w:r>
            <w:r>
              <w:rPr>
                <w:rFonts w:hint="eastAsia"/>
                <w:color w:val="auto"/>
                <w:highlight w:val="none"/>
                <w:lang w:val="en-US" w:eastAsia="zh-CN"/>
              </w:rPr>
              <w:t>4</w:t>
            </w:r>
            <w:r>
              <w:rPr>
                <w:rFonts w:hint="default"/>
                <w:color w:val="auto"/>
                <w:highlight w:val="none"/>
                <w:lang w:val="en-US" w:eastAsia="zh-CN"/>
              </w:rPr>
              <w:t xml:space="preserve"> </w:t>
            </w:r>
          </w:p>
        </w:tc>
        <w:tc>
          <w:tcPr>
            <w:tcW w:w="450"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25.63</w:t>
            </w:r>
          </w:p>
        </w:tc>
        <w:tc>
          <w:tcPr>
            <w:tcW w:w="464"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41.97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26" w:type="pct"/>
            <w:gridSpan w:val="2"/>
            <w:shd w:val="clear" w:color="auto" w:fill="auto"/>
            <w:vAlign w:val="center"/>
          </w:tcPr>
          <w:p>
            <w:pPr>
              <w:pStyle w:val="84"/>
              <w:bidi w:val="0"/>
              <w:rPr>
                <w:color w:val="auto"/>
                <w:highlight w:val="none"/>
              </w:rPr>
            </w:pPr>
            <w:r>
              <w:rPr>
                <w:color w:val="auto"/>
                <w:highlight w:val="none"/>
              </w:rPr>
              <w:t>第四部分 独立费用</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rFonts w:hint="default"/>
                <w:color w:val="auto"/>
                <w:highlight w:val="none"/>
                <w:lang w:val="en-US" w:eastAsia="zh-CN"/>
              </w:rPr>
              <w:t xml:space="preserve">6.33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 xml:space="preserve">6.33 </w:t>
            </w:r>
          </w:p>
        </w:tc>
        <w:tc>
          <w:tcPr>
            <w:tcW w:w="450" w:type="pct"/>
            <w:shd w:val="clear" w:color="auto" w:fill="auto"/>
            <w:vAlign w:val="center"/>
          </w:tcPr>
          <w:p>
            <w:pPr>
              <w:pStyle w:val="84"/>
              <w:bidi w:val="0"/>
              <w:rPr>
                <w:color w:val="auto"/>
                <w:highlight w:val="none"/>
              </w:rPr>
            </w:pPr>
            <w:r>
              <w:rPr>
                <w:color w:val="auto"/>
                <w:highlight w:val="none"/>
              </w:rPr>
              <w:t>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6.33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一</w:t>
            </w:r>
          </w:p>
        </w:tc>
        <w:tc>
          <w:tcPr>
            <w:tcW w:w="949" w:type="pct"/>
            <w:shd w:val="clear" w:color="auto" w:fill="auto"/>
            <w:vAlign w:val="center"/>
          </w:tcPr>
          <w:p>
            <w:pPr>
              <w:pStyle w:val="84"/>
              <w:bidi w:val="0"/>
              <w:rPr>
                <w:color w:val="auto"/>
                <w:highlight w:val="none"/>
              </w:rPr>
            </w:pPr>
            <w:r>
              <w:rPr>
                <w:color w:val="auto"/>
                <w:highlight w:val="none"/>
              </w:rPr>
              <w:t>建设管理费</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rFonts w:hint="default"/>
                <w:color w:val="auto"/>
                <w:highlight w:val="none"/>
                <w:lang w:val="en-US" w:eastAsia="zh-CN"/>
              </w:rPr>
              <w:t xml:space="preserve">0.33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 xml:space="preserve">0.33 </w:t>
            </w:r>
          </w:p>
        </w:tc>
        <w:tc>
          <w:tcPr>
            <w:tcW w:w="450" w:type="pct"/>
            <w:shd w:val="clear" w:color="auto" w:fill="auto"/>
            <w:vAlign w:val="center"/>
          </w:tcPr>
          <w:p>
            <w:pPr>
              <w:pStyle w:val="84"/>
              <w:bidi w:val="0"/>
              <w:rPr>
                <w:color w:val="auto"/>
                <w:highlight w:val="none"/>
              </w:rPr>
            </w:pPr>
            <w:r>
              <w:rPr>
                <w:color w:val="auto"/>
                <w:highlight w:val="none"/>
              </w:rPr>
              <w:t>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0.33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二</w:t>
            </w:r>
          </w:p>
        </w:tc>
        <w:tc>
          <w:tcPr>
            <w:tcW w:w="949" w:type="pct"/>
            <w:shd w:val="clear" w:color="auto" w:fill="auto"/>
            <w:vAlign w:val="center"/>
          </w:tcPr>
          <w:p>
            <w:pPr>
              <w:pStyle w:val="84"/>
              <w:bidi w:val="0"/>
              <w:rPr>
                <w:color w:val="auto"/>
                <w:highlight w:val="none"/>
              </w:rPr>
            </w:pPr>
            <w:r>
              <w:rPr>
                <w:color w:val="auto"/>
                <w:highlight w:val="none"/>
              </w:rPr>
              <w:t>水土保持监理费</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rFonts w:hint="default"/>
                <w:color w:val="auto"/>
                <w:highlight w:val="none"/>
                <w:lang w:val="en-US" w:eastAsia="zh-CN"/>
              </w:rPr>
              <w:t xml:space="preserve">1.50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 xml:space="preserve">1.50 </w:t>
            </w:r>
          </w:p>
        </w:tc>
        <w:tc>
          <w:tcPr>
            <w:tcW w:w="450" w:type="pct"/>
            <w:shd w:val="clear" w:color="auto" w:fill="auto"/>
            <w:vAlign w:val="center"/>
          </w:tcPr>
          <w:p>
            <w:pPr>
              <w:pStyle w:val="84"/>
              <w:bidi w:val="0"/>
              <w:rPr>
                <w:color w:val="auto"/>
                <w:highlight w:val="none"/>
              </w:rPr>
            </w:pPr>
            <w:r>
              <w:rPr>
                <w:color w:val="auto"/>
                <w:highlight w:val="none"/>
              </w:rPr>
              <w:t>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1.50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三</w:t>
            </w:r>
          </w:p>
        </w:tc>
        <w:tc>
          <w:tcPr>
            <w:tcW w:w="949" w:type="pct"/>
            <w:shd w:val="clear" w:color="auto" w:fill="auto"/>
            <w:vAlign w:val="center"/>
          </w:tcPr>
          <w:p>
            <w:pPr>
              <w:pStyle w:val="84"/>
              <w:bidi w:val="0"/>
              <w:rPr>
                <w:color w:val="auto"/>
                <w:highlight w:val="none"/>
              </w:rPr>
            </w:pPr>
            <w:r>
              <w:rPr>
                <w:color w:val="auto"/>
                <w:highlight w:val="none"/>
              </w:rPr>
              <w:t>科研勘测设计费</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rFonts w:hint="default"/>
                <w:color w:val="auto"/>
                <w:highlight w:val="none"/>
                <w:lang w:val="en-US" w:eastAsia="zh-CN"/>
              </w:rPr>
              <w:t xml:space="preserve">2.00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 xml:space="preserve">2.00 </w:t>
            </w:r>
          </w:p>
        </w:tc>
        <w:tc>
          <w:tcPr>
            <w:tcW w:w="450" w:type="pct"/>
            <w:shd w:val="clear" w:color="auto" w:fill="auto"/>
            <w:vAlign w:val="center"/>
          </w:tcPr>
          <w:p>
            <w:pPr>
              <w:pStyle w:val="84"/>
              <w:bidi w:val="0"/>
              <w:rPr>
                <w:color w:val="auto"/>
                <w:highlight w:val="none"/>
              </w:rPr>
            </w:pPr>
            <w:r>
              <w:rPr>
                <w:color w:val="auto"/>
                <w:highlight w:val="none"/>
              </w:rPr>
              <w:t>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2.00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四</w:t>
            </w:r>
          </w:p>
        </w:tc>
        <w:tc>
          <w:tcPr>
            <w:tcW w:w="949" w:type="pct"/>
            <w:shd w:val="clear" w:color="auto" w:fill="auto"/>
            <w:vAlign w:val="center"/>
          </w:tcPr>
          <w:p>
            <w:pPr>
              <w:pStyle w:val="84"/>
              <w:bidi w:val="0"/>
              <w:rPr>
                <w:color w:val="auto"/>
                <w:highlight w:val="none"/>
              </w:rPr>
            </w:pPr>
            <w:r>
              <w:rPr>
                <w:color w:val="auto"/>
                <w:highlight w:val="none"/>
              </w:rPr>
              <w:t>水土保持监测费</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rFonts w:hint="default"/>
                <w:color w:val="auto"/>
                <w:highlight w:val="none"/>
                <w:lang w:val="en-US" w:eastAsia="zh-CN"/>
              </w:rPr>
              <w:t xml:space="preserve">0.00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 xml:space="preserve">0.00 </w:t>
            </w:r>
          </w:p>
        </w:tc>
        <w:tc>
          <w:tcPr>
            <w:tcW w:w="450" w:type="pct"/>
            <w:shd w:val="clear" w:color="auto" w:fill="auto"/>
            <w:vAlign w:val="center"/>
          </w:tcPr>
          <w:p>
            <w:pPr>
              <w:pStyle w:val="84"/>
              <w:bidi w:val="0"/>
              <w:rPr>
                <w:color w:val="auto"/>
                <w:highlight w:val="none"/>
              </w:rPr>
            </w:pPr>
            <w:r>
              <w:rPr>
                <w:color w:val="auto"/>
                <w:highlight w:val="none"/>
              </w:rPr>
              <w:t>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77" w:type="pct"/>
            <w:shd w:val="clear" w:color="auto" w:fill="auto"/>
            <w:vAlign w:val="center"/>
          </w:tcPr>
          <w:p>
            <w:pPr>
              <w:pStyle w:val="84"/>
              <w:bidi w:val="0"/>
              <w:rPr>
                <w:color w:val="auto"/>
                <w:highlight w:val="none"/>
              </w:rPr>
            </w:pPr>
            <w:r>
              <w:rPr>
                <w:color w:val="auto"/>
                <w:highlight w:val="none"/>
              </w:rPr>
              <w:t>五</w:t>
            </w:r>
          </w:p>
        </w:tc>
        <w:tc>
          <w:tcPr>
            <w:tcW w:w="949" w:type="pct"/>
            <w:shd w:val="clear" w:color="auto" w:fill="auto"/>
            <w:vAlign w:val="center"/>
          </w:tcPr>
          <w:p>
            <w:pPr>
              <w:pStyle w:val="84"/>
              <w:bidi w:val="0"/>
              <w:rPr>
                <w:color w:val="auto"/>
                <w:highlight w:val="none"/>
              </w:rPr>
            </w:pPr>
            <w:r>
              <w:rPr>
                <w:color w:val="auto"/>
                <w:highlight w:val="none"/>
              </w:rPr>
              <w:t>水土保持验收费</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rFonts w:hint="default"/>
                <w:color w:val="auto"/>
                <w:highlight w:val="none"/>
                <w:lang w:val="en-US" w:eastAsia="zh-CN"/>
              </w:rPr>
              <w:t xml:space="preserve">2.50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 xml:space="preserve">2.50 </w:t>
            </w:r>
          </w:p>
        </w:tc>
        <w:tc>
          <w:tcPr>
            <w:tcW w:w="450" w:type="pct"/>
            <w:shd w:val="clear" w:color="auto" w:fill="auto"/>
            <w:vAlign w:val="center"/>
          </w:tcPr>
          <w:p>
            <w:pPr>
              <w:pStyle w:val="84"/>
              <w:bidi w:val="0"/>
              <w:rPr>
                <w:color w:val="auto"/>
                <w:highlight w:val="none"/>
              </w:rPr>
            </w:pPr>
            <w:r>
              <w:rPr>
                <w:color w:val="auto"/>
                <w:highlight w:val="none"/>
              </w:rPr>
              <w:t>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2.50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26" w:type="pct"/>
            <w:gridSpan w:val="2"/>
            <w:shd w:val="clear" w:color="auto" w:fill="auto"/>
            <w:vAlign w:val="center"/>
          </w:tcPr>
          <w:p>
            <w:pPr>
              <w:pStyle w:val="84"/>
              <w:bidi w:val="0"/>
              <w:rPr>
                <w:color w:val="auto"/>
                <w:highlight w:val="none"/>
              </w:rPr>
            </w:pPr>
            <w:r>
              <w:rPr>
                <w:color w:val="auto"/>
                <w:highlight w:val="none"/>
              </w:rPr>
              <w:t>一至四部分合计</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22.6</w:t>
            </w:r>
            <w:r>
              <w:rPr>
                <w:rFonts w:hint="eastAsia"/>
                <w:color w:val="auto"/>
                <w:highlight w:val="none"/>
                <w:lang w:val="en-US" w:eastAsia="zh-CN"/>
              </w:rPr>
              <w:t>7</w:t>
            </w:r>
            <w:r>
              <w:rPr>
                <w:rFonts w:hint="default"/>
                <w:color w:val="auto"/>
                <w:highlight w:val="none"/>
                <w:lang w:val="en-US" w:eastAsia="zh-CN"/>
              </w:rPr>
              <w:t xml:space="preserve"> </w:t>
            </w:r>
          </w:p>
        </w:tc>
        <w:tc>
          <w:tcPr>
            <w:tcW w:w="450"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25.63</w:t>
            </w:r>
          </w:p>
        </w:tc>
        <w:tc>
          <w:tcPr>
            <w:tcW w:w="464" w:type="pct"/>
            <w:shd w:val="clear" w:color="auto" w:fill="auto"/>
            <w:vAlign w:val="center"/>
          </w:tcPr>
          <w:p>
            <w:pPr>
              <w:pStyle w:val="84"/>
              <w:bidi w:val="0"/>
              <w:rPr>
                <w:color w:val="auto"/>
                <w:highlight w:val="none"/>
              </w:rPr>
            </w:pPr>
            <w:r>
              <w:rPr>
                <w:rFonts w:hint="eastAsia"/>
                <w:color w:val="auto"/>
                <w:highlight w:val="none"/>
                <w:lang w:val="en-US" w:eastAsia="zh-CN"/>
              </w:rPr>
              <w:t>48.30</w:t>
            </w:r>
            <w:r>
              <w:rPr>
                <w:rFonts w:hint="default"/>
                <w:color w:val="auto"/>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26" w:type="pct"/>
            <w:gridSpan w:val="2"/>
            <w:shd w:val="clear" w:color="auto" w:fill="auto"/>
            <w:vAlign w:val="center"/>
          </w:tcPr>
          <w:p>
            <w:pPr>
              <w:pStyle w:val="84"/>
              <w:bidi w:val="0"/>
              <w:rPr>
                <w:color w:val="auto"/>
                <w:highlight w:val="none"/>
              </w:rPr>
            </w:pPr>
            <w:r>
              <w:rPr>
                <w:color w:val="auto"/>
                <w:highlight w:val="none"/>
              </w:rPr>
              <w:t>基本预备费</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 xml:space="preserve">1.36 </w:t>
            </w:r>
          </w:p>
        </w:tc>
        <w:tc>
          <w:tcPr>
            <w:tcW w:w="450" w:type="pct"/>
            <w:shd w:val="clear" w:color="auto" w:fill="auto"/>
            <w:vAlign w:val="center"/>
          </w:tcPr>
          <w:p>
            <w:pPr>
              <w:pStyle w:val="84"/>
              <w:bidi w:val="0"/>
              <w:rPr>
                <w:color w:val="auto"/>
                <w:highlight w:val="none"/>
              </w:rPr>
            </w:pPr>
            <w:r>
              <w:rPr>
                <w:color w:val="auto"/>
                <w:highlight w:val="none"/>
              </w:rPr>
              <w:t>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1.36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26" w:type="pct"/>
            <w:gridSpan w:val="2"/>
            <w:shd w:val="clear" w:color="auto" w:fill="auto"/>
            <w:vAlign w:val="center"/>
          </w:tcPr>
          <w:p>
            <w:pPr>
              <w:pStyle w:val="84"/>
              <w:bidi w:val="0"/>
              <w:rPr>
                <w:color w:val="auto"/>
                <w:highlight w:val="none"/>
              </w:rPr>
            </w:pPr>
            <w:r>
              <w:rPr>
                <w:color w:val="auto"/>
                <w:highlight w:val="none"/>
              </w:rPr>
              <w:t>水土保持补偿费</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 xml:space="preserve">0.00 </w:t>
            </w:r>
          </w:p>
        </w:tc>
        <w:tc>
          <w:tcPr>
            <w:tcW w:w="450" w:type="pct"/>
            <w:shd w:val="clear" w:color="auto" w:fill="auto"/>
            <w:vAlign w:val="center"/>
          </w:tcPr>
          <w:p>
            <w:pPr>
              <w:pStyle w:val="84"/>
              <w:bidi w:val="0"/>
              <w:rPr>
                <w:color w:val="auto"/>
                <w:highlight w:val="none"/>
              </w:rPr>
            </w:pPr>
            <w:r>
              <w:rPr>
                <w:color w:val="auto"/>
                <w:highlight w:val="none"/>
              </w:rPr>
              <w:t>　</w:t>
            </w:r>
          </w:p>
        </w:tc>
        <w:tc>
          <w:tcPr>
            <w:tcW w:w="464" w:type="pct"/>
            <w:shd w:val="clear" w:color="auto" w:fill="auto"/>
            <w:vAlign w:val="center"/>
          </w:tcPr>
          <w:p>
            <w:pPr>
              <w:pStyle w:val="84"/>
              <w:bidi w:val="0"/>
              <w:rPr>
                <w:color w:val="auto"/>
                <w:highlight w:val="none"/>
              </w:rPr>
            </w:pPr>
            <w:r>
              <w:rPr>
                <w:rFonts w:hint="default"/>
                <w:color w:val="auto"/>
                <w:highlight w:val="none"/>
                <w:lang w:val="en-US" w:eastAsia="zh-CN"/>
              </w:rPr>
              <w:t xml:space="preserve">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26" w:type="pct"/>
            <w:gridSpan w:val="2"/>
            <w:shd w:val="clear" w:color="auto" w:fill="auto"/>
            <w:vAlign w:val="center"/>
          </w:tcPr>
          <w:p>
            <w:pPr>
              <w:pStyle w:val="84"/>
              <w:bidi w:val="0"/>
              <w:rPr>
                <w:color w:val="auto"/>
                <w:highlight w:val="none"/>
              </w:rPr>
            </w:pPr>
            <w:r>
              <w:rPr>
                <w:color w:val="auto"/>
                <w:highlight w:val="none"/>
              </w:rPr>
              <w:t>总投资</w:t>
            </w:r>
          </w:p>
        </w:tc>
        <w:tc>
          <w:tcPr>
            <w:tcW w:w="462" w:type="pct"/>
            <w:shd w:val="clear" w:color="auto" w:fill="auto"/>
            <w:vAlign w:val="center"/>
          </w:tcPr>
          <w:p>
            <w:pPr>
              <w:pStyle w:val="84"/>
              <w:bidi w:val="0"/>
              <w:rPr>
                <w:color w:val="auto"/>
                <w:highlight w:val="none"/>
              </w:rPr>
            </w:pPr>
            <w:r>
              <w:rPr>
                <w:color w:val="auto"/>
                <w:highlight w:val="none"/>
              </w:rPr>
              <w:t>　</w:t>
            </w:r>
          </w:p>
        </w:tc>
        <w:tc>
          <w:tcPr>
            <w:tcW w:w="531" w:type="pct"/>
            <w:shd w:val="clear" w:color="auto" w:fill="auto"/>
            <w:vAlign w:val="center"/>
          </w:tcPr>
          <w:p>
            <w:pPr>
              <w:pStyle w:val="84"/>
              <w:bidi w:val="0"/>
              <w:rPr>
                <w:color w:val="auto"/>
                <w:highlight w:val="none"/>
              </w:rPr>
            </w:pPr>
            <w:r>
              <w:rPr>
                <w:color w:val="auto"/>
                <w:highlight w:val="none"/>
              </w:rPr>
              <w:t>　</w:t>
            </w:r>
          </w:p>
        </w:tc>
        <w:tc>
          <w:tcPr>
            <w:tcW w:w="784" w:type="pct"/>
            <w:shd w:val="clear" w:color="auto" w:fill="auto"/>
            <w:vAlign w:val="center"/>
          </w:tcPr>
          <w:p>
            <w:pPr>
              <w:pStyle w:val="84"/>
              <w:bidi w:val="0"/>
              <w:rPr>
                <w:color w:val="auto"/>
                <w:highlight w:val="none"/>
              </w:rPr>
            </w:pPr>
            <w:r>
              <w:rPr>
                <w:color w:val="auto"/>
                <w:highlight w:val="none"/>
              </w:rPr>
              <w:t>　</w:t>
            </w:r>
          </w:p>
        </w:tc>
        <w:tc>
          <w:tcPr>
            <w:tcW w:w="390" w:type="pct"/>
            <w:shd w:val="clear" w:color="auto" w:fill="auto"/>
            <w:vAlign w:val="center"/>
          </w:tcPr>
          <w:p>
            <w:pPr>
              <w:pStyle w:val="84"/>
              <w:bidi w:val="0"/>
              <w:rPr>
                <w:color w:val="auto"/>
                <w:highlight w:val="none"/>
              </w:rPr>
            </w:pPr>
            <w:r>
              <w:rPr>
                <w:color w:val="auto"/>
                <w:highlight w:val="none"/>
              </w:rPr>
              <w:t>　</w:t>
            </w:r>
          </w:p>
        </w:tc>
        <w:tc>
          <w:tcPr>
            <w:tcW w:w="689" w:type="pct"/>
            <w:shd w:val="clear" w:color="auto" w:fill="auto"/>
            <w:vAlign w:val="center"/>
          </w:tcPr>
          <w:p>
            <w:pPr>
              <w:pStyle w:val="84"/>
              <w:bidi w:val="0"/>
              <w:rPr>
                <w:color w:val="auto"/>
                <w:highlight w:val="none"/>
              </w:rPr>
            </w:pPr>
            <w:r>
              <w:rPr>
                <w:rFonts w:hint="default"/>
                <w:color w:val="auto"/>
                <w:highlight w:val="none"/>
                <w:lang w:val="en-US" w:eastAsia="zh-CN"/>
              </w:rPr>
              <w:t>24.0</w:t>
            </w:r>
            <w:r>
              <w:rPr>
                <w:rFonts w:hint="eastAsia"/>
                <w:color w:val="auto"/>
                <w:highlight w:val="none"/>
                <w:lang w:val="en-US" w:eastAsia="zh-CN"/>
              </w:rPr>
              <w:t>3</w:t>
            </w:r>
            <w:r>
              <w:rPr>
                <w:rFonts w:hint="default"/>
                <w:color w:val="auto"/>
                <w:highlight w:val="none"/>
                <w:lang w:val="en-US" w:eastAsia="zh-CN"/>
              </w:rPr>
              <w:t xml:space="preserve"> </w:t>
            </w:r>
          </w:p>
        </w:tc>
        <w:tc>
          <w:tcPr>
            <w:tcW w:w="450"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25.63</w:t>
            </w:r>
          </w:p>
        </w:tc>
        <w:tc>
          <w:tcPr>
            <w:tcW w:w="464" w:type="pct"/>
            <w:shd w:val="clear" w:color="auto" w:fill="auto"/>
            <w:vAlign w:val="center"/>
          </w:tcPr>
          <w:p>
            <w:pPr>
              <w:pStyle w:val="84"/>
              <w:bidi w:val="0"/>
              <w:rPr>
                <w:color w:val="auto"/>
                <w:highlight w:val="none"/>
              </w:rPr>
            </w:pPr>
            <w:r>
              <w:rPr>
                <w:rFonts w:hint="eastAsia"/>
                <w:color w:val="auto"/>
                <w:highlight w:val="none"/>
                <w:lang w:val="en-US" w:eastAsia="zh-CN"/>
              </w:rPr>
              <w:t>49.66</w:t>
            </w:r>
            <w:r>
              <w:rPr>
                <w:rFonts w:hint="default"/>
                <w:color w:val="auto"/>
                <w:highlight w:val="none"/>
                <w:lang w:val="en-US" w:eastAsia="zh-CN"/>
              </w:rPr>
              <w:t xml:space="preserve"> </w:t>
            </w:r>
          </w:p>
        </w:tc>
      </w:tr>
    </w:tbl>
    <w:p>
      <w:pPr>
        <w:pStyle w:val="56"/>
        <w:ind w:firstLine="480"/>
        <w:jc w:val="center"/>
        <w:rPr>
          <w:color w:val="auto"/>
          <w:highlight w:val="none"/>
        </w:rPr>
      </w:pPr>
    </w:p>
    <w:p>
      <w:pPr>
        <w:pStyle w:val="75"/>
        <w:rPr>
          <w:color w:val="auto"/>
          <w:highlight w:val="none"/>
        </w:rPr>
      </w:pPr>
      <w:r>
        <w:rPr>
          <w:color w:val="auto"/>
          <w:highlight w:val="none"/>
        </w:rPr>
        <w:br w:type="page"/>
      </w:r>
      <w:r>
        <w:rPr>
          <w:color w:val="auto"/>
          <w:highlight w:val="none"/>
        </w:rPr>
        <w:t>表7.1-</w:t>
      </w:r>
      <w:r>
        <w:rPr>
          <w:rFonts w:hint="eastAsia"/>
          <w:color w:val="auto"/>
          <w:highlight w:val="none"/>
          <w:lang w:val="en-US" w:eastAsia="zh-CN"/>
        </w:rPr>
        <w:t>4</w:t>
      </w:r>
      <w:r>
        <w:rPr>
          <w:color w:val="auto"/>
          <w:highlight w:val="none"/>
        </w:rPr>
        <w:t xml:space="preserve">     </w:t>
      </w:r>
      <w:r>
        <w:rPr>
          <w:rFonts w:hint="eastAsia"/>
          <w:color w:val="auto"/>
          <w:highlight w:val="none"/>
          <w:lang w:eastAsia="zh-CN"/>
        </w:rPr>
        <w:t>主体已列</w:t>
      </w:r>
      <w:r>
        <w:rPr>
          <w:color w:val="auto"/>
          <w:highlight w:val="none"/>
        </w:rPr>
        <w:t>水土保持</w:t>
      </w:r>
      <w:r>
        <w:rPr>
          <w:rFonts w:hint="eastAsia"/>
          <w:color w:val="auto"/>
          <w:highlight w:val="none"/>
          <w:lang w:eastAsia="zh-CN"/>
        </w:rPr>
        <w:t>年度</w:t>
      </w:r>
      <w:r>
        <w:rPr>
          <w:color w:val="auto"/>
          <w:highlight w:val="none"/>
        </w:rPr>
        <w:t>投资估算总表      单位：万元</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16"/>
        <w:gridCol w:w="2437"/>
        <w:gridCol w:w="2250"/>
        <w:gridCol w:w="2192"/>
        <w:gridCol w:w="10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2" w:hRule="exact"/>
          <w:jc w:val="center"/>
        </w:trPr>
        <w:tc>
          <w:tcPr>
            <w:tcW w:w="616" w:type="pct"/>
            <w:shd w:val="clear" w:color="auto" w:fill="auto"/>
            <w:vAlign w:val="center"/>
          </w:tcPr>
          <w:p>
            <w:pPr>
              <w:pStyle w:val="84"/>
              <w:bidi w:val="0"/>
              <w:rPr>
                <w:color w:val="auto"/>
                <w:highlight w:val="none"/>
              </w:rPr>
            </w:pPr>
            <w:r>
              <w:rPr>
                <w:color w:val="auto"/>
                <w:highlight w:val="none"/>
              </w:rPr>
              <w:t>序号</w:t>
            </w:r>
          </w:p>
        </w:tc>
        <w:tc>
          <w:tcPr>
            <w:tcW w:w="1345" w:type="pct"/>
            <w:shd w:val="clear" w:color="auto" w:fill="auto"/>
            <w:vAlign w:val="center"/>
          </w:tcPr>
          <w:p>
            <w:pPr>
              <w:pStyle w:val="84"/>
              <w:bidi w:val="0"/>
              <w:rPr>
                <w:color w:val="auto"/>
                <w:highlight w:val="none"/>
              </w:rPr>
            </w:pPr>
            <w:r>
              <w:rPr>
                <w:color w:val="auto"/>
                <w:highlight w:val="none"/>
              </w:rPr>
              <w:t>工程或费用名称</w:t>
            </w:r>
          </w:p>
        </w:tc>
        <w:tc>
          <w:tcPr>
            <w:tcW w:w="1242" w:type="pct"/>
            <w:shd w:val="clear" w:color="auto" w:fill="auto"/>
            <w:vAlign w:val="center"/>
          </w:tcPr>
          <w:p>
            <w:pPr>
              <w:pStyle w:val="84"/>
              <w:bidi w:val="0"/>
              <w:rPr>
                <w:rFonts w:hint="eastAsia" w:eastAsia="仿宋_GB2312"/>
                <w:color w:val="auto"/>
                <w:highlight w:val="none"/>
                <w:lang w:eastAsia="zh-CN"/>
              </w:rPr>
            </w:pPr>
            <w:r>
              <w:rPr>
                <w:rFonts w:hint="eastAsia"/>
                <w:color w:val="auto"/>
                <w:highlight w:val="none"/>
                <w:lang w:val="en-US" w:eastAsia="zh-CN"/>
              </w:rPr>
              <w:t>2020年</w:t>
            </w:r>
            <w:r>
              <w:rPr>
                <w:color w:val="auto"/>
                <w:highlight w:val="none"/>
              </w:rPr>
              <w:t>主体已列</w:t>
            </w:r>
            <w:r>
              <w:rPr>
                <w:rFonts w:hint="eastAsia"/>
                <w:color w:val="auto"/>
                <w:highlight w:val="none"/>
                <w:lang w:eastAsia="zh-CN"/>
              </w:rPr>
              <w:t>投资</w:t>
            </w:r>
          </w:p>
        </w:tc>
        <w:tc>
          <w:tcPr>
            <w:tcW w:w="1210" w:type="pct"/>
            <w:shd w:val="clear" w:color="auto" w:fill="auto"/>
            <w:vAlign w:val="center"/>
          </w:tcPr>
          <w:p>
            <w:pPr>
              <w:pStyle w:val="84"/>
              <w:bidi w:val="0"/>
              <w:rPr>
                <w:rFonts w:hint="default" w:eastAsia="仿宋_GB2312"/>
                <w:color w:val="auto"/>
                <w:highlight w:val="none"/>
                <w:lang w:val="en-US" w:eastAsia="zh-CN"/>
              </w:rPr>
            </w:pPr>
            <w:r>
              <w:rPr>
                <w:rFonts w:hint="eastAsia"/>
                <w:color w:val="auto"/>
                <w:highlight w:val="none"/>
                <w:lang w:val="en-US" w:eastAsia="zh-CN"/>
              </w:rPr>
              <w:t>2021年主体列投资</w:t>
            </w:r>
          </w:p>
        </w:tc>
        <w:tc>
          <w:tcPr>
            <w:tcW w:w="585" w:type="pct"/>
            <w:shd w:val="clear" w:color="auto" w:fill="auto"/>
            <w:vAlign w:val="center"/>
          </w:tcPr>
          <w:p>
            <w:pPr>
              <w:pStyle w:val="84"/>
              <w:bidi w:val="0"/>
              <w:rPr>
                <w:color w:val="auto"/>
                <w:highlight w:val="none"/>
              </w:rPr>
            </w:pPr>
            <w:r>
              <w:rPr>
                <w:color w:val="auto"/>
                <w:highlight w:val="none"/>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61" w:type="pct"/>
            <w:gridSpan w:val="2"/>
            <w:shd w:val="clear" w:color="auto" w:fill="auto"/>
            <w:vAlign w:val="center"/>
          </w:tcPr>
          <w:p>
            <w:pPr>
              <w:pStyle w:val="84"/>
              <w:bidi w:val="0"/>
              <w:rPr>
                <w:color w:val="auto"/>
                <w:highlight w:val="none"/>
              </w:rPr>
            </w:pPr>
            <w:r>
              <w:rPr>
                <w:color w:val="auto"/>
                <w:highlight w:val="none"/>
              </w:rPr>
              <w:t>第一部分 工程措施</w:t>
            </w:r>
          </w:p>
        </w:tc>
        <w:tc>
          <w:tcPr>
            <w:tcW w:w="1242" w:type="pct"/>
            <w:shd w:val="clear" w:color="auto" w:fill="auto"/>
            <w:vAlign w:val="center"/>
          </w:tcPr>
          <w:p>
            <w:pPr>
              <w:pStyle w:val="84"/>
              <w:bidi w:val="0"/>
              <w:rPr>
                <w:color w:val="auto"/>
                <w:highlight w:val="none"/>
              </w:rPr>
            </w:pPr>
          </w:p>
        </w:tc>
        <w:tc>
          <w:tcPr>
            <w:tcW w:w="1210"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3.69</w:t>
            </w:r>
          </w:p>
        </w:tc>
        <w:tc>
          <w:tcPr>
            <w:tcW w:w="585" w:type="pct"/>
            <w:shd w:val="clear" w:color="auto" w:fill="auto"/>
            <w:vAlign w:val="center"/>
          </w:tcPr>
          <w:p>
            <w:pPr>
              <w:pStyle w:val="84"/>
              <w:bidi w:val="0"/>
              <w:ind w:firstLine="0" w:firstLineChars="0"/>
              <w:rPr>
                <w:color w:val="auto"/>
                <w:highlight w:val="none"/>
              </w:rPr>
            </w:pPr>
            <w:r>
              <w:rPr>
                <w:rFonts w:hint="eastAsia"/>
                <w:color w:val="auto"/>
                <w:highlight w:val="none"/>
                <w:lang w:val="en-US" w:eastAsia="zh-CN"/>
              </w:rPr>
              <w:t>3.69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一</w:t>
            </w:r>
          </w:p>
        </w:tc>
        <w:tc>
          <w:tcPr>
            <w:tcW w:w="1345" w:type="pct"/>
            <w:shd w:val="clear" w:color="auto" w:fill="auto"/>
            <w:vAlign w:val="center"/>
          </w:tcPr>
          <w:p>
            <w:pPr>
              <w:pStyle w:val="84"/>
              <w:bidi w:val="0"/>
              <w:rPr>
                <w:color w:val="auto"/>
                <w:highlight w:val="none"/>
              </w:rPr>
            </w:pPr>
            <w:r>
              <w:rPr>
                <w:color w:val="auto"/>
                <w:highlight w:val="none"/>
              </w:rPr>
              <w:t>建构筑物区</w:t>
            </w:r>
          </w:p>
        </w:tc>
        <w:tc>
          <w:tcPr>
            <w:tcW w:w="1242" w:type="pct"/>
            <w:shd w:val="clear" w:color="auto" w:fill="auto"/>
            <w:vAlign w:val="center"/>
          </w:tcPr>
          <w:p>
            <w:pPr>
              <w:pStyle w:val="84"/>
              <w:bidi w:val="0"/>
              <w:ind w:firstLine="206" w:firstLineChars="100"/>
              <w:jc w:val="both"/>
              <w:rPr>
                <w:rFonts w:hint="eastAsia"/>
                <w:color w:val="auto"/>
                <w:highlight w:val="none"/>
                <w:lang w:val="en-US" w:eastAsia="zh-CN"/>
              </w:rPr>
            </w:pPr>
          </w:p>
        </w:tc>
        <w:tc>
          <w:tcPr>
            <w:tcW w:w="1210" w:type="pct"/>
            <w:shd w:val="clear" w:color="auto" w:fill="auto"/>
            <w:vAlign w:val="center"/>
          </w:tcPr>
          <w:p>
            <w:pPr>
              <w:pStyle w:val="84"/>
              <w:bidi w:val="0"/>
              <w:rPr>
                <w:color w:val="auto"/>
                <w:highlight w:val="none"/>
              </w:rPr>
            </w:pPr>
          </w:p>
        </w:tc>
        <w:tc>
          <w:tcPr>
            <w:tcW w:w="585" w:type="pct"/>
            <w:shd w:val="clear" w:color="auto" w:fill="auto"/>
            <w:vAlign w:val="center"/>
          </w:tcPr>
          <w:p>
            <w:pPr>
              <w:pStyle w:val="84"/>
              <w:bidi w:val="0"/>
              <w:ind w:firstLine="0" w:firstLineChars="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二</w:t>
            </w:r>
          </w:p>
        </w:tc>
        <w:tc>
          <w:tcPr>
            <w:tcW w:w="1345" w:type="pct"/>
            <w:shd w:val="clear" w:color="auto" w:fill="auto"/>
            <w:vAlign w:val="center"/>
          </w:tcPr>
          <w:p>
            <w:pPr>
              <w:pStyle w:val="84"/>
              <w:bidi w:val="0"/>
              <w:rPr>
                <w:color w:val="auto"/>
                <w:highlight w:val="none"/>
              </w:rPr>
            </w:pPr>
            <w:r>
              <w:rPr>
                <w:color w:val="auto"/>
                <w:highlight w:val="none"/>
              </w:rPr>
              <w:t>绿化区</w:t>
            </w:r>
          </w:p>
        </w:tc>
        <w:tc>
          <w:tcPr>
            <w:tcW w:w="1242" w:type="pct"/>
            <w:shd w:val="clear" w:color="auto" w:fill="auto"/>
            <w:vAlign w:val="center"/>
          </w:tcPr>
          <w:p>
            <w:pPr>
              <w:pStyle w:val="84"/>
              <w:bidi w:val="0"/>
              <w:rPr>
                <w:color w:val="auto"/>
                <w:highlight w:val="none"/>
              </w:rPr>
            </w:pPr>
          </w:p>
        </w:tc>
        <w:tc>
          <w:tcPr>
            <w:tcW w:w="1210" w:type="pct"/>
            <w:shd w:val="clear" w:color="auto" w:fill="auto"/>
            <w:vAlign w:val="center"/>
          </w:tcPr>
          <w:p>
            <w:pPr>
              <w:pStyle w:val="84"/>
              <w:bidi w:val="0"/>
              <w:ind w:firstLine="0" w:firstLineChars="0"/>
              <w:rPr>
                <w:rFonts w:hint="default"/>
                <w:color w:val="auto"/>
                <w:highlight w:val="none"/>
                <w:lang w:val="en-US" w:eastAsia="zh-CN"/>
              </w:rPr>
            </w:pPr>
            <w:r>
              <w:rPr>
                <w:rFonts w:hint="default"/>
                <w:color w:val="auto"/>
                <w:highlight w:val="none"/>
                <w:lang w:val="en-US" w:eastAsia="zh-CN"/>
              </w:rPr>
              <w:t xml:space="preserve">1.46 </w:t>
            </w:r>
          </w:p>
        </w:tc>
        <w:tc>
          <w:tcPr>
            <w:tcW w:w="585" w:type="pct"/>
            <w:shd w:val="clear" w:color="auto" w:fill="auto"/>
            <w:vAlign w:val="center"/>
          </w:tcPr>
          <w:p>
            <w:pPr>
              <w:pStyle w:val="84"/>
              <w:bidi w:val="0"/>
              <w:ind w:firstLine="0" w:firstLineChars="0"/>
              <w:rPr>
                <w:color w:val="auto"/>
                <w:highlight w:val="none"/>
              </w:rPr>
            </w:pPr>
            <w:r>
              <w:rPr>
                <w:rFonts w:hint="default"/>
                <w:color w:val="auto"/>
                <w:highlight w:val="none"/>
                <w:lang w:val="en-US" w:eastAsia="zh-CN"/>
              </w:rPr>
              <w:t xml:space="preserve">1.46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三</w:t>
            </w:r>
          </w:p>
        </w:tc>
        <w:tc>
          <w:tcPr>
            <w:tcW w:w="1345" w:type="pct"/>
            <w:shd w:val="clear" w:color="auto" w:fill="auto"/>
            <w:vAlign w:val="center"/>
          </w:tcPr>
          <w:p>
            <w:pPr>
              <w:pStyle w:val="84"/>
              <w:bidi w:val="0"/>
              <w:rPr>
                <w:color w:val="auto"/>
                <w:highlight w:val="none"/>
              </w:rPr>
            </w:pPr>
            <w:r>
              <w:rPr>
                <w:color w:val="auto"/>
                <w:highlight w:val="none"/>
              </w:rPr>
              <w:t>道路及硬化区</w:t>
            </w:r>
          </w:p>
        </w:tc>
        <w:tc>
          <w:tcPr>
            <w:tcW w:w="1242" w:type="pct"/>
            <w:shd w:val="clear" w:color="auto" w:fill="auto"/>
            <w:vAlign w:val="center"/>
          </w:tcPr>
          <w:p>
            <w:pPr>
              <w:pStyle w:val="84"/>
              <w:bidi w:val="0"/>
              <w:rPr>
                <w:color w:val="auto"/>
                <w:highlight w:val="none"/>
              </w:rPr>
            </w:pPr>
          </w:p>
        </w:tc>
        <w:tc>
          <w:tcPr>
            <w:tcW w:w="1210" w:type="pct"/>
            <w:shd w:val="clear" w:color="auto" w:fill="auto"/>
            <w:vAlign w:val="center"/>
          </w:tcPr>
          <w:p>
            <w:pPr>
              <w:pStyle w:val="84"/>
              <w:bidi w:val="0"/>
              <w:ind w:firstLine="0" w:firstLineChars="0"/>
              <w:rPr>
                <w:rFonts w:hint="default"/>
                <w:color w:val="auto"/>
                <w:highlight w:val="none"/>
                <w:lang w:val="en-US" w:eastAsia="zh-CN"/>
              </w:rPr>
            </w:pPr>
            <w:r>
              <w:rPr>
                <w:rFonts w:hint="default"/>
                <w:color w:val="auto"/>
                <w:highlight w:val="none"/>
                <w:lang w:val="en-US" w:eastAsia="zh-CN"/>
              </w:rPr>
              <w:t xml:space="preserve">1.25 </w:t>
            </w:r>
          </w:p>
        </w:tc>
        <w:tc>
          <w:tcPr>
            <w:tcW w:w="585" w:type="pct"/>
            <w:shd w:val="clear" w:color="auto" w:fill="auto"/>
            <w:vAlign w:val="center"/>
          </w:tcPr>
          <w:p>
            <w:pPr>
              <w:pStyle w:val="84"/>
              <w:bidi w:val="0"/>
              <w:ind w:firstLine="0" w:firstLineChars="0"/>
              <w:rPr>
                <w:color w:val="auto"/>
                <w:highlight w:val="none"/>
              </w:rPr>
            </w:pPr>
            <w:r>
              <w:rPr>
                <w:rFonts w:hint="default"/>
                <w:color w:val="auto"/>
                <w:highlight w:val="none"/>
                <w:lang w:val="en-US" w:eastAsia="zh-CN"/>
              </w:rPr>
              <w:t xml:space="preserve">1.25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四</w:t>
            </w:r>
          </w:p>
        </w:tc>
        <w:tc>
          <w:tcPr>
            <w:tcW w:w="1345" w:type="pct"/>
            <w:shd w:val="clear" w:color="auto" w:fill="auto"/>
            <w:vAlign w:val="center"/>
          </w:tcPr>
          <w:p>
            <w:pPr>
              <w:pStyle w:val="84"/>
              <w:bidi w:val="0"/>
              <w:rPr>
                <w:color w:val="auto"/>
                <w:highlight w:val="none"/>
              </w:rPr>
            </w:pPr>
            <w:r>
              <w:rPr>
                <w:color w:val="auto"/>
                <w:highlight w:val="none"/>
              </w:rPr>
              <w:t>管线工程区</w:t>
            </w:r>
          </w:p>
        </w:tc>
        <w:tc>
          <w:tcPr>
            <w:tcW w:w="1242" w:type="pct"/>
            <w:shd w:val="clear" w:color="auto" w:fill="auto"/>
            <w:vAlign w:val="center"/>
          </w:tcPr>
          <w:p>
            <w:pPr>
              <w:pStyle w:val="84"/>
              <w:bidi w:val="0"/>
              <w:rPr>
                <w:color w:val="auto"/>
                <w:highlight w:val="none"/>
              </w:rPr>
            </w:pPr>
          </w:p>
        </w:tc>
        <w:tc>
          <w:tcPr>
            <w:tcW w:w="1210" w:type="pct"/>
            <w:shd w:val="clear" w:color="auto" w:fill="auto"/>
            <w:vAlign w:val="center"/>
          </w:tcPr>
          <w:p>
            <w:pPr>
              <w:pStyle w:val="84"/>
              <w:bidi w:val="0"/>
              <w:ind w:firstLine="0" w:firstLineChars="0"/>
              <w:rPr>
                <w:rFonts w:hint="default"/>
                <w:color w:val="auto"/>
                <w:highlight w:val="none"/>
                <w:lang w:val="en-US" w:eastAsia="zh-CN"/>
              </w:rPr>
            </w:pPr>
            <w:r>
              <w:rPr>
                <w:rFonts w:hint="default"/>
                <w:color w:val="auto"/>
                <w:highlight w:val="none"/>
                <w:lang w:val="en-US" w:eastAsia="zh-CN"/>
              </w:rPr>
              <w:t xml:space="preserve">0.61 </w:t>
            </w:r>
          </w:p>
        </w:tc>
        <w:tc>
          <w:tcPr>
            <w:tcW w:w="585" w:type="pct"/>
            <w:shd w:val="clear" w:color="auto" w:fill="auto"/>
            <w:vAlign w:val="center"/>
          </w:tcPr>
          <w:p>
            <w:pPr>
              <w:pStyle w:val="84"/>
              <w:bidi w:val="0"/>
              <w:ind w:firstLine="0" w:firstLineChars="0"/>
              <w:rPr>
                <w:color w:val="auto"/>
                <w:highlight w:val="none"/>
              </w:rPr>
            </w:pPr>
            <w:r>
              <w:rPr>
                <w:rFonts w:hint="default"/>
                <w:color w:val="auto"/>
                <w:highlight w:val="none"/>
                <w:lang w:val="en-US" w:eastAsia="zh-CN"/>
              </w:rPr>
              <w:t xml:space="preserve">0.61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五</w:t>
            </w:r>
          </w:p>
        </w:tc>
        <w:tc>
          <w:tcPr>
            <w:tcW w:w="1345" w:type="pct"/>
            <w:shd w:val="clear" w:color="auto" w:fill="auto"/>
            <w:vAlign w:val="center"/>
          </w:tcPr>
          <w:p>
            <w:pPr>
              <w:pStyle w:val="84"/>
              <w:bidi w:val="0"/>
              <w:rPr>
                <w:color w:val="auto"/>
                <w:highlight w:val="none"/>
              </w:rPr>
            </w:pPr>
            <w:r>
              <w:rPr>
                <w:color w:val="auto"/>
                <w:highlight w:val="none"/>
              </w:rPr>
              <w:t>施工生产区</w:t>
            </w:r>
          </w:p>
        </w:tc>
        <w:tc>
          <w:tcPr>
            <w:tcW w:w="1242" w:type="pct"/>
            <w:shd w:val="clear" w:color="auto" w:fill="auto"/>
            <w:vAlign w:val="center"/>
          </w:tcPr>
          <w:p>
            <w:pPr>
              <w:pStyle w:val="84"/>
              <w:bidi w:val="0"/>
              <w:rPr>
                <w:color w:val="auto"/>
                <w:highlight w:val="none"/>
              </w:rPr>
            </w:pPr>
          </w:p>
        </w:tc>
        <w:tc>
          <w:tcPr>
            <w:tcW w:w="1210" w:type="pct"/>
            <w:shd w:val="clear" w:color="auto" w:fill="auto"/>
            <w:vAlign w:val="center"/>
          </w:tcPr>
          <w:p>
            <w:pPr>
              <w:pStyle w:val="84"/>
              <w:bidi w:val="0"/>
              <w:ind w:firstLine="0" w:firstLineChars="0"/>
              <w:rPr>
                <w:rFonts w:hint="default"/>
                <w:color w:val="auto"/>
                <w:highlight w:val="none"/>
                <w:lang w:val="en-US" w:eastAsia="zh-CN"/>
              </w:rPr>
            </w:pPr>
            <w:r>
              <w:rPr>
                <w:rFonts w:hint="default"/>
                <w:color w:val="auto"/>
                <w:highlight w:val="none"/>
                <w:lang w:val="en-US" w:eastAsia="zh-CN"/>
              </w:rPr>
              <w:t xml:space="preserve">0.37 </w:t>
            </w:r>
          </w:p>
        </w:tc>
        <w:tc>
          <w:tcPr>
            <w:tcW w:w="585" w:type="pct"/>
            <w:shd w:val="clear" w:color="auto" w:fill="auto"/>
            <w:vAlign w:val="center"/>
          </w:tcPr>
          <w:p>
            <w:pPr>
              <w:pStyle w:val="84"/>
              <w:bidi w:val="0"/>
              <w:ind w:firstLine="0" w:firstLineChars="0"/>
              <w:rPr>
                <w:color w:val="auto"/>
                <w:highlight w:val="none"/>
              </w:rPr>
            </w:pPr>
            <w:r>
              <w:rPr>
                <w:rFonts w:hint="default"/>
                <w:color w:val="auto"/>
                <w:highlight w:val="none"/>
                <w:lang w:val="en-US" w:eastAsia="zh-CN"/>
              </w:rPr>
              <w:t xml:space="preserve">0.37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61" w:type="pct"/>
            <w:gridSpan w:val="2"/>
            <w:shd w:val="clear" w:color="auto" w:fill="auto"/>
            <w:vAlign w:val="center"/>
          </w:tcPr>
          <w:p>
            <w:pPr>
              <w:pStyle w:val="84"/>
              <w:bidi w:val="0"/>
              <w:rPr>
                <w:color w:val="auto"/>
                <w:highlight w:val="none"/>
              </w:rPr>
            </w:pPr>
            <w:r>
              <w:rPr>
                <w:color w:val="auto"/>
                <w:highlight w:val="none"/>
              </w:rPr>
              <w:t>第二部分 植物措施</w:t>
            </w:r>
          </w:p>
        </w:tc>
        <w:tc>
          <w:tcPr>
            <w:tcW w:w="1242" w:type="pct"/>
            <w:shd w:val="clear" w:color="auto" w:fill="auto"/>
            <w:vAlign w:val="center"/>
          </w:tcPr>
          <w:p>
            <w:pPr>
              <w:pStyle w:val="84"/>
              <w:bidi w:val="0"/>
              <w:rPr>
                <w:color w:val="auto"/>
                <w:highlight w:val="none"/>
              </w:rPr>
            </w:pPr>
          </w:p>
        </w:tc>
        <w:tc>
          <w:tcPr>
            <w:tcW w:w="1210" w:type="pct"/>
            <w:shd w:val="clear" w:color="auto" w:fill="auto"/>
            <w:vAlign w:val="center"/>
          </w:tcPr>
          <w:p>
            <w:pPr>
              <w:pStyle w:val="84"/>
              <w:bidi w:val="0"/>
              <w:ind w:firstLine="0" w:firstLineChars="0"/>
              <w:rPr>
                <w:rFonts w:hint="default"/>
                <w:color w:val="auto"/>
                <w:highlight w:val="none"/>
                <w:lang w:val="en-US" w:eastAsia="zh-CN"/>
              </w:rPr>
            </w:pPr>
            <w:r>
              <w:rPr>
                <w:rFonts w:hint="default"/>
                <w:color w:val="auto"/>
                <w:highlight w:val="none"/>
                <w:lang w:val="en-US" w:eastAsia="zh-CN"/>
              </w:rPr>
              <w:t xml:space="preserve">18.27 </w:t>
            </w:r>
          </w:p>
        </w:tc>
        <w:tc>
          <w:tcPr>
            <w:tcW w:w="585" w:type="pct"/>
            <w:shd w:val="clear" w:color="auto" w:fill="auto"/>
            <w:vAlign w:val="center"/>
          </w:tcPr>
          <w:p>
            <w:pPr>
              <w:pStyle w:val="84"/>
              <w:bidi w:val="0"/>
              <w:ind w:firstLine="0" w:firstLineChars="0"/>
              <w:rPr>
                <w:color w:val="auto"/>
                <w:highlight w:val="none"/>
              </w:rPr>
            </w:pPr>
            <w:r>
              <w:rPr>
                <w:rFonts w:hint="default"/>
                <w:color w:val="auto"/>
                <w:highlight w:val="none"/>
                <w:lang w:val="en-US" w:eastAsia="zh-CN"/>
              </w:rPr>
              <w:t xml:space="preserve">18.27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一</w:t>
            </w:r>
          </w:p>
        </w:tc>
        <w:tc>
          <w:tcPr>
            <w:tcW w:w="1345" w:type="pct"/>
            <w:shd w:val="clear" w:color="auto" w:fill="auto"/>
            <w:vAlign w:val="center"/>
          </w:tcPr>
          <w:p>
            <w:pPr>
              <w:pStyle w:val="84"/>
              <w:bidi w:val="0"/>
              <w:rPr>
                <w:color w:val="auto"/>
                <w:highlight w:val="none"/>
              </w:rPr>
            </w:pPr>
            <w:r>
              <w:rPr>
                <w:color w:val="auto"/>
                <w:highlight w:val="none"/>
              </w:rPr>
              <w:t>绿化区</w:t>
            </w:r>
          </w:p>
        </w:tc>
        <w:tc>
          <w:tcPr>
            <w:tcW w:w="1242" w:type="pct"/>
            <w:shd w:val="clear" w:color="auto" w:fill="auto"/>
            <w:vAlign w:val="center"/>
          </w:tcPr>
          <w:p>
            <w:pPr>
              <w:pStyle w:val="84"/>
              <w:bidi w:val="0"/>
              <w:rPr>
                <w:color w:val="auto"/>
                <w:highlight w:val="none"/>
              </w:rPr>
            </w:pPr>
          </w:p>
        </w:tc>
        <w:tc>
          <w:tcPr>
            <w:tcW w:w="1210" w:type="pct"/>
            <w:shd w:val="clear" w:color="auto" w:fill="auto"/>
            <w:vAlign w:val="center"/>
          </w:tcPr>
          <w:p>
            <w:pPr>
              <w:pStyle w:val="84"/>
              <w:bidi w:val="0"/>
              <w:ind w:firstLine="0" w:firstLineChars="0"/>
              <w:rPr>
                <w:rFonts w:hint="default"/>
                <w:color w:val="auto"/>
                <w:highlight w:val="none"/>
                <w:lang w:val="en-US" w:eastAsia="zh-CN"/>
              </w:rPr>
            </w:pPr>
            <w:r>
              <w:rPr>
                <w:rFonts w:hint="default"/>
                <w:color w:val="auto"/>
                <w:highlight w:val="none"/>
                <w:lang w:val="en-US" w:eastAsia="zh-CN"/>
              </w:rPr>
              <w:t xml:space="preserve">18.27 </w:t>
            </w:r>
          </w:p>
        </w:tc>
        <w:tc>
          <w:tcPr>
            <w:tcW w:w="585" w:type="pct"/>
            <w:shd w:val="clear" w:color="auto" w:fill="auto"/>
            <w:vAlign w:val="center"/>
          </w:tcPr>
          <w:p>
            <w:pPr>
              <w:pStyle w:val="84"/>
              <w:bidi w:val="0"/>
              <w:ind w:firstLine="0" w:firstLineChars="0"/>
              <w:rPr>
                <w:color w:val="auto"/>
                <w:highlight w:val="none"/>
              </w:rPr>
            </w:pPr>
            <w:r>
              <w:rPr>
                <w:rFonts w:hint="default"/>
                <w:color w:val="auto"/>
                <w:highlight w:val="none"/>
                <w:lang w:val="en-US" w:eastAsia="zh-CN"/>
              </w:rPr>
              <w:t xml:space="preserve">18.27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61" w:type="pct"/>
            <w:gridSpan w:val="2"/>
            <w:shd w:val="clear" w:color="auto" w:fill="auto"/>
            <w:vAlign w:val="center"/>
          </w:tcPr>
          <w:p>
            <w:pPr>
              <w:pStyle w:val="84"/>
              <w:bidi w:val="0"/>
              <w:rPr>
                <w:color w:val="auto"/>
                <w:highlight w:val="none"/>
              </w:rPr>
            </w:pPr>
            <w:r>
              <w:rPr>
                <w:color w:val="auto"/>
                <w:highlight w:val="none"/>
              </w:rPr>
              <w:t>第三部分 临时工程</w:t>
            </w:r>
          </w:p>
        </w:tc>
        <w:tc>
          <w:tcPr>
            <w:tcW w:w="1242" w:type="pct"/>
            <w:shd w:val="clear" w:color="auto" w:fill="auto"/>
            <w:vAlign w:val="center"/>
          </w:tcPr>
          <w:p>
            <w:pPr>
              <w:pStyle w:val="84"/>
              <w:bidi w:val="0"/>
              <w:rPr>
                <w:color w:val="auto"/>
                <w:highlight w:val="none"/>
              </w:rPr>
            </w:pPr>
            <w:r>
              <w:rPr>
                <w:rFonts w:hint="default"/>
                <w:color w:val="auto"/>
                <w:highlight w:val="none"/>
                <w:lang w:val="en-US" w:eastAsia="zh-CN"/>
              </w:rPr>
              <w:t xml:space="preserve">3.67 </w:t>
            </w:r>
          </w:p>
        </w:tc>
        <w:tc>
          <w:tcPr>
            <w:tcW w:w="1210" w:type="pct"/>
            <w:shd w:val="clear" w:color="auto" w:fill="auto"/>
            <w:vAlign w:val="center"/>
          </w:tcPr>
          <w:p>
            <w:pPr>
              <w:pStyle w:val="84"/>
              <w:bidi w:val="0"/>
              <w:rPr>
                <w:rFonts w:hint="default"/>
                <w:color w:val="auto"/>
                <w:highlight w:val="none"/>
                <w:lang w:val="en-US" w:eastAsia="zh-CN"/>
              </w:rPr>
            </w:pPr>
          </w:p>
        </w:tc>
        <w:tc>
          <w:tcPr>
            <w:tcW w:w="585" w:type="pct"/>
            <w:shd w:val="clear" w:color="auto" w:fill="auto"/>
            <w:vAlign w:val="center"/>
          </w:tcPr>
          <w:p>
            <w:pPr>
              <w:pStyle w:val="84"/>
              <w:bidi w:val="0"/>
              <w:rPr>
                <w:rFonts w:hint="default"/>
                <w:color w:val="auto"/>
                <w:highlight w:val="none"/>
                <w:lang w:val="en-US"/>
              </w:rPr>
            </w:pPr>
            <w:r>
              <w:rPr>
                <w:rFonts w:hint="eastAsia"/>
                <w:color w:val="auto"/>
                <w:highlight w:val="none"/>
                <w:lang w:val="en-US" w:eastAsia="zh-CN"/>
              </w:rPr>
              <w:t>3.67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一</w:t>
            </w:r>
          </w:p>
        </w:tc>
        <w:tc>
          <w:tcPr>
            <w:tcW w:w="1345" w:type="pct"/>
            <w:shd w:val="clear" w:color="auto" w:fill="auto"/>
            <w:vAlign w:val="center"/>
          </w:tcPr>
          <w:p>
            <w:pPr>
              <w:pStyle w:val="84"/>
              <w:bidi w:val="0"/>
              <w:rPr>
                <w:color w:val="auto"/>
                <w:highlight w:val="none"/>
              </w:rPr>
            </w:pPr>
            <w:r>
              <w:rPr>
                <w:color w:val="auto"/>
                <w:highlight w:val="none"/>
              </w:rPr>
              <w:t>建构筑物区</w:t>
            </w:r>
          </w:p>
        </w:tc>
        <w:tc>
          <w:tcPr>
            <w:tcW w:w="1242" w:type="pct"/>
            <w:shd w:val="clear" w:color="auto" w:fill="auto"/>
            <w:vAlign w:val="center"/>
          </w:tcPr>
          <w:p>
            <w:pPr>
              <w:pStyle w:val="84"/>
              <w:bidi w:val="0"/>
              <w:rPr>
                <w:color w:val="auto"/>
                <w:highlight w:val="none"/>
              </w:rPr>
            </w:pPr>
            <w:r>
              <w:rPr>
                <w:rFonts w:hint="default"/>
                <w:color w:val="auto"/>
                <w:highlight w:val="none"/>
                <w:lang w:val="en-US" w:eastAsia="zh-CN"/>
              </w:rPr>
              <w:t xml:space="preserve">3.67 </w:t>
            </w:r>
          </w:p>
        </w:tc>
        <w:tc>
          <w:tcPr>
            <w:tcW w:w="1210" w:type="pct"/>
            <w:shd w:val="clear" w:color="auto" w:fill="auto"/>
            <w:vAlign w:val="center"/>
          </w:tcPr>
          <w:p>
            <w:pPr>
              <w:pStyle w:val="84"/>
              <w:bidi w:val="0"/>
              <w:rPr>
                <w:rFonts w:hint="default"/>
                <w:color w:val="auto"/>
                <w:highlight w:val="none"/>
                <w:lang w:val="en-US" w:eastAsia="zh-CN"/>
              </w:rPr>
            </w:pPr>
          </w:p>
        </w:tc>
        <w:tc>
          <w:tcPr>
            <w:tcW w:w="585" w:type="pct"/>
            <w:shd w:val="clear" w:color="auto" w:fill="auto"/>
            <w:vAlign w:val="center"/>
          </w:tcPr>
          <w:p>
            <w:pPr>
              <w:pStyle w:val="84"/>
              <w:bidi w:val="0"/>
              <w:rPr>
                <w:color w:val="auto"/>
                <w:highlight w:val="none"/>
              </w:rPr>
            </w:pPr>
            <w:r>
              <w:rPr>
                <w:rFonts w:hint="eastAsia"/>
                <w:color w:val="auto"/>
                <w:highlight w:val="none"/>
                <w:lang w:val="en-US" w:eastAsia="zh-CN"/>
              </w:rPr>
              <w:t>3.67</w:t>
            </w:r>
            <w:r>
              <w:rPr>
                <w:rFonts w:hint="default"/>
                <w:color w:val="auto"/>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二</w:t>
            </w:r>
          </w:p>
        </w:tc>
        <w:tc>
          <w:tcPr>
            <w:tcW w:w="1345" w:type="pct"/>
            <w:shd w:val="clear" w:color="auto" w:fill="auto"/>
            <w:vAlign w:val="center"/>
          </w:tcPr>
          <w:p>
            <w:pPr>
              <w:pStyle w:val="84"/>
              <w:bidi w:val="0"/>
              <w:rPr>
                <w:color w:val="auto"/>
                <w:highlight w:val="none"/>
              </w:rPr>
            </w:pPr>
            <w:r>
              <w:rPr>
                <w:color w:val="auto"/>
                <w:highlight w:val="none"/>
              </w:rPr>
              <w:t>道路及硬化区</w:t>
            </w:r>
          </w:p>
        </w:tc>
        <w:tc>
          <w:tcPr>
            <w:tcW w:w="1242" w:type="pct"/>
            <w:shd w:val="clear" w:color="auto" w:fill="auto"/>
            <w:vAlign w:val="center"/>
          </w:tcPr>
          <w:p>
            <w:pPr>
              <w:pStyle w:val="84"/>
              <w:bidi w:val="0"/>
              <w:rPr>
                <w:color w:val="auto"/>
                <w:highlight w:val="none"/>
              </w:rPr>
            </w:pPr>
            <w:r>
              <w:rPr>
                <w:color w:val="auto"/>
                <w:highlight w:val="none"/>
              </w:rPr>
              <w:t>　</w:t>
            </w:r>
          </w:p>
        </w:tc>
        <w:tc>
          <w:tcPr>
            <w:tcW w:w="1210" w:type="pct"/>
            <w:shd w:val="clear" w:color="auto" w:fill="auto"/>
            <w:vAlign w:val="center"/>
          </w:tcPr>
          <w:p>
            <w:pPr>
              <w:pStyle w:val="84"/>
              <w:bidi w:val="0"/>
              <w:rPr>
                <w:rFonts w:hint="default"/>
                <w:color w:val="auto"/>
                <w:highlight w:val="none"/>
                <w:lang w:val="en-US" w:eastAsia="zh-CN"/>
              </w:rPr>
            </w:pPr>
          </w:p>
        </w:tc>
        <w:tc>
          <w:tcPr>
            <w:tcW w:w="585" w:type="pct"/>
            <w:shd w:val="clear" w:color="auto" w:fill="auto"/>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三</w:t>
            </w:r>
          </w:p>
        </w:tc>
        <w:tc>
          <w:tcPr>
            <w:tcW w:w="1345" w:type="pct"/>
            <w:shd w:val="clear" w:color="auto" w:fill="auto"/>
            <w:vAlign w:val="center"/>
          </w:tcPr>
          <w:p>
            <w:pPr>
              <w:pStyle w:val="84"/>
              <w:bidi w:val="0"/>
              <w:rPr>
                <w:color w:val="auto"/>
                <w:highlight w:val="none"/>
              </w:rPr>
            </w:pPr>
            <w:r>
              <w:rPr>
                <w:color w:val="auto"/>
                <w:highlight w:val="none"/>
              </w:rPr>
              <w:t>管线工程区</w:t>
            </w:r>
          </w:p>
        </w:tc>
        <w:tc>
          <w:tcPr>
            <w:tcW w:w="1242" w:type="pct"/>
            <w:shd w:val="clear" w:color="auto" w:fill="auto"/>
            <w:vAlign w:val="center"/>
          </w:tcPr>
          <w:p>
            <w:pPr>
              <w:pStyle w:val="84"/>
              <w:bidi w:val="0"/>
              <w:rPr>
                <w:color w:val="auto"/>
                <w:highlight w:val="none"/>
              </w:rPr>
            </w:pPr>
            <w:r>
              <w:rPr>
                <w:color w:val="auto"/>
                <w:highlight w:val="none"/>
              </w:rPr>
              <w:t>　</w:t>
            </w:r>
          </w:p>
        </w:tc>
        <w:tc>
          <w:tcPr>
            <w:tcW w:w="1210" w:type="pct"/>
            <w:shd w:val="clear" w:color="auto" w:fill="auto"/>
            <w:vAlign w:val="center"/>
          </w:tcPr>
          <w:p>
            <w:pPr>
              <w:pStyle w:val="84"/>
              <w:bidi w:val="0"/>
              <w:rPr>
                <w:rFonts w:hint="default"/>
                <w:color w:val="auto"/>
                <w:highlight w:val="none"/>
                <w:lang w:val="en-US" w:eastAsia="zh-CN"/>
              </w:rPr>
            </w:pPr>
          </w:p>
        </w:tc>
        <w:tc>
          <w:tcPr>
            <w:tcW w:w="585" w:type="pct"/>
            <w:shd w:val="clear" w:color="auto" w:fill="auto"/>
            <w:vAlign w:val="center"/>
          </w:tcPr>
          <w:p>
            <w:pPr>
              <w:pStyle w:val="84"/>
              <w:bidi w:val="0"/>
              <w:rPr>
                <w:color w:val="auto"/>
                <w:highlight w:val="none"/>
              </w:rPr>
            </w:pPr>
            <w:r>
              <w:rPr>
                <w:rFonts w:hint="default"/>
                <w:color w:val="auto"/>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四</w:t>
            </w:r>
          </w:p>
        </w:tc>
        <w:tc>
          <w:tcPr>
            <w:tcW w:w="1345" w:type="pct"/>
            <w:shd w:val="clear" w:color="auto" w:fill="auto"/>
            <w:vAlign w:val="center"/>
          </w:tcPr>
          <w:p>
            <w:pPr>
              <w:pStyle w:val="84"/>
              <w:bidi w:val="0"/>
              <w:rPr>
                <w:color w:val="auto"/>
                <w:highlight w:val="none"/>
              </w:rPr>
            </w:pPr>
            <w:r>
              <w:rPr>
                <w:color w:val="auto"/>
                <w:highlight w:val="none"/>
              </w:rPr>
              <w:t>施工生产区</w:t>
            </w:r>
          </w:p>
        </w:tc>
        <w:tc>
          <w:tcPr>
            <w:tcW w:w="1242" w:type="pct"/>
            <w:shd w:val="clear" w:color="auto" w:fill="auto"/>
            <w:vAlign w:val="center"/>
          </w:tcPr>
          <w:p>
            <w:pPr>
              <w:pStyle w:val="84"/>
              <w:bidi w:val="0"/>
              <w:rPr>
                <w:color w:val="auto"/>
                <w:highlight w:val="none"/>
              </w:rPr>
            </w:pPr>
            <w:r>
              <w:rPr>
                <w:color w:val="auto"/>
                <w:highlight w:val="none"/>
              </w:rPr>
              <w:t>　</w:t>
            </w:r>
          </w:p>
        </w:tc>
        <w:tc>
          <w:tcPr>
            <w:tcW w:w="1210" w:type="pct"/>
            <w:shd w:val="clear" w:color="auto" w:fill="auto"/>
            <w:vAlign w:val="center"/>
          </w:tcPr>
          <w:p>
            <w:pPr>
              <w:pStyle w:val="84"/>
              <w:bidi w:val="0"/>
              <w:rPr>
                <w:rFonts w:hint="default"/>
                <w:color w:val="auto"/>
                <w:highlight w:val="none"/>
                <w:lang w:val="en-US" w:eastAsia="zh-CN"/>
              </w:rPr>
            </w:pPr>
          </w:p>
        </w:tc>
        <w:tc>
          <w:tcPr>
            <w:tcW w:w="585" w:type="pct"/>
            <w:shd w:val="clear" w:color="auto" w:fill="auto"/>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五</w:t>
            </w:r>
          </w:p>
        </w:tc>
        <w:tc>
          <w:tcPr>
            <w:tcW w:w="1345" w:type="pct"/>
            <w:shd w:val="clear" w:color="auto" w:fill="auto"/>
            <w:vAlign w:val="center"/>
          </w:tcPr>
          <w:p>
            <w:pPr>
              <w:pStyle w:val="84"/>
              <w:bidi w:val="0"/>
              <w:rPr>
                <w:color w:val="auto"/>
                <w:highlight w:val="none"/>
              </w:rPr>
            </w:pPr>
            <w:r>
              <w:rPr>
                <w:color w:val="auto"/>
                <w:highlight w:val="none"/>
              </w:rPr>
              <w:t>其他临时工程</w:t>
            </w:r>
          </w:p>
        </w:tc>
        <w:tc>
          <w:tcPr>
            <w:tcW w:w="1242" w:type="pct"/>
            <w:shd w:val="clear" w:color="auto" w:fill="auto"/>
            <w:vAlign w:val="center"/>
          </w:tcPr>
          <w:p>
            <w:pPr>
              <w:pStyle w:val="84"/>
              <w:bidi w:val="0"/>
              <w:rPr>
                <w:color w:val="auto"/>
                <w:highlight w:val="none"/>
              </w:rPr>
            </w:pPr>
            <w:r>
              <w:rPr>
                <w:color w:val="auto"/>
                <w:highlight w:val="none"/>
              </w:rPr>
              <w:t>　</w:t>
            </w:r>
          </w:p>
        </w:tc>
        <w:tc>
          <w:tcPr>
            <w:tcW w:w="1210" w:type="pct"/>
            <w:shd w:val="clear" w:color="auto" w:fill="auto"/>
            <w:vAlign w:val="center"/>
          </w:tcPr>
          <w:p>
            <w:pPr>
              <w:pStyle w:val="84"/>
              <w:bidi w:val="0"/>
              <w:rPr>
                <w:rFonts w:hint="default"/>
                <w:color w:val="auto"/>
                <w:highlight w:val="none"/>
                <w:lang w:val="en-US" w:eastAsia="zh-CN"/>
              </w:rPr>
            </w:pPr>
          </w:p>
        </w:tc>
        <w:tc>
          <w:tcPr>
            <w:tcW w:w="585" w:type="pct"/>
            <w:shd w:val="clear" w:color="auto" w:fill="auto"/>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61" w:type="pct"/>
            <w:gridSpan w:val="2"/>
            <w:shd w:val="clear" w:color="auto" w:fill="auto"/>
            <w:vAlign w:val="center"/>
          </w:tcPr>
          <w:p>
            <w:pPr>
              <w:pStyle w:val="84"/>
              <w:bidi w:val="0"/>
              <w:rPr>
                <w:color w:val="auto"/>
                <w:highlight w:val="none"/>
              </w:rPr>
            </w:pPr>
            <w:r>
              <w:rPr>
                <w:color w:val="auto"/>
                <w:highlight w:val="none"/>
              </w:rPr>
              <w:t>一至三部分合计</w:t>
            </w:r>
          </w:p>
        </w:tc>
        <w:tc>
          <w:tcPr>
            <w:tcW w:w="1242"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3.67</w:t>
            </w:r>
          </w:p>
        </w:tc>
        <w:tc>
          <w:tcPr>
            <w:tcW w:w="1210"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21.96</w:t>
            </w:r>
          </w:p>
        </w:tc>
        <w:tc>
          <w:tcPr>
            <w:tcW w:w="585"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25.63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61" w:type="pct"/>
            <w:gridSpan w:val="2"/>
            <w:shd w:val="clear" w:color="auto" w:fill="auto"/>
            <w:vAlign w:val="center"/>
          </w:tcPr>
          <w:p>
            <w:pPr>
              <w:pStyle w:val="84"/>
              <w:bidi w:val="0"/>
              <w:rPr>
                <w:color w:val="auto"/>
                <w:highlight w:val="none"/>
              </w:rPr>
            </w:pPr>
            <w:r>
              <w:rPr>
                <w:color w:val="auto"/>
                <w:highlight w:val="none"/>
              </w:rPr>
              <w:t>第四部分 独立费用</w:t>
            </w:r>
          </w:p>
        </w:tc>
        <w:tc>
          <w:tcPr>
            <w:tcW w:w="1242" w:type="pct"/>
            <w:shd w:val="clear" w:color="auto" w:fill="auto"/>
            <w:vAlign w:val="center"/>
          </w:tcPr>
          <w:p>
            <w:pPr>
              <w:pStyle w:val="84"/>
              <w:bidi w:val="0"/>
              <w:rPr>
                <w:color w:val="auto"/>
                <w:highlight w:val="none"/>
              </w:rPr>
            </w:pPr>
            <w:r>
              <w:rPr>
                <w:color w:val="auto"/>
                <w:highlight w:val="none"/>
              </w:rPr>
              <w:t>　</w:t>
            </w:r>
          </w:p>
        </w:tc>
        <w:tc>
          <w:tcPr>
            <w:tcW w:w="1210" w:type="pct"/>
            <w:shd w:val="clear" w:color="auto" w:fill="auto"/>
            <w:vAlign w:val="center"/>
          </w:tcPr>
          <w:p>
            <w:pPr>
              <w:pStyle w:val="84"/>
              <w:bidi w:val="0"/>
              <w:ind w:firstLine="0" w:firstLineChars="0"/>
              <w:rPr>
                <w:rFonts w:hint="default"/>
                <w:color w:val="auto"/>
                <w:highlight w:val="none"/>
                <w:lang w:val="en-US" w:eastAsia="zh-CN"/>
              </w:rPr>
            </w:pPr>
          </w:p>
        </w:tc>
        <w:tc>
          <w:tcPr>
            <w:tcW w:w="585" w:type="pct"/>
            <w:shd w:val="clear" w:color="auto" w:fill="auto"/>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一</w:t>
            </w:r>
          </w:p>
        </w:tc>
        <w:tc>
          <w:tcPr>
            <w:tcW w:w="1345" w:type="pct"/>
            <w:shd w:val="clear" w:color="auto" w:fill="auto"/>
            <w:vAlign w:val="center"/>
          </w:tcPr>
          <w:p>
            <w:pPr>
              <w:pStyle w:val="84"/>
              <w:bidi w:val="0"/>
              <w:rPr>
                <w:color w:val="auto"/>
                <w:highlight w:val="none"/>
              </w:rPr>
            </w:pPr>
            <w:r>
              <w:rPr>
                <w:color w:val="auto"/>
                <w:highlight w:val="none"/>
              </w:rPr>
              <w:t>建设管理费</w:t>
            </w:r>
          </w:p>
        </w:tc>
        <w:tc>
          <w:tcPr>
            <w:tcW w:w="1242" w:type="pct"/>
            <w:shd w:val="clear" w:color="auto" w:fill="auto"/>
            <w:vAlign w:val="center"/>
          </w:tcPr>
          <w:p>
            <w:pPr>
              <w:pStyle w:val="84"/>
              <w:bidi w:val="0"/>
              <w:rPr>
                <w:color w:val="auto"/>
                <w:highlight w:val="none"/>
              </w:rPr>
            </w:pPr>
            <w:r>
              <w:rPr>
                <w:color w:val="auto"/>
                <w:highlight w:val="none"/>
              </w:rPr>
              <w:t>　</w:t>
            </w:r>
          </w:p>
        </w:tc>
        <w:tc>
          <w:tcPr>
            <w:tcW w:w="1210" w:type="pct"/>
            <w:shd w:val="clear" w:color="auto" w:fill="auto"/>
            <w:vAlign w:val="center"/>
          </w:tcPr>
          <w:p>
            <w:pPr>
              <w:pStyle w:val="84"/>
              <w:bidi w:val="0"/>
              <w:ind w:firstLine="0" w:firstLineChars="0"/>
              <w:rPr>
                <w:rFonts w:hint="default"/>
                <w:color w:val="auto"/>
                <w:highlight w:val="none"/>
                <w:lang w:val="en-US" w:eastAsia="zh-CN"/>
              </w:rPr>
            </w:pPr>
          </w:p>
        </w:tc>
        <w:tc>
          <w:tcPr>
            <w:tcW w:w="585" w:type="pct"/>
            <w:shd w:val="clear" w:color="auto" w:fill="auto"/>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二</w:t>
            </w:r>
          </w:p>
        </w:tc>
        <w:tc>
          <w:tcPr>
            <w:tcW w:w="1345" w:type="pct"/>
            <w:shd w:val="clear" w:color="auto" w:fill="auto"/>
            <w:vAlign w:val="center"/>
          </w:tcPr>
          <w:p>
            <w:pPr>
              <w:pStyle w:val="84"/>
              <w:bidi w:val="0"/>
              <w:rPr>
                <w:color w:val="auto"/>
                <w:highlight w:val="none"/>
              </w:rPr>
            </w:pPr>
            <w:r>
              <w:rPr>
                <w:color w:val="auto"/>
                <w:highlight w:val="none"/>
              </w:rPr>
              <w:t>水土保持监理费</w:t>
            </w:r>
          </w:p>
        </w:tc>
        <w:tc>
          <w:tcPr>
            <w:tcW w:w="1242" w:type="pct"/>
            <w:shd w:val="clear" w:color="auto" w:fill="auto"/>
            <w:vAlign w:val="center"/>
          </w:tcPr>
          <w:p>
            <w:pPr>
              <w:pStyle w:val="84"/>
              <w:bidi w:val="0"/>
              <w:rPr>
                <w:color w:val="auto"/>
                <w:highlight w:val="none"/>
              </w:rPr>
            </w:pPr>
            <w:r>
              <w:rPr>
                <w:color w:val="auto"/>
                <w:highlight w:val="none"/>
              </w:rPr>
              <w:t>　</w:t>
            </w:r>
          </w:p>
        </w:tc>
        <w:tc>
          <w:tcPr>
            <w:tcW w:w="1210" w:type="pct"/>
            <w:shd w:val="clear" w:color="auto" w:fill="auto"/>
            <w:vAlign w:val="center"/>
          </w:tcPr>
          <w:p>
            <w:pPr>
              <w:pStyle w:val="84"/>
              <w:bidi w:val="0"/>
              <w:ind w:firstLine="0" w:firstLineChars="0"/>
              <w:rPr>
                <w:rFonts w:hint="default"/>
                <w:color w:val="auto"/>
                <w:highlight w:val="none"/>
                <w:lang w:val="en-US" w:eastAsia="zh-CN"/>
              </w:rPr>
            </w:pPr>
          </w:p>
        </w:tc>
        <w:tc>
          <w:tcPr>
            <w:tcW w:w="585" w:type="pct"/>
            <w:shd w:val="clear" w:color="auto" w:fill="auto"/>
            <w:vAlign w:val="center"/>
          </w:tcPr>
          <w:p>
            <w:pPr>
              <w:pStyle w:val="84"/>
              <w:bidi w:val="0"/>
              <w:rPr>
                <w:color w:val="auto"/>
                <w:highlight w:val="none"/>
              </w:rPr>
            </w:pPr>
            <w:r>
              <w:rPr>
                <w:rFonts w:hint="default"/>
                <w:color w:val="auto"/>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三</w:t>
            </w:r>
          </w:p>
        </w:tc>
        <w:tc>
          <w:tcPr>
            <w:tcW w:w="1345" w:type="pct"/>
            <w:shd w:val="clear" w:color="auto" w:fill="auto"/>
            <w:vAlign w:val="center"/>
          </w:tcPr>
          <w:p>
            <w:pPr>
              <w:pStyle w:val="84"/>
              <w:bidi w:val="0"/>
              <w:rPr>
                <w:color w:val="auto"/>
                <w:highlight w:val="none"/>
              </w:rPr>
            </w:pPr>
            <w:r>
              <w:rPr>
                <w:color w:val="auto"/>
                <w:highlight w:val="none"/>
              </w:rPr>
              <w:t>科研勘测设计费</w:t>
            </w:r>
          </w:p>
        </w:tc>
        <w:tc>
          <w:tcPr>
            <w:tcW w:w="1242" w:type="pct"/>
            <w:shd w:val="clear" w:color="auto" w:fill="auto"/>
            <w:vAlign w:val="center"/>
          </w:tcPr>
          <w:p>
            <w:pPr>
              <w:pStyle w:val="84"/>
              <w:bidi w:val="0"/>
              <w:rPr>
                <w:color w:val="auto"/>
                <w:highlight w:val="none"/>
              </w:rPr>
            </w:pPr>
            <w:r>
              <w:rPr>
                <w:color w:val="auto"/>
                <w:highlight w:val="none"/>
              </w:rPr>
              <w:t>　</w:t>
            </w:r>
          </w:p>
        </w:tc>
        <w:tc>
          <w:tcPr>
            <w:tcW w:w="1210" w:type="pct"/>
            <w:shd w:val="clear" w:color="auto" w:fill="auto"/>
            <w:vAlign w:val="center"/>
          </w:tcPr>
          <w:p>
            <w:pPr>
              <w:pStyle w:val="84"/>
              <w:bidi w:val="0"/>
              <w:ind w:firstLine="0" w:firstLineChars="0"/>
              <w:rPr>
                <w:rFonts w:hint="default"/>
                <w:color w:val="auto"/>
                <w:highlight w:val="none"/>
                <w:lang w:val="en-US" w:eastAsia="zh-CN"/>
              </w:rPr>
            </w:pPr>
          </w:p>
        </w:tc>
        <w:tc>
          <w:tcPr>
            <w:tcW w:w="585" w:type="pct"/>
            <w:shd w:val="clear" w:color="auto" w:fill="auto"/>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四</w:t>
            </w:r>
          </w:p>
        </w:tc>
        <w:tc>
          <w:tcPr>
            <w:tcW w:w="1345" w:type="pct"/>
            <w:shd w:val="clear" w:color="auto" w:fill="auto"/>
            <w:vAlign w:val="center"/>
          </w:tcPr>
          <w:p>
            <w:pPr>
              <w:pStyle w:val="84"/>
              <w:bidi w:val="0"/>
              <w:rPr>
                <w:color w:val="auto"/>
                <w:highlight w:val="none"/>
              </w:rPr>
            </w:pPr>
            <w:r>
              <w:rPr>
                <w:color w:val="auto"/>
                <w:highlight w:val="none"/>
              </w:rPr>
              <w:t>水土保持监测费</w:t>
            </w:r>
          </w:p>
        </w:tc>
        <w:tc>
          <w:tcPr>
            <w:tcW w:w="1242" w:type="pct"/>
            <w:shd w:val="clear" w:color="auto" w:fill="auto"/>
            <w:vAlign w:val="center"/>
          </w:tcPr>
          <w:p>
            <w:pPr>
              <w:pStyle w:val="84"/>
              <w:bidi w:val="0"/>
              <w:rPr>
                <w:color w:val="auto"/>
                <w:highlight w:val="none"/>
              </w:rPr>
            </w:pPr>
            <w:r>
              <w:rPr>
                <w:color w:val="auto"/>
                <w:highlight w:val="none"/>
              </w:rPr>
              <w:t>　</w:t>
            </w:r>
          </w:p>
        </w:tc>
        <w:tc>
          <w:tcPr>
            <w:tcW w:w="1210" w:type="pct"/>
            <w:shd w:val="clear" w:color="auto" w:fill="auto"/>
            <w:vAlign w:val="center"/>
          </w:tcPr>
          <w:p>
            <w:pPr>
              <w:pStyle w:val="84"/>
              <w:bidi w:val="0"/>
              <w:ind w:firstLine="0" w:firstLineChars="0"/>
              <w:rPr>
                <w:rFonts w:hint="default"/>
                <w:color w:val="auto"/>
                <w:highlight w:val="none"/>
                <w:lang w:val="en-US" w:eastAsia="zh-CN"/>
              </w:rPr>
            </w:pPr>
          </w:p>
        </w:tc>
        <w:tc>
          <w:tcPr>
            <w:tcW w:w="585" w:type="pct"/>
            <w:shd w:val="clear" w:color="auto" w:fill="auto"/>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16" w:type="pct"/>
            <w:shd w:val="clear" w:color="auto" w:fill="auto"/>
            <w:vAlign w:val="center"/>
          </w:tcPr>
          <w:p>
            <w:pPr>
              <w:pStyle w:val="84"/>
              <w:bidi w:val="0"/>
              <w:rPr>
                <w:color w:val="auto"/>
                <w:highlight w:val="none"/>
              </w:rPr>
            </w:pPr>
            <w:r>
              <w:rPr>
                <w:color w:val="auto"/>
                <w:highlight w:val="none"/>
              </w:rPr>
              <w:t>五</w:t>
            </w:r>
          </w:p>
        </w:tc>
        <w:tc>
          <w:tcPr>
            <w:tcW w:w="1345" w:type="pct"/>
            <w:shd w:val="clear" w:color="auto" w:fill="auto"/>
            <w:vAlign w:val="center"/>
          </w:tcPr>
          <w:p>
            <w:pPr>
              <w:pStyle w:val="84"/>
              <w:bidi w:val="0"/>
              <w:rPr>
                <w:color w:val="auto"/>
                <w:highlight w:val="none"/>
              </w:rPr>
            </w:pPr>
            <w:r>
              <w:rPr>
                <w:color w:val="auto"/>
                <w:highlight w:val="none"/>
              </w:rPr>
              <w:t>水土保持验收费</w:t>
            </w:r>
          </w:p>
        </w:tc>
        <w:tc>
          <w:tcPr>
            <w:tcW w:w="1242" w:type="pct"/>
            <w:shd w:val="clear" w:color="auto" w:fill="auto"/>
            <w:vAlign w:val="center"/>
          </w:tcPr>
          <w:p>
            <w:pPr>
              <w:pStyle w:val="84"/>
              <w:bidi w:val="0"/>
              <w:rPr>
                <w:color w:val="auto"/>
                <w:highlight w:val="none"/>
              </w:rPr>
            </w:pPr>
            <w:r>
              <w:rPr>
                <w:color w:val="auto"/>
                <w:highlight w:val="none"/>
              </w:rPr>
              <w:t>　</w:t>
            </w:r>
          </w:p>
        </w:tc>
        <w:tc>
          <w:tcPr>
            <w:tcW w:w="1210" w:type="pct"/>
            <w:shd w:val="clear" w:color="auto" w:fill="auto"/>
            <w:vAlign w:val="center"/>
          </w:tcPr>
          <w:p>
            <w:pPr>
              <w:pStyle w:val="84"/>
              <w:bidi w:val="0"/>
              <w:ind w:firstLine="0" w:firstLineChars="0"/>
              <w:rPr>
                <w:rFonts w:hint="default"/>
                <w:color w:val="auto"/>
                <w:highlight w:val="none"/>
                <w:lang w:val="en-US" w:eastAsia="zh-CN"/>
              </w:rPr>
            </w:pPr>
          </w:p>
        </w:tc>
        <w:tc>
          <w:tcPr>
            <w:tcW w:w="585" w:type="pct"/>
            <w:shd w:val="clear" w:color="auto" w:fill="auto"/>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61" w:type="pct"/>
            <w:gridSpan w:val="2"/>
            <w:shd w:val="clear" w:color="auto" w:fill="auto"/>
            <w:vAlign w:val="center"/>
          </w:tcPr>
          <w:p>
            <w:pPr>
              <w:pStyle w:val="84"/>
              <w:bidi w:val="0"/>
              <w:rPr>
                <w:color w:val="auto"/>
                <w:highlight w:val="none"/>
              </w:rPr>
            </w:pPr>
            <w:r>
              <w:rPr>
                <w:color w:val="auto"/>
                <w:highlight w:val="none"/>
              </w:rPr>
              <w:t>一至四部分合计</w:t>
            </w:r>
          </w:p>
        </w:tc>
        <w:tc>
          <w:tcPr>
            <w:tcW w:w="1242"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3.67</w:t>
            </w:r>
          </w:p>
        </w:tc>
        <w:tc>
          <w:tcPr>
            <w:tcW w:w="1210"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21.96</w:t>
            </w:r>
          </w:p>
        </w:tc>
        <w:tc>
          <w:tcPr>
            <w:tcW w:w="585" w:type="pct"/>
            <w:shd w:val="clear" w:color="auto" w:fill="auto"/>
            <w:vAlign w:val="center"/>
          </w:tcPr>
          <w:p>
            <w:pPr>
              <w:pStyle w:val="84"/>
              <w:bidi w:val="0"/>
              <w:rPr>
                <w:color w:val="auto"/>
                <w:highlight w:val="none"/>
              </w:rPr>
            </w:pPr>
            <w:r>
              <w:rPr>
                <w:rFonts w:hint="eastAsia"/>
                <w:color w:val="auto"/>
                <w:highlight w:val="none"/>
                <w:lang w:val="en-US" w:eastAsia="zh-CN"/>
              </w:rPr>
              <w:t>25.63</w:t>
            </w:r>
            <w:r>
              <w:rPr>
                <w:rFonts w:hint="default"/>
                <w:color w:val="auto"/>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61" w:type="pct"/>
            <w:gridSpan w:val="2"/>
            <w:shd w:val="clear" w:color="auto" w:fill="auto"/>
            <w:vAlign w:val="center"/>
          </w:tcPr>
          <w:p>
            <w:pPr>
              <w:pStyle w:val="84"/>
              <w:bidi w:val="0"/>
              <w:rPr>
                <w:color w:val="auto"/>
                <w:highlight w:val="none"/>
              </w:rPr>
            </w:pPr>
            <w:r>
              <w:rPr>
                <w:color w:val="auto"/>
                <w:highlight w:val="none"/>
              </w:rPr>
              <w:t>基本预备费</w:t>
            </w:r>
          </w:p>
        </w:tc>
        <w:tc>
          <w:tcPr>
            <w:tcW w:w="1242" w:type="pct"/>
            <w:shd w:val="clear" w:color="auto" w:fill="auto"/>
            <w:vAlign w:val="center"/>
          </w:tcPr>
          <w:p>
            <w:pPr>
              <w:pStyle w:val="84"/>
              <w:bidi w:val="0"/>
              <w:rPr>
                <w:color w:val="auto"/>
                <w:highlight w:val="none"/>
              </w:rPr>
            </w:pPr>
            <w:r>
              <w:rPr>
                <w:color w:val="auto"/>
                <w:highlight w:val="none"/>
              </w:rPr>
              <w:t>　</w:t>
            </w:r>
          </w:p>
        </w:tc>
        <w:tc>
          <w:tcPr>
            <w:tcW w:w="1210" w:type="pct"/>
            <w:shd w:val="clear" w:color="auto" w:fill="auto"/>
            <w:vAlign w:val="center"/>
          </w:tcPr>
          <w:p>
            <w:pPr>
              <w:pStyle w:val="84"/>
              <w:bidi w:val="0"/>
              <w:rPr>
                <w:rFonts w:hint="default"/>
                <w:color w:val="auto"/>
                <w:highlight w:val="none"/>
                <w:lang w:val="en-US" w:eastAsia="zh-CN"/>
              </w:rPr>
            </w:pPr>
          </w:p>
        </w:tc>
        <w:tc>
          <w:tcPr>
            <w:tcW w:w="585" w:type="pct"/>
            <w:shd w:val="clear" w:color="auto" w:fill="auto"/>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61" w:type="pct"/>
            <w:gridSpan w:val="2"/>
            <w:shd w:val="clear" w:color="auto" w:fill="auto"/>
            <w:vAlign w:val="center"/>
          </w:tcPr>
          <w:p>
            <w:pPr>
              <w:pStyle w:val="84"/>
              <w:bidi w:val="0"/>
              <w:rPr>
                <w:color w:val="auto"/>
                <w:highlight w:val="none"/>
              </w:rPr>
            </w:pPr>
            <w:r>
              <w:rPr>
                <w:color w:val="auto"/>
                <w:highlight w:val="none"/>
              </w:rPr>
              <w:t>水土保持补偿费</w:t>
            </w:r>
          </w:p>
        </w:tc>
        <w:tc>
          <w:tcPr>
            <w:tcW w:w="1242" w:type="pct"/>
            <w:shd w:val="clear" w:color="auto" w:fill="auto"/>
            <w:vAlign w:val="center"/>
          </w:tcPr>
          <w:p>
            <w:pPr>
              <w:pStyle w:val="84"/>
              <w:bidi w:val="0"/>
              <w:rPr>
                <w:color w:val="auto"/>
                <w:highlight w:val="none"/>
              </w:rPr>
            </w:pPr>
            <w:r>
              <w:rPr>
                <w:color w:val="auto"/>
                <w:highlight w:val="none"/>
              </w:rPr>
              <w:t>　</w:t>
            </w:r>
          </w:p>
        </w:tc>
        <w:tc>
          <w:tcPr>
            <w:tcW w:w="1210" w:type="pct"/>
            <w:shd w:val="clear" w:color="auto" w:fill="auto"/>
            <w:vAlign w:val="center"/>
          </w:tcPr>
          <w:p>
            <w:pPr>
              <w:pStyle w:val="84"/>
              <w:bidi w:val="0"/>
              <w:rPr>
                <w:rFonts w:hint="default"/>
                <w:color w:val="auto"/>
                <w:highlight w:val="none"/>
                <w:lang w:val="en-US" w:eastAsia="zh-CN"/>
              </w:rPr>
            </w:pPr>
          </w:p>
        </w:tc>
        <w:tc>
          <w:tcPr>
            <w:tcW w:w="585" w:type="pct"/>
            <w:shd w:val="clear" w:color="auto" w:fill="auto"/>
            <w:vAlign w:val="center"/>
          </w:tcPr>
          <w:p>
            <w:pPr>
              <w:pStyle w:val="84"/>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61" w:type="pct"/>
            <w:gridSpan w:val="2"/>
            <w:shd w:val="clear" w:color="auto" w:fill="auto"/>
            <w:vAlign w:val="center"/>
          </w:tcPr>
          <w:p>
            <w:pPr>
              <w:pStyle w:val="84"/>
              <w:bidi w:val="0"/>
              <w:rPr>
                <w:color w:val="auto"/>
                <w:highlight w:val="none"/>
              </w:rPr>
            </w:pPr>
            <w:r>
              <w:rPr>
                <w:color w:val="auto"/>
                <w:highlight w:val="none"/>
              </w:rPr>
              <w:t>总投资</w:t>
            </w:r>
          </w:p>
        </w:tc>
        <w:tc>
          <w:tcPr>
            <w:tcW w:w="1242"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3.67</w:t>
            </w:r>
          </w:p>
        </w:tc>
        <w:tc>
          <w:tcPr>
            <w:tcW w:w="1210"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21.96</w:t>
            </w:r>
          </w:p>
        </w:tc>
        <w:tc>
          <w:tcPr>
            <w:tcW w:w="585" w:type="pct"/>
            <w:shd w:val="clear" w:color="auto" w:fill="auto"/>
            <w:vAlign w:val="center"/>
          </w:tcPr>
          <w:p>
            <w:pPr>
              <w:pStyle w:val="84"/>
              <w:bidi w:val="0"/>
              <w:rPr>
                <w:color w:val="auto"/>
                <w:highlight w:val="none"/>
              </w:rPr>
            </w:pPr>
            <w:r>
              <w:rPr>
                <w:rFonts w:hint="eastAsia"/>
                <w:color w:val="auto"/>
                <w:highlight w:val="none"/>
                <w:lang w:val="en-US" w:eastAsia="zh-CN"/>
              </w:rPr>
              <w:t>25.63</w:t>
            </w:r>
            <w:r>
              <w:rPr>
                <w:rFonts w:hint="default"/>
                <w:color w:val="auto"/>
                <w:highlight w:val="none"/>
                <w:lang w:val="en-US" w:eastAsia="zh-CN"/>
              </w:rPr>
              <w:t xml:space="preserve"> </w:t>
            </w:r>
          </w:p>
        </w:tc>
      </w:tr>
    </w:tbl>
    <w:p>
      <w:pPr>
        <w:widowControl/>
        <w:adjustRightInd/>
        <w:snapToGrid/>
        <w:spacing w:line="240" w:lineRule="auto"/>
        <w:ind w:firstLine="0" w:firstLineChars="0"/>
        <w:jc w:val="left"/>
        <w:rPr>
          <w:color w:val="auto"/>
          <w:highlight w:val="none"/>
        </w:rPr>
      </w:pPr>
    </w:p>
    <w:p>
      <w:pPr>
        <w:rPr>
          <w:color w:val="auto"/>
          <w:highlight w:val="none"/>
        </w:rPr>
      </w:pPr>
      <w:r>
        <w:rPr>
          <w:color w:val="auto"/>
          <w:highlight w:val="none"/>
        </w:rPr>
        <w:br w:type="page"/>
      </w:r>
    </w:p>
    <w:p>
      <w:pPr>
        <w:pStyle w:val="75"/>
        <w:pBdr>
          <w:top w:val="none" w:color="auto" w:sz="0" w:space="0"/>
          <w:left w:val="none" w:color="auto" w:sz="0" w:space="0"/>
          <w:bottom w:val="none" w:color="auto" w:sz="0" w:space="0"/>
          <w:right w:val="none" w:color="auto" w:sz="0" w:space="0"/>
          <w:between w:val="none" w:color="auto" w:sz="0" w:space="0"/>
        </w:pBdr>
        <w:jc w:val="center"/>
        <w:rPr>
          <w:color w:val="auto"/>
          <w:highlight w:val="none"/>
        </w:rPr>
      </w:pPr>
      <w:r>
        <w:rPr>
          <w:color w:val="auto"/>
          <w:highlight w:val="none"/>
        </w:rPr>
        <w:t>表7.1-</w:t>
      </w:r>
      <w:r>
        <w:rPr>
          <w:rFonts w:hint="eastAsia"/>
          <w:color w:val="auto"/>
          <w:highlight w:val="none"/>
          <w:lang w:val="en-US" w:eastAsia="zh-CN"/>
        </w:rPr>
        <w:t>5</w:t>
      </w:r>
      <w:r>
        <w:rPr>
          <w:color w:val="auto"/>
          <w:highlight w:val="none"/>
        </w:rPr>
        <w:t xml:space="preserve">     主体已列及已实施措施投资一览表</w:t>
      </w:r>
    </w:p>
    <w:tbl>
      <w:tblPr>
        <w:tblStyle w:val="27"/>
        <w:tblpPr w:leftFromText="180" w:rightFromText="180" w:vertAnchor="text" w:horzAnchor="page" w:tblpX="1514" w:tblpY="296"/>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62"/>
        <w:gridCol w:w="1071"/>
        <w:gridCol w:w="1815"/>
        <w:gridCol w:w="798"/>
        <w:gridCol w:w="946"/>
        <w:gridCol w:w="1632"/>
        <w:gridCol w:w="13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07"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防治分区</w:t>
            </w:r>
          </w:p>
        </w:tc>
        <w:tc>
          <w:tcPr>
            <w:tcW w:w="59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措施类型</w:t>
            </w:r>
          </w:p>
        </w:tc>
        <w:tc>
          <w:tcPr>
            <w:tcW w:w="100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措施名称</w:t>
            </w:r>
          </w:p>
        </w:tc>
        <w:tc>
          <w:tcPr>
            <w:tcW w:w="44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单位</w:t>
            </w:r>
          </w:p>
        </w:tc>
        <w:tc>
          <w:tcPr>
            <w:tcW w:w="52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工程量</w:t>
            </w:r>
          </w:p>
        </w:tc>
        <w:tc>
          <w:tcPr>
            <w:tcW w:w="90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单价（元）</w:t>
            </w:r>
          </w:p>
        </w:tc>
        <w:tc>
          <w:tcPr>
            <w:tcW w:w="737"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合计（万元）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07"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建构筑物区</w:t>
            </w:r>
          </w:p>
        </w:tc>
        <w:tc>
          <w:tcPr>
            <w:tcW w:w="59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rFonts w:hint="eastAsia"/>
                <w:color w:val="auto"/>
                <w:highlight w:val="none"/>
                <w:lang w:eastAsia="zh-CN"/>
              </w:rPr>
              <w:t>临时</w:t>
            </w:r>
            <w:r>
              <w:rPr>
                <w:color w:val="auto"/>
                <w:highlight w:val="none"/>
              </w:rPr>
              <w:t>措施</w:t>
            </w:r>
          </w:p>
        </w:tc>
        <w:tc>
          <w:tcPr>
            <w:tcW w:w="100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rFonts w:hint="eastAsia"/>
                <w:color w:val="auto"/>
                <w:highlight w:val="none"/>
                <w:lang w:eastAsia="zh-CN"/>
              </w:rPr>
            </w:pPr>
            <w:r>
              <w:rPr>
                <w:rFonts w:hint="eastAsia"/>
                <w:color w:val="auto"/>
                <w:highlight w:val="none"/>
                <w:lang w:eastAsia="zh-CN"/>
              </w:rPr>
              <w:t>彩钢板围栏</w:t>
            </w:r>
          </w:p>
        </w:tc>
        <w:tc>
          <w:tcPr>
            <w:tcW w:w="44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m</w:t>
            </w:r>
          </w:p>
        </w:tc>
        <w:tc>
          <w:tcPr>
            <w:tcW w:w="52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rFonts w:hint="default"/>
                <w:color w:val="auto"/>
                <w:highlight w:val="none"/>
                <w:lang w:val="en-US" w:eastAsia="zh-CN"/>
              </w:rPr>
            </w:pPr>
            <w:r>
              <w:rPr>
                <w:rFonts w:hint="eastAsia"/>
                <w:color w:val="auto"/>
                <w:highlight w:val="none"/>
                <w:lang w:val="en-US" w:eastAsia="zh-CN"/>
              </w:rPr>
              <w:t>800</w:t>
            </w:r>
          </w:p>
        </w:tc>
        <w:tc>
          <w:tcPr>
            <w:tcW w:w="90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rFonts w:hint="default"/>
                <w:color w:val="auto"/>
                <w:highlight w:val="none"/>
                <w:lang w:val="en-US" w:eastAsia="zh-CN"/>
              </w:rPr>
              <w:t xml:space="preserve">45.84 </w:t>
            </w:r>
          </w:p>
        </w:tc>
        <w:tc>
          <w:tcPr>
            <w:tcW w:w="737"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rFonts w:hint="default"/>
                <w:color w:val="auto"/>
                <w:highlight w:val="none"/>
                <w:lang w:val="en-US" w:eastAsia="zh-CN"/>
              </w:rPr>
              <w:t xml:space="preserve">3.67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07" w:type="pct"/>
            <w:vMerge w:val="restar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绿化区</w:t>
            </w:r>
          </w:p>
        </w:tc>
        <w:tc>
          <w:tcPr>
            <w:tcW w:w="59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工程措施</w:t>
            </w:r>
          </w:p>
        </w:tc>
        <w:tc>
          <w:tcPr>
            <w:tcW w:w="100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土地平整</w:t>
            </w:r>
          </w:p>
        </w:tc>
        <w:tc>
          <w:tcPr>
            <w:tcW w:w="44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hm²</w:t>
            </w:r>
          </w:p>
        </w:tc>
        <w:tc>
          <w:tcPr>
            <w:tcW w:w="52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rFonts w:hint="default"/>
                <w:color w:val="auto"/>
                <w:highlight w:val="none"/>
                <w:lang w:val="en-US" w:eastAsia="zh-CN"/>
              </w:rPr>
            </w:pPr>
            <w:r>
              <w:rPr>
                <w:rFonts w:hint="eastAsia"/>
                <w:color w:val="auto"/>
                <w:highlight w:val="none"/>
                <w:lang w:val="en-US" w:eastAsia="zh-CN"/>
              </w:rPr>
              <w:t>1.20</w:t>
            </w:r>
          </w:p>
        </w:tc>
        <w:tc>
          <w:tcPr>
            <w:tcW w:w="90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 xml:space="preserve">12204.67 </w:t>
            </w:r>
          </w:p>
        </w:tc>
        <w:tc>
          <w:tcPr>
            <w:tcW w:w="737"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rFonts w:hint="default"/>
                <w:color w:val="auto"/>
                <w:highlight w:val="none"/>
                <w:lang w:val="en-US" w:eastAsia="zh-CN"/>
              </w:rPr>
            </w:pPr>
            <w:r>
              <w:rPr>
                <w:color w:val="auto"/>
                <w:highlight w:val="none"/>
              </w:rPr>
              <w:t>1.</w:t>
            </w:r>
            <w:r>
              <w:rPr>
                <w:rFonts w:hint="eastAsia"/>
                <w:color w:val="auto"/>
                <w:highlight w:val="none"/>
                <w:lang w:val="en-US" w:eastAsia="zh-CN"/>
              </w:rPr>
              <w:t>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07" w:type="pct"/>
            <w:vMerge w:val="continue"/>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p>
        </w:tc>
        <w:tc>
          <w:tcPr>
            <w:tcW w:w="591" w:type="pct"/>
            <w:vMerge w:val="restar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植物措施</w:t>
            </w:r>
          </w:p>
        </w:tc>
        <w:tc>
          <w:tcPr>
            <w:tcW w:w="100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景观绿化</w:t>
            </w:r>
          </w:p>
        </w:tc>
        <w:tc>
          <w:tcPr>
            <w:tcW w:w="44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hm²</w:t>
            </w:r>
          </w:p>
        </w:tc>
        <w:tc>
          <w:tcPr>
            <w:tcW w:w="52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rFonts w:hint="eastAsia"/>
                <w:color w:val="auto"/>
                <w:highlight w:val="none"/>
                <w:lang w:val="en-US" w:eastAsia="zh-CN"/>
              </w:rPr>
              <w:t>1.20</w:t>
            </w:r>
            <w:r>
              <w:rPr>
                <w:color w:val="auto"/>
                <w:highlight w:val="none"/>
              </w:rPr>
              <w:t xml:space="preserve"> </w:t>
            </w:r>
          </w:p>
        </w:tc>
        <w:tc>
          <w:tcPr>
            <w:tcW w:w="1632" w:type="dxa"/>
            <w:shd w:val="clear" w:color="auto" w:fill="auto"/>
            <w:vAlign w:val="center"/>
          </w:tcPr>
          <w:p>
            <w:pPr>
              <w:pStyle w:val="84"/>
              <w:bidi w:val="0"/>
              <w:rPr>
                <w:color w:val="auto"/>
                <w:highlight w:val="none"/>
              </w:rPr>
            </w:pPr>
            <w:r>
              <w:rPr>
                <w:rFonts w:hint="default"/>
                <w:color w:val="auto"/>
                <w:highlight w:val="none"/>
                <w:lang w:val="en-US" w:eastAsia="zh-CN"/>
              </w:rPr>
              <w:t xml:space="preserve">64756.45 </w:t>
            </w:r>
          </w:p>
        </w:tc>
        <w:tc>
          <w:tcPr>
            <w:tcW w:w="1336" w:type="dxa"/>
            <w:shd w:val="clear" w:color="auto" w:fill="auto"/>
            <w:vAlign w:val="center"/>
          </w:tcPr>
          <w:p>
            <w:pPr>
              <w:pStyle w:val="84"/>
              <w:bidi w:val="0"/>
              <w:rPr>
                <w:color w:val="auto"/>
                <w:highlight w:val="none"/>
              </w:rPr>
            </w:pPr>
            <w:r>
              <w:rPr>
                <w:rFonts w:hint="default"/>
                <w:color w:val="auto"/>
                <w:highlight w:val="none"/>
                <w:lang w:val="en-US" w:eastAsia="zh-CN"/>
              </w:rPr>
              <w:t xml:space="preserve">7.77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 w:hRule="exact"/>
        </w:trPr>
        <w:tc>
          <w:tcPr>
            <w:tcW w:w="807" w:type="pct"/>
            <w:vMerge w:val="continue"/>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p>
        </w:tc>
        <w:tc>
          <w:tcPr>
            <w:tcW w:w="591" w:type="pct"/>
            <w:vMerge w:val="continue"/>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p>
        </w:tc>
        <w:tc>
          <w:tcPr>
            <w:tcW w:w="100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配套微喷灌设施-控制灌溉面积</w:t>
            </w:r>
          </w:p>
        </w:tc>
        <w:tc>
          <w:tcPr>
            <w:tcW w:w="44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hm²</w:t>
            </w:r>
          </w:p>
        </w:tc>
        <w:tc>
          <w:tcPr>
            <w:tcW w:w="52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rFonts w:hint="default"/>
                <w:color w:val="auto"/>
                <w:highlight w:val="none"/>
                <w:lang w:val="en-US" w:eastAsia="zh-CN"/>
              </w:rPr>
            </w:pPr>
            <w:r>
              <w:rPr>
                <w:rFonts w:hint="eastAsia"/>
                <w:color w:val="auto"/>
                <w:highlight w:val="none"/>
                <w:lang w:val="en-US" w:eastAsia="zh-CN"/>
              </w:rPr>
              <w:t>1.20</w:t>
            </w:r>
          </w:p>
        </w:tc>
        <w:tc>
          <w:tcPr>
            <w:tcW w:w="90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rFonts w:hint="default"/>
                <w:color w:val="auto"/>
                <w:highlight w:val="none"/>
                <w:lang w:val="en-US" w:eastAsia="zh-CN"/>
              </w:rPr>
              <w:t xml:space="preserve">87524.26 </w:t>
            </w:r>
          </w:p>
        </w:tc>
        <w:tc>
          <w:tcPr>
            <w:tcW w:w="737"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rFonts w:hint="default"/>
                <w:color w:val="auto"/>
                <w:highlight w:val="none"/>
                <w:lang w:val="en-US" w:eastAsia="zh-CN"/>
              </w:rPr>
              <w:t xml:space="preserve">10.50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07"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道路及硬化区</w:t>
            </w:r>
          </w:p>
        </w:tc>
        <w:tc>
          <w:tcPr>
            <w:tcW w:w="59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工程措施</w:t>
            </w:r>
          </w:p>
        </w:tc>
        <w:tc>
          <w:tcPr>
            <w:tcW w:w="100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土地平整</w:t>
            </w:r>
          </w:p>
        </w:tc>
        <w:tc>
          <w:tcPr>
            <w:tcW w:w="44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hm²</w:t>
            </w:r>
          </w:p>
        </w:tc>
        <w:tc>
          <w:tcPr>
            <w:tcW w:w="52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rFonts w:hint="default"/>
                <w:color w:val="auto"/>
                <w:highlight w:val="none"/>
                <w:lang w:val="en-US" w:eastAsia="zh-CN"/>
              </w:rPr>
            </w:pPr>
            <w:r>
              <w:rPr>
                <w:rFonts w:hint="eastAsia"/>
                <w:color w:val="auto"/>
                <w:highlight w:val="none"/>
                <w:lang w:val="en-US" w:eastAsia="zh-CN"/>
              </w:rPr>
              <w:t>1.02</w:t>
            </w:r>
          </w:p>
        </w:tc>
        <w:tc>
          <w:tcPr>
            <w:tcW w:w="90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 xml:space="preserve">12204.67 </w:t>
            </w:r>
          </w:p>
        </w:tc>
        <w:tc>
          <w:tcPr>
            <w:tcW w:w="737"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rFonts w:hint="default"/>
                <w:color w:val="auto"/>
                <w:highlight w:val="none"/>
                <w:lang w:val="en-US" w:eastAsia="zh-CN"/>
              </w:rPr>
            </w:pPr>
            <w:r>
              <w:rPr>
                <w:rFonts w:hint="eastAsia"/>
                <w:color w:val="auto"/>
                <w:highlight w:val="none"/>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07"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管线工程区</w:t>
            </w:r>
          </w:p>
        </w:tc>
        <w:tc>
          <w:tcPr>
            <w:tcW w:w="59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工程措施</w:t>
            </w:r>
          </w:p>
        </w:tc>
        <w:tc>
          <w:tcPr>
            <w:tcW w:w="100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土地平整</w:t>
            </w:r>
          </w:p>
        </w:tc>
        <w:tc>
          <w:tcPr>
            <w:tcW w:w="44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hm²</w:t>
            </w:r>
          </w:p>
        </w:tc>
        <w:tc>
          <w:tcPr>
            <w:tcW w:w="52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rFonts w:hint="default"/>
                <w:color w:val="auto"/>
                <w:highlight w:val="none"/>
                <w:lang w:val="en-US" w:eastAsia="zh-CN"/>
              </w:rPr>
            </w:pPr>
            <w:r>
              <w:rPr>
                <w:color w:val="auto"/>
                <w:highlight w:val="none"/>
              </w:rPr>
              <w:t>0.</w:t>
            </w:r>
            <w:r>
              <w:rPr>
                <w:rFonts w:hint="eastAsia"/>
                <w:color w:val="auto"/>
                <w:highlight w:val="none"/>
                <w:lang w:val="en-US" w:eastAsia="zh-CN"/>
              </w:rPr>
              <w:t>50</w:t>
            </w:r>
          </w:p>
        </w:tc>
        <w:tc>
          <w:tcPr>
            <w:tcW w:w="90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 xml:space="preserve">12204.67 </w:t>
            </w:r>
          </w:p>
        </w:tc>
        <w:tc>
          <w:tcPr>
            <w:tcW w:w="737"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0.</w:t>
            </w:r>
            <w:r>
              <w:rPr>
                <w:rFonts w:hint="eastAsia"/>
                <w:color w:val="auto"/>
                <w:highlight w:val="none"/>
                <w:lang w:val="en-US" w:eastAsia="zh-CN"/>
              </w:rPr>
              <w:t>61</w:t>
            </w:r>
            <w:r>
              <w:rPr>
                <w:color w:val="auto"/>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807"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施工生产区</w:t>
            </w:r>
          </w:p>
        </w:tc>
        <w:tc>
          <w:tcPr>
            <w:tcW w:w="59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工程措施</w:t>
            </w:r>
          </w:p>
        </w:tc>
        <w:tc>
          <w:tcPr>
            <w:tcW w:w="100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土地平整</w:t>
            </w:r>
          </w:p>
        </w:tc>
        <w:tc>
          <w:tcPr>
            <w:tcW w:w="44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hm²</w:t>
            </w:r>
          </w:p>
        </w:tc>
        <w:tc>
          <w:tcPr>
            <w:tcW w:w="521"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 xml:space="preserve">0.3 </w:t>
            </w:r>
          </w:p>
        </w:tc>
        <w:tc>
          <w:tcPr>
            <w:tcW w:w="900"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 xml:space="preserve">12204.67 </w:t>
            </w:r>
          </w:p>
        </w:tc>
        <w:tc>
          <w:tcPr>
            <w:tcW w:w="737" w:type="pct"/>
            <w:shd w:val="clear" w:color="auto" w:fill="auto"/>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0.</w:t>
            </w:r>
            <w:r>
              <w:rPr>
                <w:rFonts w:hint="eastAsia"/>
                <w:color w:val="auto"/>
                <w:highlight w:val="none"/>
                <w:lang w:val="en-US" w:eastAsia="zh-CN"/>
              </w:rPr>
              <w:t>37</w:t>
            </w:r>
            <w:r>
              <w:rPr>
                <w:color w:val="auto"/>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exact"/>
        </w:trPr>
        <w:tc>
          <w:tcPr>
            <w:tcW w:w="3361" w:type="pct"/>
            <w:gridSpan w:val="5"/>
            <w:shd w:val="clear" w:color="auto" w:fill="auto"/>
            <w:noWrap/>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合计</w:t>
            </w:r>
          </w:p>
        </w:tc>
        <w:tc>
          <w:tcPr>
            <w:tcW w:w="900" w:type="pct"/>
            <w:shd w:val="clear" w:color="auto" w:fill="auto"/>
            <w:noWrap/>
            <w:vAlign w:val="center"/>
          </w:tcPr>
          <w:p>
            <w:pPr>
              <w:pStyle w:val="84"/>
              <w:pBdr>
                <w:top w:val="none" w:color="auto" w:sz="0" w:space="0"/>
                <w:left w:val="none" w:color="auto" w:sz="0" w:space="0"/>
                <w:bottom w:val="none" w:color="auto" w:sz="0" w:space="0"/>
                <w:right w:val="none" w:color="auto" w:sz="0" w:space="0"/>
                <w:between w:val="none" w:color="auto" w:sz="0" w:space="0"/>
              </w:pBdr>
              <w:bidi w:val="0"/>
              <w:rPr>
                <w:color w:val="auto"/>
                <w:highlight w:val="none"/>
              </w:rPr>
            </w:pPr>
            <w:r>
              <w:rPr>
                <w:color w:val="auto"/>
                <w:highlight w:val="none"/>
              </w:rPr>
              <w:t>　</w:t>
            </w:r>
          </w:p>
        </w:tc>
        <w:tc>
          <w:tcPr>
            <w:tcW w:w="737" w:type="pct"/>
            <w:shd w:val="clear" w:color="auto" w:fill="auto"/>
            <w:noWrap/>
            <w:vAlign w:val="center"/>
          </w:tcPr>
          <w:p>
            <w:pPr>
              <w:pStyle w:val="84"/>
              <w:pBdr>
                <w:top w:val="none" w:color="auto" w:sz="0" w:space="0"/>
                <w:left w:val="none" w:color="auto" w:sz="0" w:space="0"/>
                <w:bottom w:val="none" w:color="auto" w:sz="0" w:space="0"/>
                <w:right w:val="none" w:color="auto" w:sz="0" w:space="0"/>
                <w:between w:val="none" w:color="auto" w:sz="0" w:space="0"/>
              </w:pBdr>
              <w:bidi w:val="0"/>
              <w:rPr>
                <w:rFonts w:hint="default" w:eastAsia="仿宋_GB2312"/>
                <w:color w:val="auto"/>
                <w:highlight w:val="none"/>
                <w:lang w:val="en-US" w:eastAsia="zh-CN"/>
              </w:rPr>
            </w:pPr>
            <w:r>
              <w:rPr>
                <w:rFonts w:hint="eastAsia"/>
                <w:color w:val="auto"/>
                <w:highlight w:val="none"/>
                <w:lang w:val="en-US" w:eastAsia="zh-CN"/>
              </w:rPr>
              <w:t>25.63</w:t>
            </w:r>
          </w:p>
        </w:tc>
      </w:tr>
    </w:tbl>
    <w:p>
      <w:pPr>
        <w:pStyle w:val="75"/>
        <w:rPr>
          <w:color w:val="auto"/>
          <w:highlight w:val="none"/>
        </w:rPr>
      </w:pPr>
    </w:p>
    <w:p>
      <w:pPr>
        <w:pStyle w:val="75"/>
        <w:rPr>
          <w:color w:val="auto"/>
          <w:highlight w:val="none"/>
        </w:rPr>
      </w:pPr>
    </w:p>
    <w:p>
      <w:pPr>
        <w:pStyle w:val="75"/>
        <w:rPr>
          <w:color w:val="auto"/>
          <w:highlight w:val="none"/>
        </w:rPr>
      </w:pPr>
      <w:r>
        <w:rPr>
          <w:color w:val="auto"/>
          <w:highlight w:val="none"/>
        </w:rPr>
        <w:t>表7.1-</w:t>
      </w:r>
      <w:r>
        <w:rPr>
          <w:rFonts w:hint="eastAsia"/>
          <w:color w:val="auto"/>
          <w:highlight w:val="none"/>
          <w:lang w:val="en-US" w:eastAsia="zh-CN"/>
        </w:rPr>
        <w:t>6</w:t>
      </w:r>
      <w:r>
        <w:rPr>
          <w:color w:val="auto"/>
          <w:highlight w:val="none"/>
        </w:rPr>
        <w:t xml:space="preserve">          方案新增措施分部工程投资估算表</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3"/>
        <w:gridCol w:w="1851"/>
        <w:gridCol w:w="1280"/>
        <w:gridCol w:w="1305"/>
        <w:gridCol w:w="1496"/>
        <w:gridCol w:w="18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19" w:type="pct"/>
            <w:shd w:val="clear" w:color="auto" w:fill="auto"/>
            <w:vAlign w:val="center"/>
          </w:tcPr>
          <w:p>
            <w:pPr>
              <w:pStyle w:val="84"/>
              <w:bidi w:val="0"/>
              <w:rPr>
                <w:color w:val="auto"/>
                <w:highlight w:val="none"/>
              </w:rPr>
            </w:pPr>
            <w:r>
              <w:rPr>
                <w:color w:val="auto"/>
                <w:highlight w:val="none"/>
              </w:rPr>
              <w:t>序号</w:t>
            </w:r>
          </w:p>
        </w:tc>
        <w:tc>
          <w:tcPr>
            <w:tcW w:w="1020" w:type="pct"/>
            <w:shd w:val="clear" w:color="auto" w:fill="auto"/>
            <w:vAlign w:val="center"/>
          </w:tcPr>
          <w:p>
            <w:pPr>
              <w:pStyle w:val="84"/>
              <w:bidi w:val="0"/>
              <w:rPr>
                <w:color w:val="auto"/>
                <w:highlight w:val="none"/>
              </w:rPr>
            </w:pPr>
            <w:r>
              <w:rPr>
                <w:color w:val="auto"/>
                <w:highlight w:val="none"/>
              </w:rPr>
              <w:t>工程或费用名称</w:t>
            </w:r>
          </w:p>
        </w:tc>
        <w:tc>
          <w:tcPr>
            <w:tcW w:w="706" w:type="pct"/>
            <w:shd w:val="clear" w:color="auto" w:fill="auto"/>
            <w:vAlign w:val="center"/>
          </w:tcPr>
          <w:p>
            <w:pPr>
              <w:pStyle w:val="84"/>
              <w:bidi w:val="0"/>
              <w:rPr>
                <w:color w:val="auto"/>
                <w:highlight w:val="none"/>
              </w:rPr>
            </w:pPr>
            <w:r>
              <w:rPr>
                <w:color w:val="auto"/>
                <w:highlight w:val="none"/>
              </w:rPr>
              <w:t>单位</w:t>
            </w:r>
          </w:p>
        </w:tc>
        <w:tc>
          <w:tcPr>
            <w:tcW w:w="720" w:type="pct"/>
            <w:shd w:val="clear" w:color="auto" w:fill="auto"/>
            <w:vAlign w:val="center"/>
          </w:tcPr>
          <w:p>
            <w:pPr>
              <w:pStyle w:val="84"/>
              <w:bidi w:val="0"/>
              <w:rPr>
                <w:color w:val="auto"/>
                <w:highlight w:val="none"/>
              </w:rPr>
            </w:pPr>
            <w:r>
              <w:rPr>
                <w:color w:val="auto"/>
                <w:highlight w:val="none"/>
              </w:rPr>
              <w:t>数量</w:t>
            </w:r>
          </w:p>
        </w:tc>
        <w:tc>
          <w:tcPr>
            <w:tcW w:w="825" w:type="pct"/>
            <w:shd w:val="clear" w:color="auto" w:fill="auto"/>
            <w:vAlign w:val="center"/>
          </w:tcPr>
          <w:p>
            <w:pPr>
              <w:pStyle w:val="84"/>
              <w:bidi w:val="0"/>
              <w:rPr>
                <w:color w:val="auto"/>
                <w:highlight w:val="none"/>
              </w:rPr>
            </w:pPr>
            <w:r>
              <w:rPr>
                <w:color w:val="auto"/>
                <w:highlight w:val="none"/>
              </w:rPr>
              <w:t>单价(元)</w:t>
            </w:r>
          </w:p>
        </w:tc>
        <w:tc>
          <w:tcPr>
            <w:tcW w:w="1007" w:type="pct"/>
            <w:shd w:val="clear" w:color="auto" w:fill="auto"/>
            <w:vAlign w:val="center"/>
          </w:tcPr>
          <w:p>
            <w:pPr>
              <w:pStyle w:val="84"/>
              <w:bidi w:val="0"/>
              <w:rPr>
                <w:color w:val="auto"/>
                <w:highlight w:val="none"/>
              </w:rPr>
            </w:pPr>
            <w:r>
              <w:rPr>
                <w:color w:val="auto"/>
                <w:highlight w:val="none"/>
              </w:rPr>
              <w:t>合价(元)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740" w:type="pct"/>
            <w:gridSpan w:val="2"/>
            <w:shd w:val="clear" w:color="auto" w:fill="auto"/>
            <w:vAlign w:val="center"/>
          </w:tcPr>
          <w:p>
            <w:pPr>
              <w:pStyle w:val="84"/>
              <w:bidi w:val="0"/>
              <w:rPr>
                <w:color w:val="auto"/>
                <w:highlight w:val="none"/>
              </w:rPr>
            </w:pPr>
            <w:r>
              <w:rPr>
                <w:color w:val="auto"/>
                <w:highlight w:val="none"/>
              </w:rPr>
              <w:t>第一部分 工程措施</w:t>
            </w:r>
          </w:p>
        </w:tc>
        <w:tc>
          <w:tcPr>
            <w:tcW w:w="706" w:type="pct"/>
            <w:shd w:val="clear" w:color="auto" w:fill="auto"/>
            <w:vAlign w:val="center"/>
          </w:tcPr>
          <w:p>
            <w:pPr>
              <w:pStyle w:val="84"/>
              <w:bidi w:val="0"/>
              <w:rPr>
                <w:color w:val="auto"/>
                <w:highlight w:val="none"/>
              </w:rPr>
            </w:pPr>
            <w:r>
              <w:rPr>
                <w:color w:val="auto"/>
                <w:highlight w:val="none"/>
              </w:rPr>
              <w:t>　</w:t>
            </w:r>
          </w:p>
        </w:tc>
        <w:tc>
          <w:tcPr>
            <w:tcW w:w="720" w:type="pct"/>
            <w:shd w:val="clear" w:color="auto" w:fill="auto"/>
            <w:vAlign w:val="center"/>
          </w:tcPr>
          <w:p>
            <w:pPr>
              <w:pStyle w:val="84"/>
              <w:bidi w:val="0"/>
              <w:rPr>
                <w:color w:val="auto"/>
                <w:highlight w:val="none"/>
              </w:rPr>
            </w:pPr>
            <w:r>
              <w:rPr>
                <w:color w:val="auto"/>
                <w:highlight w:val="none"/>
              </w:rPr>
              <w:t>　</w:t>
            </w:r>
          </w:p>
        </w:tc>
        <w:tc>
          <w:tcPr>
            <w:tcW w:w="825" w:type="pct"/>
            <w:shd w:val="clear" w:color="auto" w:fill="auto"/>
            <w:vAlign w:val="center"/>
          </w:tcPr>
          <w:p>
            <w:pPr>
              <w:pStyle w:val="84"/>
              <w:bidi w:val="0"/>
              <w:rPr>
                <w:color w:val="auto"/>
                <w:highlight w:val="none"/>
              </w:rPr>
            </w:pPr>
            <w:r>
              <w:rPr>
                <w:color w:val="auto"/>
                <w:highlight w:val="none"/>
              </w:rPr>
              <w:t>　</w:t>
            </w:r>
          </w:p>
        </w:tc>
        <w:tc>
          <w:tcPr>
            <w:tcW w:w="1007" w:type="pct"/>
            <w:shd w:val="clear" w:color="auto" w:fill="auto"/>
            <w:vAlign w:val="center"/>
          </w:tcPr>
          <w:p>
            <w:pPr>
              <w:pStyle w:val="84"/>
              <w:bidi w:val="0"/>
              <w:rPr>
                <w:color w:val="auto"/>
                <w:highlight w:val="none"/>
              </w:rPr>
            </w:pPr>
            <w:r>
              <w:rPr>
                <w:rFonts w:hint="default"/>
                <w:color w:val="auto"/>
                <w:highlight w:val="none"/>
                <w:lang w:val="en-US" w:eastAsia="zh-CN"/>
              </w:rPr>
              <w:t xml:space="preserve">113377.42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19" w:type="pct"/>
            <w:shd w:val="clear" w:color="auto" w:fill="auto"/>
            <w:noWrap/>
            <w:vAlign w:val="center"/>
          </w:tcPr>
          <w:p>
            <w:pPr>
              <w:pStyle w:val="84"/>
              <w:bidi w:val="0"/>
              <w:rPr>
                <w:color w:val="auto"/>
                <w:highlight w:val="none"/>
              </w:rPr>
            </w:pPr>
            <w:r>
              <w:rPr>
                <w:color w:val="auto"/>
                <w:highlight w:val="none"/>
              </w:rPr>
              <w:t>一</w:t>
            </w:r>
          </w:p>
        </w:tc>
        <w:tc>
          <w:tcPr>
            <w:tcW w:w="1020" w:type="pct"/>
            <w:shd w:val="clear" w:color="auto" w:fill="auto"/>
            <w:vAlign w:val="center"/>
          </w:tcPr>
          <w:p>
            <w:pPr>
              <w:pStyle w:val="84"/>
              <w:bidi w:val="0"/>
              <w:rPr>
                <w:color w:val="auto"/>
                <w:highlight w:val="none"/>
              </w:rPr>
            </w:pPr>
            <w:r>
              <w:rPr>
                <w:color w:val="auto"/>
                <w:highlight w:val="none"/>
              </w:rPr>
              <w:t>绿化区</w:t>
            </w:r>
          </w:p>
        </w:tc>
        <w:tc>
          <w:tcPr>
            <w:tcW w:w="706" w:type="pct"/>
            <w:shd w:val="clear" w:color="auto" w:fill="auto"/>
            <w:vAlign w:val="center"/>
          </w:tcPr>
          <w:p>
            <w:pPr>
              <w:pStyle w:val="84"/>
              <w:bidi w:val="0"/>
              <w:rPr>
                <w:color w:val="auto"/>
                <w:highlight w:val="none"/>
              </w:rPr>
            </w:pPr>
            <w:r>
              <w:rPr>
                <w:color w:val="auto"/>
                <w:highlight w:val="none"/>
              </w:rPr>
              <w:t>　</w:t>
            </w:r>
          </w:p>
        </w:tc>
        <w:tc>
          <w:tcPr>
            <w:tcW w:w="720" w:type="pct"/>
            <w:shd w:val="clear" w:color="auto" w:fill="auto"/>
            <w:vAlign w:val="center"/>
          </w:tcPr>
          <w:p>
            <w:pPr>
              <w:pStyle w:val="84"/>
              <w:bidi w:val="0"/>
              <w:rPr>
                <w:color w:val="auto"/>
                <w:highlight w:val="none"/>
              </w:rPr>
            </w:pPr>
            <w:r>
              <w:rPr>
                <w:color w:val="auto"/>
                <w:highlight w:val="none"/>
              </w:rPr>
              <w:t>　</w:t>
            </w:r>
          </w:p>
        </w:tc>
        <w:tc>
          <w:tcPr>
            <w:tcW w:w="825" w:type="pct"/>
            <w:shd w:val="clear" w:color="auto" w:fill="auto"/>
            <w:vAlign w:val="center"/>
          </w:tcPr>
          <w:p>
            <w:pPr>
              <w:pStyle w:val="84"/>
              <w:bidi w:val="0"/>
              <w:rPr>
                <w:color w:val="auto"/>
                <w:highlight w:val="none"/>
              </w:rPr>
            </w:pPr>
            <w:r>
              <w:rPr>
                <w:color w:val="auto"/>
                <w:highlight w:val="none"/>
              </w:rPr>
              <w:t>　</w:t>
            </w:r>
          </w:p>
        </w:tc>
        <w:tc>
          <w:tcPr>
            <w:tcW w:w="1007" w:type="pct"/>
            <w:shd w:val="clear" w:color="auto" w:fill="auto"/>
            <w:vAlign w:val="center"/>
          </w:tcPr>
          <w:p>
            <w:pPr>
              <w:pStyle w:val="84"/>
              <w:bidi w:val="0"/>
              <w:rPr>
                <w:color w:val="auto"/>
                <w:highlight w:val="none"/>
              </w:rPr>
            </w:pPr>
            <w:r>
              <w:rPr>
                <w:rFonts w:hint="default"/>
                <w:color w:val="auto"/>
                <w:highlight w:val="none"/>
                <w:lang w:val="en-US" w:eastAsia="zh-CN"/>
              </w:rPr>
              <w:t xml:space="preserve">113377.42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19" w:type="pct"/>
            <w:shd w:val="clear" w:color="auto" w:fill="auto"/>
            <w:vAlign w:val="center"/>
          </w:tcPr>
          <w:p>
            <w:pPr>
              <w:pStyle w:val="84"/>
              <w:bidi w:val="0"/>
              <w:rPr>
                <w:color w:val="auto"/>
                <w:highlight w:val="none"/>
              </w:rPr>
            </w:pPr>
            <w:r>
              <w:rPr>
                <w:color w:val="auto"/>
                <w:highlight w:val="none"/>
              </w:rPr>
              <w:t xml:space="preserve">1 </w:t>
            </w:r>
          </w:p>
        </w:tc>
        <w:tc>
          <w:tcPr>
            <w:tcW w:w="1020" w:type="pct"/>
            <w:shd w:val="clear" w:color="auto" w:fill="auto"/>
            <w:vAlign w:val="center"/>
          </w:tcPr>
          <w:p>
            <w:pPr>
              <w:pStyle w:val="84"/>
              <w:bidi w:val="0"/>
              <w:rPr>
                <w:color w:val="auto"/>
                <w:highlight w:val="none"/>
              </w:rPr>
            </w:pPr>
            <w:r>
              <w:rPr>
                <w:color w:val="auto"/>
                <w:highlight w:val="none"/>
              </w:rPr>
              <w:t>全面整地</w:t>
            </w:r>
          </w:p>
        </w:tc>
        <w:tc>
          <w:tcPr>
            <w:tcW w:w="706" w:type="pct"/>
            <w:shd w:val="clear" w:color="auto" w:fill="auto"/>
            <w:vAlign w:val="center"/>
          </w:tcPr>
          <w:p>
            <w:pPr>
              <w:pStyle w:val="84"/>
              <w:bidi w:val="0"/>
              <w:rPr>
                <w:color w:val="auto"/>
                <w:highlight w:val="none"/>
              </w:rPr>
            </w:pPr>
            <w:r>
              <w:rPr>
                <w:color w:val="auto"/>
                <w:highlight w:val="none"/>
              </w:rPr>
              <w:t>hm²</w:t>
            </w:r>
          </w:p>
        </w:tc>
        <w:tc>
          <w:tcPr>
            <w:tcW w:w="720"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1.2</w:t>
            </w:r>
          </w:p>
        </w:tc>
        <w:tc>
          <w:tcPr>
            <w:tcW w:w="825" w:type="pct"/>
            <w:shd w:val="clear" w:color="auto" w:fill="auto"/>
            <w:noWrap/>
            <w:vAlign w:val="center"/>
          </w:tcPr>
          <w:p>
            <w:pPr>
              <w:pStyle w:val="84"/>
              <w:bidi w:val="0"/>
              <w:rPr>
                <w:color w:val="auto"/>
                <w:highlight w:val="none"/>
              </w:rPr>
            </w:pPr>
            <w:r>
              <w:rPr>
                <w:color w:val="auto"/>
                <w:highlight w:val="none"/>
              </w:rPr>
              <w:t xml:space="preserve">94481.18 </w:t>
            </w:r>
          </w:p>
        </w:tc>
        <w:tc>
          <w:tcPr>
            <w:tcW w:w="1007" w:type="pct"/>
            <w:shd w:val="clear" w:color="auto" w:fill="auto"/>
            <w:noWrap/>
            <w:vAlign w:val="center"/>
          </w:tcPr>
          <w:p>
            <w:pPr>
              <w:pStyle w:val="84"/>
              <w:bidi w:val="0"/>
              <w:rPr>
                <w:color w:val="auto"/>
                <w:highlight w:val="none"/>
              </w:rPr>
            </w:pPr>
            <w:r>
              <w:rPr>
                <w:rFonts w:hint="default"/>
                <w:color w:val="auto"/>
                <w:highlight w:val="none"/>
                <w:lang w:val="en-US" w:eastAsia="zh-CN"/>
              </w:rPr>
              <w:t xml:space="preserve">113377.42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740" w:type="pct"/>
            <w:gridSpan w:val="2"/>
            <w:shd w:val="clear" w:color="auto" w:fill="auto"/>
            <w:vAlign w:val="center"/>
          </w:tcPr>
          <w:p>
            <w:pPr>
              <w:pStyle w:val="84"/>
              <w:bidi w:val="0"/>
              <w:rPr>
                <w:color w:val="auto"/>
                <w:highlight w:val="none"/>
              </w:rPr>
            </w:pPr>
            <w:r>
              <w:rPr>
                <w:color w:val="auto"/>
                <w:highlight w:val="none"/>
              </w:rPr>
              <w:t>第二部分 植物措施</w:t>
            </w:r>
          </w:p>
        </w:tc>
        <w:tc>
          <w:tcPr>
            <w:tcW w:w="706" w:type="pct"/>
            <w:shd w:val="clear" w:color="auto" w:fill="auto"/>
            <w:vAlign w:val="center"/>
          </w:tcPr>
          <w:p>
            <w:pPr>
              <w:pStyle w:val="84"/>
              <w:bidi w:val="0"/>
              <w:rPr>
                <w:color w:val="auto"/>
                <w:highlight w:val="none"/>
              </w:rPr>
            </w:pPr>
            <w:r>
              <w:rPr>
                <w:color w:val="auto"/>
                <w:highlight w:val="none"/>
              </w:rPr>
              <w:t>　</w:t>
            </w:r>
          </w:p>
        </w:tc>
        <w:tc>
          <w:tcPr>
            <w:tcW w:w="720" w:type="pct"/>
            <w:shd w:val="clear" w:color="auto" w:fill="auto"/>
            <w:vAlign w:val="center"/>
          </w:tcPr>
          <w:p>
            <w:pPr>
              <w:pStyle w:val="84"/>
              <w:bidi w:val="0"/>
              <w:rPr>
                <w:color w:val="auto"/>
                <w:highlight w:val="none"/>
              </w:rPr>
            </w:pPr>
            <w:r>
              <w:rPr>
                <w:color w:val="auto"/>
                <w:highlight w:val="none"/>
              </w:rPr>
              <w:t>　</w:t>
            </w:r>
          </w:p>
        </w:tc>
        <w:tc>
          <w:tcPr>
            <w:tcW w:w="825" w:type="pct"/>
            <w:shd w:val="clear" w:color="auto" w:fill="auto"/>
            <w:vAlign w:val="center"/>
          </w:tcPr>
          <w:p>
            <w:pPr>
              <w:pStyle w:val="84"/>
              <w:bidi w:val="0"/>
              <w:rPr>
                <w:color w:val="auto"/>
                <w:highlight w:val="none"/>
              </w:rPr>
            </w:pPr>
            <w:r>
              <w:rPr>
                <w:color w:val="auto"/>
                <w:highlight w:val="none"/>
              </w:rPr>
              <w:t>　</w:t>
            </w:r>
          </w:p>
        </w:tc>
        <w:tc>
          <w:tcPr>
            <w:tcW w:w="1007" w:type="pct"/>
            <w:shd w:val="clear" w:color="auto" w:fill="auto"/>
            <w:vAlign w:val="center"/>
          </w:tcPr>
          <w:p>
            <w:pPr>
              <w:pStyle w:val="84"/>
              <w:bidi w:val="0"/>
              <w:rPr>
                <w:color w:val="auto"/>
                <w:highlight w:val="none"/>
              </w:rPr>
            </w:pPr>
            <w:r>
              <w:rPr>
                <w:color w:val="auto"/>
                <w:highlight w:val="none"/>
              </w:rP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740" w:type="pct"/>
            <w:gridSpan w:val="2"/>
            <w:shd w:val="clear" w:color="auto" w:fill="auto"/>
            <w:vAlign w:val="center"/>
          </w:tcPr>
          <w:p>
            <w:pPr>
              <w:pStyle w:val="84"/>
              <w:bidi w:val="0"/>
              <w:rPr>
                <w:color w:val="auto"/>
                <w:highlight w:val="none"/>
              </w:rPr>
            </w:pPr>
            <w:r>
              <w:rPr>
                <w:color w:val="auto"/>
                <w:highlight w:val="none"/>
              </w:rPr>
              <w:t>第三部分 临时措施</w:t>
            </w:r>
          </w:p>
        </w:tc>
        <w:tc>
          <w:tcPr>
            <w:tcW w:w="706" w:type="pct"/>
            <w:shd w:val="clear" w:color="auto" w:fill="auto"/>
            <w:vAlign w:val="center"/>
          </w:tcPr>
          <w:p>
            <w:pPr>
              <w:pStyle w:val="84"/>
              <w:bidi w:val="0"/>
              <w:rPr>
                <w:color w:val="auto"/>
                <w:highlight w:val="none"/>
              </w:rPr>
            </w:pPr>
            <w:r>
              <w:rPr>
                <w:color w:val="auto"/>
                <w:highlight w:val="none"/>
              </w:rPr>
              <w:t>　</w:t>
            </w:r>
          </w:p>
        </w:tc>
        <w:tc>
          <w:tcPr>
            <w:tcW w:w="720" w:type="pct"/>
            <w:shd w:val="clear" w:color="auto" w:fill="auto"/>
            <w:vAlign w:val="center"/>
          </w:tcPr>
          <w:p>
            <w:pPr>
              <w:pStyle w:val="84"/>
              <w:bidi w:val="0"/>
              <w:rPr>
                <w:color w:val="auto"/>
                <w:highlight w:val="none"/>
              </w:rPr>
            </w:pPr>
            <w:r>
              <w:rPr>
                <w:color w:val="auto"/>
                <w:highlight w:val="none"/>
              </w:rPr>
              <w:t>　</w:t>
            </w:r>
          </w:p>
        </w:tc>
        <w:tc>
          <w:tcPr>
            <w:tcW w:w="825" w:type="pct"/>
            <w:shd w:val="clear" w:color="auto" w:fill="auto"/>
            <w:vAlign w:val="center"/>
          </w:tcPr>
          <w:p>
            <w:pPr>
              <w:pStyle w:val="84"/>
              <w:bidi w:val="0"/>
              <w:rPr>
                <w:color w:val="auto"/>
                <w:highlight w:val="none"/>
              </w:rPr>
            </w:pPr>
            <w:r>
              <w:rPr>
                <w:color w:val="auto"/>
                <w:highlight w:val="none"/>
              </w:rPr>
              <w:t>　</w:t>
            </w:r>
          </w:p>
        </w:tc>
        <w:tc>
          <w:tcPr>
            <w:tcW w:w="1825" w:type="dxa"/>
            <w:shd w:val="clear" w:color="auto" w:fill="auto"/>
            <w:vAlign w:val="center"/>
          </w:tcPr>
          <w:p>
            <w:pPr>
              <w:pStyle w:val="84"/>
              <w:bidi w:val="0"/>
              <w:rPr>
                <w:color w:val="auto"/>
                <w:highlight w:val="none"/>
              </w:rPr>
            </w:pPr>
            <w:r>
              <w:rPr>
                <w:rFonts w:hint="eastAsia"/>
                <w:color w:val="auto"/>
                <w:highlight w:val="none"/>
                <w:lang w:val="en-US" w:eastAsia="zh-CN"/>
              </w:rPr>
              <w:t xml:space="preserve">50054.12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19" w:type="pct"/>
            <w:shd w:val="clear" w:color="auto" w:fill="auto"/>
            <w:vAlign w:val="center"/>
          </w:tcPr>
          <w:p>
            <w:pPr>
              <w:pStyle w:val="84"/>
              <w:bidi w:val="0"/>
              <w:rPr>
                <w:color w:val="auto"/>
                <w:highlight w:val="none"/>
              </w:rPr>
            </w:pPr>
            <w:r>
              <w:rPr>
                <w:color w:val="auto"/>
                <w:highlight w:val="none"/>
              </w:rPr>
              <w:t>一</w:t>
            </w:r>
          </w:p>
        </w:tc>
        <w:tc>
          <w:tcPr>
            <w:tcW w:w="1020" w:type="pct"/>
            <w:shd w:val="clear" w:color="auto" w:fill="auto"/>
            <w:vAlign w:val="center"/>
          </w:tcPr>
          <w:p>
            <w:pPr>
              <w:pStyle w:val="84"/>
              <w:bidi w:val="0"/>
              <w:rPr>
                <w:color w:val="auto"/>
                <w:highlight w:val="none"/>
              </w:rPr>
            </w:pPr>
            <w:r>
              <w:rPr>
                <w:color w:val="auto"/>
                <w:highlight w:val="none"/>
              </w:rPr>
              <w:t>建构筑物区</w:t>
            </w:r>
          </w:p>
        </w:tc>
        <w:tc>
          <w:tcPr>
            <w:tcW w:w="706" w:type="pct"/>
            <w:shd w:val="clear" w:color="auto" w:fill="auto"/>
            <w:vAlign w:val="center"/>
          </w:tcPr>
          <w:p>
            <w:pPr>
              <w:pStyle w:val="84"/>
              <w:bidi w:val="0"/>
              <w:rPr>
                <w:color w:val="auto"/>
                <w:highlight w:val="none"/>
              </w:rPr>
            </w:pPr>
            <w:r>
              <w:rPr>
                <w:color w:val="auto"/>
                <w:highlight w:val="none"/>
              </w:rPr>
              <w:t>　</w:t>
            </w:r>
          </w:p>
        </w:tc>
        <w:tc>
          <w:tcPr>
            <w:tcW w:w="720" w:type="pct"/>
            <w:shd w:val="clear" w:color="auto" w:fill="auto"/>
            <w:vAlign w:val="center"/>
          </w:tcPr>
          <w:p>
            <w:pPr>
              <w:pStyle w:val="84"/>
              <w:bidi w:val="0"/>
              <w:rPr>
                <w:color w:val="auto"/>
                <w:highlight w:val="none"/>
              </w:rPr>
            </w:pPr>
            <w:r>
              <w:rPr>
                <w:color w:val="auto"/>
                <w:highlight w:val="none"/>
              </w:rPr>
              <w:t>　</w:t>
            </w:r>
          </w:p>
        </w:tc>
        <w:tc>
          <w:tcPr>
            <w:tcW w:w="825" w:type="pct"/>
            <w:shd w:val="clear" w:color="auto" w:fill="auto"/>
            <w:vAlign w:val="center"/>
          </w:tcPr>
          <w:p>
            <w:pPr>
              <w:pStyle w:val="84"/>
              <w:bidi w:val="0"/>
              <w:rPr>
                <w:color w:val="auto"/>
                <w:highlight w:val="none"/>
              </w:rPr>
            </w:pPr>
            <w:r>
              <w:rPr>
                <w:color w:val="auto"/>
                <w:highlight w:val="none"/>
              </w:rPr>
              <w:t>　</w:t>
            </w:r>
          </w:p>
        </w:tc>
        <w:tc>
          <w:tcPr>
            <w:tcW w:w="1825" w:type="dxa"/>
            <w:shd w:val="clear" w:color="auto" w:fill="auto"/>
            <w:vAlign w:val="center"/>
          </w:tcPr>
          <w:p>
            <w:pPr>
              <w:pStyle w:val="84"/>
              <w:bidi w:val="0"/>
              <w:rPr>
                <w:color w:val="auto"/>
                <w:highlight w:val="none"/>
              </w:rPr>
            </w:pPr>
            <w:r>
              <w:rPr>
                <w:rFonts w:hint="eastAsia"/>
                <w:color w:val="auto"/>
                <w:highlight w:val="none"/>
                <w:lang w:val="en-US" w:eastAsia="zh-CN"/>
              </w:rPr>
              <w:t xml:space="preserve">8106.97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19" w:type="pct"/>
            <w:shd w:val="clear" w:color="auto" w:fill="auto"/>
            <w:vAlign w:val="center"/>
          </w:tcPr>
          <w:p>
            <w:pPr>
              <w:pStyle w:val="84"/>
              <w:bidi w:val="0"/>
              <w:rPr>
                <w:color w:val="auto"/>
                <w:highlight w:val="none"/>
              </w:rPr>
            </w:pPr>
            <w:r>
              <w:rPr>
                <w:color w:val="auto"/>
                <w:highlight w:val="none"/>
              </w:rPr>
              <w:t xml:space="preserve">1 </w:t>
            </w:r>
          </w:p>
        </w:tc>
        <w:tc>
          <w:tcPr>
            <w:tcW w:w="1020" w:type="pct"/>
            <w:shd w:val="clear" w:color="auto" w:fill="auto"/>
            <w:vAlign w:val="center"/>
          </w:tcPr>
          <w:p>
            <w:pPr>
              <w:pStyle w:val="84"/>
              <w:bidi w:val="0"/>
              <w:rPr>
                <w:color w:val="auto"/>
                <w:highlight w:val="none"/>
              </w:rPr>
            </w:pPr>
            <w:r>
              <w:rPr>
                <w:color w:val="auto"/>
                <w:highlight w:val="none"/>
              </w:rPr>
              <w:t>防尘网苫盖</w:t>
            </w:r>
          </w:p>
        </w:tc>
        <w:tc>
          <w:tcPr>
            <w:tcW w:w="706" w:type="pct"/>
            <w:shd w:val="clear" w:color="auto" w:fill="auto"/>
            <w:vAlign w:val="center"/>
          </w:tcPr>
          <w:p>
            <w:pPr>
              <w:pStyle w:val="84"/>
              <w:bidi w:val="0"/>
              <w:rPr>
                <w:color w:val="auto"/>
                <w:highlight w:val="none"/>
              </w:rPr>
            </w:pPr>
            <w:r>
              <w:rPr>
                <w:color w:val="auto"/>
                <w:highlight w:val="none"/>
              </w:rPr>
              <w:t>m²</w:t>
            </w:r>
          </w:p>
        </w:tc>
        <w:tc>
          <w:tcPr>
            <w:tcW w:w="720" w:type="pct"/>
            <w:shd w:val="clear" w:color="auto" w:fill="auto"/>
            <w:vAlign w:val="center"/>
          </w:tcPr>
          <w:p>
            <w:pPr>
              <w:pStyle w:val="84"/>
              <w:bidi w:val="0"/>
              <w:rPr>
                <w:color w:val="auto"/>
                <w:highlight w:val="none"/>
              </w:rPr>
            </w:pPr>
            <w:r>
              <w:rPr>
                <w:rFonts w:hint="eastAsia"/>
                <w:color w:val="auto"/>
                <w:highlight w:val="none"/>
                <w:lang w:val="en-US" w:eastAsia="zh-CN"/>
              </w:rPr>
              <w:t>8</w:t>
            </w:r>
            <w:r>
              <w:rPr>
                <w:color w:val="auto"/>
                <w:highlight w:val="none"/>
              </w:rPr>
              <w:t xml:space="preserve">00.00 </w:t>
            </w:r>
          </w:p>
        </w:tc>
        <w:tc>
          <w:tcPr>
            <w:tcW w:w="825" w:type="pct"/>
            <w:shd w:val="clear" w:color="auto" w:fill="auto"/>
            <w:vAlign w:val="center"/>
          </w:tcPr>
          <w:p>
            <w:pPr>
              <w:pStyle w:val="84"/>
              <w:bidi w:val="0"/>
              <w:rPr>
                <w:color w:val="auto"/>
                <w:highlight w:val="none"/>
              </w:rPr>
            </w:pPr>
            <w:r>
              <w:rPr>
                <w:color w:val="auto"/>
                <w:highlight w:val="none"/>
              </w:rPr>
              <w:t xml:space="preserve">10.13 </w:t>
            </w:r>
          </w:p>
        </w:tc>
        <w:tc>
          <w:tcPr>
            <w:tcW w:w="1825" w:type="dxa"/>
            <w:shd w:val="clear" w:color="auto" w:fill="auto"/>
            <w:vAlign w:val="center"/>
          </w:tcPr>
          <w:p>
            <w:pPr>
              <w:pStyle w:val="84"/>
              <w:bidi w:val="0"/>
              <w:rPr>
                <w:color w:val="auto"/>
                <w:highlight w:val="none"/>
              </w:rPr>
            </w:pPr>
            <w:r>
              <w:rPr>
                <w:rFonts w:hint="eastAsia"/>
                <w:color w:val="auto"/>
                <w:highlight w:val="none"/>
                <w:lang w:val="en-US" w:eastAsia="zh-CN"/>
              </w:rPr>
              <w:t xml:space="preserve">8106.97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19" w:type="pct"/>
            <w:shd w:val="clear" w:color="auto" w:fill="auto"/>
            <w:vAlign w:val="center"/>
          </w:tcPr>
          <w:p>
            <w:pPr>
              <w:pStyle w:val="84"/>
              <w:bidi w:val="0"/>
              <w:rPr>
                <w:color w:val="auto"/>
                <w:highlight w:val="none"/>
              </w:rPr>
            </w:pPr>
            <w:r>
              <w:rPr>
                <w:color w:val="auto"/>
                <w:highlight w:val="none"/>
              </w:rPr>
              <w:t>二</w:t>
            </w:r>
          </w:p>
        </w:tc>
        <w:tc>
          <w:tcPr>
            <w:tcW w:w="1020" w:type="pct"/>
            <w:shd w:val="clear" w:color="auto" w:fill="auto"/>
            <w:vAlign w:val="center"/>
          </w:tcPr>
          <w:p>
            <w:pPr>
              <w:pStyle w:val="84"/>
              <w:bidi w:val="0"/>
              <w:rPr>
                <w:color w:val="auto"/>
                <w:highlight w:val="none"/>
              </w:rPr>
            </w:pPr>
            <w:r>
              <w:rPr>
                <w:color w:val="auto"/>
                <w:highlight w:val="none"/>
              </w:rPr>
              <w:t>道路及硬化区</w:t>
            </w:r>
          </w:p>
        </w:tc>
        <w:tc>
          <w:tcPr>
            <w:tcW w:w="706" w:type="pct"/>
            <w:shd w:val="clear" w:color="auto" w:fill="auto"/>
            <w:vAlign w:val="center"/>
          </w:tcPr>
          <w:p>
            <w:pPr>
              <w:pStyle w:val="84"/>
              <w:bidi w:val="0"/>
              <w:rPr>
                <w:color w:val="auto"/>
                <w:highlight w:val="none"/>
              </w:rPr>
            </w:pPr>
            <w:r>
              <w:rPr>
                <w:color w:val="auto"/>
                <w:highlight w:val="none"/>
              </w:rPr>
              <w:t>　</w:t>
            </w:r>
          </w:p>
        </w:tc>
        <w:tc>
          <w:tcPr>
            <w:tcW w:w="720" w:type="pct"/>
            <w:shd w:val="clear" w:color="auto" w:fill="auto"/>
            <w:vAlign w:val="center"/>
          </w:tcPr>
          <w:p>
            <w:pPr>
              <w:pStyle w:val="84"/>
              <w:bidi w:val="0"/>
              <w:rPr>
                <w:color w:val="auto"/>
                <w:highlight w:val="none"/>
              </w:rPr>
            </w:pPr>
            <w:r>
              <w:rPr>
                <w:color w:val="auto"/>
                <w:highlight w:val="none"/>
              </w:rPr>
              <w:t>　</w:t>
            </w:r>
          </w:p>
        </w:tc>
        <w:tc>
          <w:tcPr>
            <w:tcW w:w="825" w:type="pct"/>
            <w:shd w:val="clear" w:color="auto" w:fill="auto"/>
            <w:vAlign w:val="center"/>
          </w:tcPr>
          <w:p>
            <w:pPr>
              <w:pStyle w:val="84"/>
              <w:bidi w:val="0"/>
              <w:rPr>
                <w:color w:val="auto"/>
                <w:highlight w:val="none"/>
              </w:rPr>
            </w:pPr>
            <w:r>
              <w:rPr>
                <w:color w:val="auto"/>
                <w:highlight w:val="none"/>
              </w:rPr>
              <w:t>　</w:t>
            </w:r>
          </w:p>
        </w:tc>
        <w:tc>
          <w:tcPr>
            <w:tcW w:w="1825" w:type="dxa"/>
            <w:shd w:val="clear" w:color="auto" w:fill="auto"/>
            <w:vAlign w:val="center"/>
          </w:tcPr>
          <w:p>
            <w:pPr>
              <w:pStyle w:val="84"/>
              <w:bidi w:val="0"/>
              <w:rPr>
                <w:color w:val="auto"/>
                <w:highlight w:val="none"/>
              </w:rPr>
            </w:pPr>
            <w:r>
              <w:rPr>
                <w:rFonts w:hint="eastAsia"/>
                <w:color w:val="auto"/>
                <w:highlight w:val="none"/>
                <w:lang w:val="en-US" w:eastAsia="zh-CN"/>
              </w:rPr>
              <w:t xml:space="preserve">29545.89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19" w:type="pct"/>
            <w:shd w:val="clear" w:color="auto" w:fill="auto"/>
            <w:vAlign w:val="center"/>
          </w:tcPr>
          <w:p>
            <w:pPr>
              <w:pStyle w:val="84"/>
              <w:bidi w:val="0"/>
              <w:rPr>
                <w:color w:val="auto"/>
                <w:highlight w:val="none"/>
              </w:rPr>
            </w:pPr>
            <w:r>
              <w:rPr>
                <w:color w:val="auto"/>
                <w:highlight w:val="none"/>
              </w:rPr>
              <w:t xml:space="preserve">1 </w:t>
            </w:r>
          </w:p>
        </w:tc>
        <w:tc>
          <w:tcPr>
            <w:tcW w:w="1020" w:type="pct"/>
            <w:shd w:val="clear" w:color="auto" w:fill="auto"/>
            <w:vAlign w:val="center"/>
          </w:tcPr>
          <w:p>
            <w:pPr>
              <w:pStyle w:val="84"/>
              <w:bidi w:val="0"/>
              <w:rPr>
                <w:color w:val="auto"/>
                <w:highlight w:val="none"/>
              </w:rPr>
            </w:pPr>
            <w:r>
              <w:rPr>
                <w:color w:val="auto"/>
                <w:highlight w:val="none"/>
              </w:rPr>
              <w:t>洒水</w:t>
            </w:r>
          </w:p>
        </w:tc>
        <w:tc>
          <w:tcPr>
            <w:tcW w:w="706" w:type="pct"/>
            <w:shd w:val="clear" w:color="auto" w:fill="auto"/>
            <w:vAlign w:val="center"/>
          </w:tcPr>
          <w:p>
            <w:pPr>
              <w:pStyle w:val="84"/>
              <w:bidi w:val="0"/>
              <w:rPr>
                <w:color w:val="auto"/>
                <w:highlight w:val="none"/>
              </w:rPr>
            </w:pPr>
            <w:r>
              <w:rPr>
                <w:color w:val="auto"/>
                <w:highlight w:val="none"/>
              </w:rPr>
              <w:t>m³</w:t>
            </w:r>
          </w:p>
        </w:tc>
        <w:tc>
          <w:tcPr>
            <w:tcW w:w="720"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2455</w:t>
            </w:r>
          </w:p>
        </w:tc>
        <w:tc>
          <w:tcPr>
            <w:tcW w:w="825" w:type="pct"/>
            <w:shd w:val="clear" w:color="auto" w:fill="auto"/>
            <w:vAlign w:val="center"/>
          </w:tcPr>
          <w:p>
            <w:pPr>
              <w:pStyle w:val="84"/>
              <w:bidi w:val="0"/>
              <w:rPr>
                <w:color w:val="auto"/>
                <w:highlight w:val="none"/>
              </w:rPr>
            </w:pPr>
            <w:r>
              <w:rPr>
                <w:color w:val="auto"/>
                <w:highlight w:val="none"/>
              </w:rPr>
              <w:t xml:space="preserve">12.03 </w:t>
            </w:r>
          </w:p>
        </w:tc>
        <w:tc>
          <w:tcPr>
            <w:tcW w:w="1825" w:type="dxa"/>
            <w:shd w:val="clear" w:color="auto" w:fill="auto"/>
            <w:vAlign w:val="center"/>
          </w:tcPr>
          <w:p>
            <w:pPr>
              <w:pStyle w:val="84"/>
              <w:bidi w:val="0"/>
              <w:rPr>
                <w:color w:val="auto"/>
                <w:highlight w:val="none"/>
              </w:rPr>
            </w:pPr>
            <w:r>
              <w:rPr>
                <w:rFonts w:hint="eastAsia"/>
                <w:color w:val="auto"/>
                <w:highlight w:val="none"/>
                <w:lang w:val="en-US" w:eastAsia="zh-CN"/>
              </w:rPr>
              <w:t xml:space="preserve">29545.89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19" w:type="pct"/>
            <w:shd w:val="clear" w:color="auto" w:fill="auto"/>
            <w:vAlign w:val="center"/>
          </w:tcPr>
          <w:p>
            <w:pPr>
              <w:pStyle w:val="84"/>
              <w:bidi w:val="0"/>
              <w:rPr>
                <w:color w:val="auto"/>
                <w:highlight w:val="none"/>
              </w:rPr>
            </w:pPr>
            <w:r>
              <w:rPr>
                <w:color w:val="auto"/>
                <w:highlight w:val="none"/>
              </w:rPr>
              <w:t>三</w:t>
            </w:r>
          </w:p>
        </w:tc>
        <w:tc>
          <w:tcPr>
            <w:tcW w:w="1020" w:type="pct"/>
            <w:shd w:val="clear" w:color="auto" w:fill="auto"/>
            <w:vAlign w:val="center"/>
          </w:tcPr>
          <w:p>
            <w:pPr>
              <w:pStyle w:val="84"/>
              <w:bidi w:val="0"/>
              <w:rPr>
                <w:color w:val="auto"/>
                <w:highlight w:val="none"/>
              </w:rPr>
            </w:pPr>
            <w:r>
              <w:rPr>
                <w:color w:val="auto"/>
                <w:highlight w:val="none"/>
              </w:rPr>
              <w:t>管线工程区</w:t>
            </w:r>
          </w:p>
        </w:tc>
        <w:tc>
          <w:tcPr>
            <w:tcW w:w="706" w:type="pct"/>
            <w:shd w:val="clear" w:color="auto" w:fill="auto"/>
            <w:vAlign w:val="center"/>
          </w:tcPr>
          <w:p>
            <w:pPr>
              <w:pStyle w:val="84"/>
              <w:bidi w:val="0"/>
              <w:rPr>
                <w:color w:val="auto"/>
                <w:highlight w:val="none"/>
              </w:rPr>
            </w:pPr>
            <w:r>
              <w:rPr>
                <w:color w:val="auto"/>
                <w:highlight w:val="none"/>
              </w:rPr>
              <w:t>　</w:t>
            </w:r>
          </w:p>
        </w:tc>
        <w:tc>
          <w:tcPr>
            <w:tcW w:w="720" w:type="pct"/>
            <w:shd w:val="clear" w:color="auto" w:fill="auto"/>
            <w:vAlign w:val="center"/>
          </w:tcPr>
          <w:p>
            <w:pPr>
              <w:pStyle w:val="84"/>
              <w:bidi w:val="0"/>
              <w:rPr>
                <w:color w:val="auto"/>
                <w:highlight w:val="none"/>
              </w:rPr>
            </w:pPr>
            <w:r>
              <w:rPr>
                <w:color w:val="auto"/>
                <w:highlight w:val="none"/>
              </w:rPr>
              <w:t>　</w:t>
            </w:r>
          </w:p>
        </w:tc>
        <w:tc>
          <w:tcPr>
            <w:tcW w:w="825" w:type="pct"/>
            <w:shd w:val="clear" w:color="auto" w:fill="auto"/>
            <w:vAlign w:val="center"/>
          </w:tcPr>
          <w:p>
            <w:pPr>
              <w:pStyle w:val="84"/>
              <w:bidi w:val="0"/>
              <w:rPr>
                <w:color w:val="auto"/>
                <w:highlight w:val="none"/>
              </w:rPr>
            </w:pPr>
            <w:r>
              <w:rPr>
                <w:color w:val="auto"/>
                <w:highlight w:val="none"/>
              </w:rPr>
              <w:t>　</w:t>
            </w:r>
          </w:p>
        </w:tc>
        <w:tc>
          <w:tcPr>
            <w:tcW w:w="1825" w:type="dxa"/>
            <w:shd w:val="clear" w:color="auto" w:fill="auto"/>
            <w:vAlign w:val="center"/>
          </w:tcPr>
          <w:p>
            <w:pPr>
              <w:pStyle w:val="84"/>
              <w:bidi w:val="0"/>
              <w:rPr>
                <w:color w:val="auto"/>
                <w:highlight w:val="none"/>
              </w:rPr>
            </w:pPr>
            <w:r>
              <w:rPr>
                <w:rFonts w:hint="eastAsia"/>
                <w:color w:val="auto"/>
                <w:highlight w:val="none"/>
                <w:lang w:val="en-US" w:eastAsia="zh-CN"/>
              </w:rPr>
              <w:t xml:space="preserve">8106.97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19" w:type="pct"/>
            <w:shd w:val="clear" w:color="auto" w:fill="auto"/>
            <w:vAlign w:val="center"/>
          </w:tcPr>
          <w:p>
            <w:pPr>
              <w:pStyle w:val="84"/>
              <w:bidi w:val="0"/>
              <w:rPr>
                <w:color w:val="auto"/>
                <w:highlight w:val="none"/>
              </w:rPr>
            </w:pPr>
            <w:r>
              <w:rPr>
                <w:color w:val="auto"/>
                <w:highlight w:val="none"/>
              </w:rPr>
              <w:t xml:space="preserve">1 </w:t>
            </w:r>
          </w:p>
        </w:tc>
        <w:tc>
          <w:tcPr>
            <w:tcW w:w="1020" w:type="pct"/>
            <w:shd w:val="clear" w:color="auto" w:fill="auto"/>
            <w:vAlign w:val="center"/>
          </w:tcPr>
          <w:p>
            <w:pPr>
              <w:pStyle w:val="84"/>
              <w:bidi w:val="0"/>
              <w:rPr>
                <w:color w:val="auto"/>
                <w:highlight w:val="none"/>
              </w:rPr>
            </w:pPr>
            <w:r>
              <w:rPr>
                <w:color w:val="auto"/>
                <w:highlight w:val="none"/>
              </w:rPr>
              <w:t>防尘网苫盖</w:t>
            </w:r>
          </w:p>
        </w:tc>
        <w:tc>
          <w:tcPr>
            <w:tcW w:w="706" w:type="pct"/>
            <w:shd w:val="clear" w:color="auto" w:fill="auto"/>
            <w:vAlign w:val="center"/>
          </w:tcPr>
          <w:p>
            <w:pPr>
              <w:pStyle w:val="84"/>
              <w:bidi w:val="0"/>
              <w:rPr>
                <w:color w:val="auto"/>
                <w:highlight w:val="none"/>
              </w:rPr>
            </w:pPr>
            <w:r>
              <w:rPr>
                <w:color w:val="auto"/>
                <w:highlight w:val="none"/>
              </w:rPr>
              <w:t>m²</w:t>
            </w:r>
          </w:p>
        </w:tc>
        <w:tc>
          <w:tcPr>
            <w:tcW w:w="720" w:type="pct"/>
            <w:shd w:val="clear" w:color="auto" w:fill="auto"/>
            <w:vAlign w:val="center"/>
          </w:tcPr>
          <w:p>
            <w:pPr>
              <w:pStyle w:val="84"/>
              <w:bidi w:val="0"/>
              <w:rPr>
                <w:color w:val="auto"/>
                <w:highlight w:val="none"/>
              </w:rPr>
            </w:pPr>
            <w:r>
              <w:rPr>
                <w:rFonts w:hint="eastAsia"/>
                <w:color w:val="auto"/>
                <w:highlight w:val="none"/>
                <w:lang w:val="en-US" w:eastAsia="zh-CN"/>
              </w:rPr>
              <w:t>8</w:t>
            </w:r>
            <w:r>
              <w:rPr>
                <w:color w:val="auto"/>
                <w:highlight w:val="none"/>
              </w:rPr>
              <w:t xml:space="preserve">00 </w:t>
            </w:r>
          </w:p>
        </w:tc>
        <w:tc>
          <w:tcPr>
            <w:tcW w:w="825" w:type="pct"/>
            <w:shd w:val="clear" w:color="auto" w:fill="auto"/>
            <w:vAlign w:val="center"/>
          </w:tcPr>
          <w:p>
            <w:pPr>
              <w:pStyle w:val="84"/>
              <w:bidi w:val="0"/>
              <w:rPr>
                <w:color w:val="auto"/>
                <w:highlight w:val="none"/>
              </w:rPr>
            </w:pPr>
            <w:r>
              <w:rPr>
                <w:color w:val="auto"/>
                <w:highlight w:val="none"/>
              </w:rPr>
              <w:t xml:space="preserve">10.13 </w:t>
            </w:r>
          </w:p>
        </w:tc>
        <w:tc>
          <w:tcPr>
            <w:tcW w:w="1825" w:type="dxa"/>
            <w:shd w:val="clear" w:color="auto" w:fill="auto"/>
            <w:vAlign w:val="center"/>
          </w:tcPr>
          <w:p>
            <w:pPr>
              <w:pStyle w:val="84"/>
              <w:bidi w:val="0"/>
              <w:rPr>
                <w:color w:val="auto"/>
                <w:highlight w:val="none"/>
              </w:rPr>
            </w:pPr>
            <w:r>
              <w:rPr>
                <w:rFonts w:hint="eastAsia"/>
                <w:color w:val="auto"/>
                <w:highlight w:val="none"/>
                <w:lang w:val="en-US" w:eastAsia="zh-CN"/>
              </w:rPr>
              <w:t xml:space="preserve">8106.97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19" w:type="pct"/>
            <w:shd w:val="clear" w:color="auto" w:fill="auto"/>
            <w:vAlign w:val="center"/>
          </w:tcPr>
          <w:p>
            <w:pPr>
              <w:pStyle w:val="84"/>
              <w:bidi w:val="0"/>
              <w:rPr>
                <w:color w:val="auto"/>
                <w:highlight w:val="none"/>
              </w:rPr>
            </w:pPr>
            <w:r>
              <w:rPr>
                <w:color w:val="auto"/>
                <w:highlight w:val="none"/>
              </w:rPr>
              <w:t>四</w:t>
            </w:r>
          </w:p>
        </w:tc>
        <w:tc>
          <w:tcPr>
            <w:tcW w:w="1020" w:type="pct"/>
            <w:shd w:val="clear" w:color="auto" w:fill="auto"/>
            <w:vAlign w:val="center"/>
          </w:tcPr>
          <w:p>
            <w:pPr>
              <w:pStyle w:val="84"/>
              <w:bidi w:val="0"/>
              <w:rPr>
                <w:color w:val="auto"/>
                <w:highlight w:val="none"/>
              </w:rPr>
            </w:pPr>
            <w:r>
              <w:rPr>
                <w:color w:val="auto"/>
                <w:highlight w:val="none"/>
              </w:rPr>
              <w:t>施工生产区</w:t>
            </w:r>
          </w:p>
        </w:tc>
        <w:tc>
          <w:tcPr>
            <w:tcW w:w="706" w:type="pct"/>
            <w:shd w:val="clear" w:color="auto" w:fill="auto"/>
            <w:vAlign w:val="center"/>
          </w:tcPr>
          <w:p>
            <w:pPr>
              <w:pStyle w:val="84"/>
              <w:bidi w:val="0"/>
              <w:rPr>
                <w:color w:val="auto"/>
                <w:highlight w:val="none"/>
              </w:rPr>
            </w:pPr>
            <w:r>
              <w:rPr>
                <w:color w:val="auto"/>
                <w:highlight w:val="none"/>
              </w:rPr>
              <w:t>　</w:t>
            </w:r>
          </w:p>
        </w:tc>
        <w:tc>
          <w:tcPr>
            <w:tcW w:w="720" w:type="pct"/>
            <w:shd w:val="clear" w:color="auto" w:fill="auto"/>
            <w:vAlign w:val="center"/>
          </w:tcPr>
          <w:p>
            <w:pPr>
              <w:pStyle w:val="84"/>
              <w:bidi w:val="0"/>
              <w:rPr>
                <w:color w:val="auto"/>
                <w:highlight w:val="none"/>
              </w:rPr>
            </w:pPr>
            <w:r>
              <w:rPr>
                <w:color w:val="auto"/>
                <w:highlight w:val="none"/>
              </w:rPr>
              <w:t>　</w:t>
            </w:r>
          </w:p>
        </w:tc>
        <w:tc>
          <w:tcPr>
            <w:tcW w:w="825" w:type="pct"/>
            <w:shd w:val="clear" w:color="auto" w:fill="auto"/>
            <w:vAlign w:val="center"/>
          </w:tcPr>
          <w:p>
            <w:pPr>
              <w:pStyle w:val="84"/>
              <w:bidi w:val="0"/>
              <w:rPr>
                <w:color w:val="auto"/>
                <w:highlight w:val="none"/>
              </w:rPr>
            </w:pPr>
            <w:r>
              <w:rPr>
                <w:color w:val="auto"/>
                <w:highlight w:val="none"/>
              </w:rPr>
              <w:t>　</w:t>
            </w:r>
          </w:p>
        </w:tc>
        <w:tc>
          <w:tcPr>
            <w:tcW w:w="1825" w:type="dxa"/>
            <w:shd w:val="clear" w:color="auto" w:fill="auto"/>
            <w:vAlign w:val="center"/>
          </w:tcPr>
          <w:p>
            <w:pPr>
              <w:pStyle w:val="84"/>
              <w:bidi w:val="0"/>
              <w:rPr>
                <w:color w:val="auto"/>
                <w:highlight w:val="none"/>
              </w:rPr>
            </w:pPr>
            <w:r>
              <w:rPr>
                <w:rFonts w:hint="eastAsia"/>
                <w:color w:val="auto"/>
                <w:highlight w:val="none"/>
                <w:lang w:val="en-US" w:eastAsia="zh-CN"/>
              </w:rPr>
              <w:t xml:space="preserve">2026.74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19" w:type="pct"/>
            <w:shd w:val="clear" w:color="auto" w:fill="auto"/>
            <w:vAlign w:val="center"/>
          </w:tcPr>
          <w:p>
            <w:pPr>
              <w:pStyle w:val="84"/>
              <w:bidi w:val="0"/>
              <w:rPr>
                <w:color w:val="auto"/>
                <w:highlight w:val="none"/>
              </w:rPr>
            </w:pPr>
            <w:r>
              <w:rPr>
                <w:color w:val="auto"/>
                <w:highlight w:val="none"/>
              </w:rPr>
              <w:t xml:space="preserve">1 </w:t>
            </w:r>
          </w:p>
        </w:tc>
        <w:tc>
          <w:tcPr>
            <w:tcW w:w="1020" w:type="pct"/>
            <w:shd w:val="clear" w:color="auto" w:fill="auto"/>
            <w:vAlign w:val="center"/>
          </w:tcPr>
          <w:p>
            <w:pPr>
              <w:pStyle w:val="84"/>
              <w:bidi w:val="0"/>
              <w:rPr>
                <w:color w:val="auto"/>
                <w:highlight w:val="none"/>
              </w:rPr>
            </w:pPr>
            <w:r>
              <w:rPr>
                <w:color w:val="auto"/>
                <w:highlight w:val="none"/>
              </w:rPr>
              <w:t>彩钢板围栏</w:t>
            </w:r>
          </w:p>
        </w:tc>
        <w:tc>
          <w:tcPr>
            <w:tcW w:w="706" w:type="pct"/>
            <w:shd w:val="clear" w:color="auto" w:fill="auto"/>
            <w:vAlign w:val="center"/>
          </w:tcPr>
          <w:p>
            <w:pPr>
              <w:pStyle w:val="84"/>
              <w:bidi w:val="0"/>
              <w:rPr>
                <w:color w:val="auto"/>
                <w:highlight w:val="none"/>
              </w:rPr>
            </w:pPr>
            <w:r>
              <w:rPr>
                <w:color w:val="auto"/>
                <w:highlight w:val="none"/>
              </w:rPr>
              <w:t>m</w:t>
            </w:r>
          </w:p>
        </w:tc>
        <w:tc>
          <w:tcPr>
            <w:tcW w:w="720" w:type="pct"/>
            <w:shd w:val="clear" w:color="auto" w:fill="auto"/>
            <w:vAlign w:val="center"/>
          </w:tcPr>
          <w:p>
            <w:pPr>
              <w:pStyle w:val="84"/>
              <w:bidi w:val="0"/>
              <w:rPr>
                <w:color w:val="auto"/>
                <w:highlight w:val="none"/>
              </w:rPr>
            </w:pPr>
            <w:r>
              <w:rPr>
                <w:rFonts w:hint="eastAsia"/>
                <w:color w:val="auto"/>
                <w:highlight w:val="none"/>
                <w:lang w:val="en-US" w:eastAsia="zh-CN"/>
              </w:rPr>
              <w:t>200</w:t>
            </w:r>
            <w:r>
              <w:rPr>
                <w:color w:val="auto"/>
                <w:highlight w:val="none"/>
              </w:rPr>
              <w:t xml:space="preserve"> </w:t>
            </w:r>
          </w:p>
        </w:tc>
        <w:tc>
          <w:tcPr>
            <w:tcW w:w="825" w:type="pct"/>
            <w:shd w:val="clear" w:color="auto" w:fill="auto"/>
            <w:vAlign w:val="center"/>
          </w:tcPr>
          <w:p>
            <w:pPr>
              <w:pStyle w:val="84"/>
              <w:bidi w:val="0"/>
              <w:rPr>
                <w:color w:val="auto"/>
                <w:highlight w:val="none"/>
              </w:rPr>
            </w:pPr>
            <w:r>
              <w:rPr>
                <w:color w:val="auto"/>
                <w:highlight w:val="none"/>
              </w:rPr>
              <w:t xml:space="preserve">45.84 </w:t>
            </w:r>
          </w:p>
        </w:tc>
        <w:tc>
          <w:tcPr>
            <w:tcW w:w="1825" w:type="dxa"/>
            <w:shd w:val="clear" w:color="auto" w:fill="auto"/>
            <w:vAlign w:val="center"/>
          </w:tcPr>
          <w:p>
            <w:pPr>
              <w:pStyle w:val="84"/>
              <w:bidi w:val="0"/>
              <w:rPr>
                <w:color w:val="auto"/>
                <w:highlight w:val="none"/>
              </w:rPr>
            </w:pPr>
            <w:r>
              <w:rPr>
                <w:rFonts w:hint="eastAsia"/>
                <w:color w:val="auto"/>
                <w:highlight w:val="none"/>
                <w:lang w:val="en-US" w:eastAsia="zh-CN"/>
              </w:rPr>
              <w:t xml:space="preserve">2026.74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19" w:type="pct"/>
            <w:shd w:val="clear" w:color="auto" w:fill="auto"/>
            <w:noWrap/>
            <w:vAlign w:val="center"/>
          </w:tcPr>
          <w:p>
            <w:pPr>
              <w:pStyle w:val="84"/>
              <w:bidi w:val="0"/>
              <w:rPr>
                <w:color w:val="auto"/>
                <w:highlight w:val="none"/>
              </w:rPr>
            </w:pPr>
            <w:r>
              <w:rPr>
                <w:color w:val="auto"/>
                <w:highlight w:val="none"/>
              </w:rPr>
              <w:t>五</w:t>
            </w:r>
          </w:p>
        </w:tc>
        <w:tc>
          <w:tcPr>
            <w:tcW w:w="1020" w:type="pct"/>
            <w:shd w:val="clear" w:color="auto" w:fill="auto"/>
            <w:noWrap/>
            <w:vAlign w:val="center"/>
          </w:tcPr>
          <w:p>
            <w:pPr>
              <w:pStyle w:val="84"/>
              <w:bidi w:val="0"/>
              <w:rPr>
                <w:color w:val="auto"/>
                <w:highlight w:val="none"/>
              </w:rPr>
            </w:pPr>
            <w:r>
              <w:rPr>
                <w:color w:val="auto"/>
                <w:highlight w:val="none"/>
              </w:rPr>
              <w:t>其他临时工程</w:t>
            </w:r>
          </w:p>
        </w:tc>
        <w:tc>
          <w:tcPr>
            <w:tcW w:w="706" w:type="pct"/>
            <w:shd w:val="clear" w:color="auto" w:fill="auto"/>
            <w:noWrap/>
            <w:vAlign w:val="center"/>
          </w:tcPr>
          <w:p>
            <w:pPr>
              <w:pStyle w:val="84"/>
              <w:bidi w:val="0"/>
              <w:rPr>
                <w:color w:val="auto"/>
                <w:highlight w:val="none"/>
              </w:rPr>
            </w:pPr>
            <w:r>
              <w:rPr>
                <w:color w:val="auto"/>
                <w:highlight w:val="none"/>
              </w:rPr>
              <w:t>　</w:t>
            </w:r>
          </w:p>
        </w:tc>
        <w:tc>
          <w:tcPr>
            <w:tcW w:w="720" w:type="pct"/>
            <w:shd w:val="clear" w:color="auto" w:fill="auto"/>
            <w:noWrap/>
            <w:vAlign w:val="center"/>
          </w:tcPr>
          <w:p>
            <w:pPr>
              <w:pStyle w:val="84"/>
              <w:bidi w:val="0"/>
              <w:rPr>
                <w:color w:val="auto"/>
                <w:highlight w:val="none"/>
              </w:rPr>
            </w:pPr>
            <w:r>
              <w:rPr>
                <w:rFonts w:hint="eastAsia"/>
                <w:color w:val="auto"/>
                <w:highlight w:val="none"/>
                <w:lang w:val="en-US" w:eastAsia="zh-CN"/>
              </w:rPr>
              <w:t>113377</w:t>
            </w:r>
            <w:r>
              <w:rPr>
                <w:color w:val="auto"/>
                <w:highlight w:val="none"/>
              </w:rPr>
              <w:t xml:space="preserve"> </w:t>
            </w:r>
          </w:p>
        </w:tc>
        <w:tc>
          <w:tcPr>
            <w:tcW w:w="825" w:type="pct"/>
            <w:shd w:val="clear" w:color="auto" w:fill="auto"/>
            <w:noWrap/>
            <w:vAlign w:val="center"/>
          </w:tcPr>
          <w:p>
            <w:pPr>
              <w:pStyle w:val="84"/>
              <w:bidi w:val="0"/>
              <w:rPr>
                <w:color w:val="auto"/>
                <w:highlight w:val="none"/>
              </w:rPr>
            </w:pPr>
            <w:r>
              <w:rPr>
                <w:color w:val="auto"/>
                <w:highlight w:val="none"/>
              </w:rPr>
              <w:t xml:space="preserve">0.02 </w:t>
            </w:r>
          </w:p>
        </w:tc>
        <w:tc>
          <w:tcPr>
            <w:tcW w:w="1825" w:type="dxa"/>
            <w:shd w:val="clear" w:color="auto" w:fill="auto"/>
            <w:noWrap/>
            <w:vAlign w:val="center"/>
          </w:tcPr>
          <w:p>
            <w:pPr>
              <w:pStyle w:val="84"/>
              <w:bidi w:val="0"/>
              <w:rPr>
                <w:color w:val="auto"/>
                <w:highlight w:val="none"/>
              </w:rPr>
            </w:pPr>
            <w:r>
              <w:rPr>
                <w:rFonts w:hint="eastAsia"/>
                <w:color w:val="auto"/>
                <w:highlight w:val="none"/>
                <w:lang w:val="en-US" w:eastAsia="zh-CN"/>
              </w:rPr>
              <w:t xml:space="preserve">2267.55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1740" w:type="pct"/>
            <w:gridSpan w:val="2"/>
            <w:shd w:val="clear" w:color="auto" w:fill="auto"/>
            <w:noWrap/>
            <w:vAlign w:val="center"/>
          </w:tcPr>
          <w:p>
            <w:pPr>
              <w:pStyle w:val="84"/>
              <w:bidi w:val="0"/>
              <w:rPr>
                <w:color w:val="auto"/>
                <w:highlight w:val="none"/>
              </w:rPr>
            </w:pPr>
            <w:r>
              <w:rPr>
                <w:color w:val="auto"/>
                <w:highlight w:val="none"/>
              </w:rPr>
              <w:t>合计</w:t>
            </w:r>
          </w:p>
        </w:tc>
        <w:tc>
          <w:tcPr>
            <w:tcW w:w="706" w:type="pct"/>
            <w:shd w:val="clear" w:color="auto" w:fill="auto"/>
            <w:noWrap/>
            <w:vAlign w:val="center"/>
          </w:tcPr>
          <w:p>
            <w:pPr>
              <w:pStyle w:val="84"/>
              <w:bidi w:val="0"/>
              <w:rPr>
                <w:color w:val="auto"/>
                <w:highlight w:val="none"/>
              </w:rPr>
            </w:pPr>
            <w:r>
              <w:rPr>
                <w:color w:val="auto"/>
                <w:highlight w:val="none"/>
              </w:rPr>
              <w:t>　</w:t>
            </w:r>
          </w:p>
        </w:tc>
        <w:tc>
          <w:tcPr>
            <w:tcW w:w="720" w:type="pct"/>
            <w:shd w:val="clear" w:color="auto" w:fill="auto"/>
            <w:noWrap/>
            <w:vAlign w:val="center"/>
          </w:tcPr>
          <w:p>
            <w:pPr>
              <w:pStyle w:val="84"/>
              <w:bidi w:val="0"/>
              <w:rPr>
                <w:color w:val="auto"/>
                <w:highlight w:val="none"/>
              </w:rPr>
            </w:pPr>
            <w:r>
              <w:rPr>
                <w:color w:val="auto"/>
                <w:highlight w:val="none"/>
              </w:rPr>
              <w:t>　</w:t>
            </w:r>
          </w:p>
        </w:tc>
        <w:tc>
          <w:tcPr>
            <w:tcW w:w="825" w:type="pct"/>
            <w:shd w:val="clear" w:color="auto" w:fill="auto"/>
            <w:noWrap/>
            <w:vAlign w:val="center"/>
          </w:tcPr>
          <w:p>
            <w:pPr>
              <w:pStyle w:val="84"/>
              <w:bidi w:val="0"/>
              <w:rPr>
                <w:color w:val="auto"/>
                <w:highlight w:val="none"/>
              </w:rPr>
            </w:pPr>
            <w:r>
              <w:rPr>
                <w:color w:val="auto"/>
                <w:highlight w:val="none"/>
              </w:rPr>
              <w:t>　</w:t>
            </w:r>
          </w:p>
        </w:tc>
        <w:tc>
          <w:tcPr>
            <w:tcW w:w="1825" w:type="dxa"/>
            <w:shd w:val="clear" w:color="auto" w:fill="auto"/>
            <w:noWrap/>
            <w:vAlign w:val="center"/>
          </w:tcPr>
          <w:p>
            <w:pPr>
              <w:pStyle w:val="84"/>
              <w:bidi w:val="0"/>
              <w:rPr>
                <w:color w:val="auto"/>
                <w:highlight w:val="none"/>
              </w:rPr>
            </w:pPr>
            <w:r>
              <w:rPr>
                <w:rFonts w:hint="eastAsia"/>
                <w:color w:val="auto"/>
                <w:highlight w:val="none"/>
                <w:lang w:val="en-US" w:eastAsia="zh-CN"/>
              </w:rPr>
              <w:t xml:space="preserve">163431.54 </w:t>
            </w:r>
          </w:p>
        </w:tc>
      </w:tr>
    </w:tbl>
    <w:p>
      <w:pPr>
        <w:pStyle w:val="75"/>
        <w:rPr>
          <w:color w:val="auto"/>
          <w:highlight w:val="none"/>
        </w:rPr>
      </w:pPr>
    </w:p>
    <w:p>
      <w:pPr>
        <w:widowControl/>
        <w:adjustRightInd/>
        <w:snapToGrid/>
        <w:spacing w:line="240" w:lineRule="auto"/>
        <w:ind w:firstLine="0" w:firstLineChars="0"/>
        <w:jc w:val="left"/>
        <w:rPr>
          <w:rFonts w:eastAsia="仿宋_GB2312"/>
          <w:b/>
          <w:bCs/>
          <w:color w:val="auto"/>
          <w:kern w:val="0"/>
          <w:szCs w:val="21"/>
          <w:highlight w:val="none"/>
        </w:rPr>
      </w:pPr>
      <w:r>
        <w:rPr>
          <w:color w:val="auto"/>
          <w:highlight w:val="none"/>
        </w:rPr>
        <w:br w:type="page"/>
      </w:r>
    </w:p>
    <w:p>
      <w:pPr>
        <w:pStyle w:val="75"/>
        <w:rPr>
          <w:color w:val="auto"/>
          <w:highlight w:val="none"/>
        </w:rPr>
      </w:pPr>
      <w:r>
        <w:rPr>
          <w:color w:val="auto"/>
          <w:highlight w:val="none"/>
        </w:rPr>
        <w:t>表7.1-</w:t>
      </w:r>
      <w:r>
        <w:rPr>
          <w:rFonts w:hint="eastAsia"/>
          <w:color w:val="auto"/>
          <w:highlight w:val="none"/>
          <w:lang w:val="en-US" w:eastAsia="zh-CN"/>
        </w:rPr>
        <w:t>7</w:t>
      </w:r>
      <w:r>
        <w:rPr>
          <w:color w:val="auto"/>
          <w:highlight w:val="none"/>
        </w:rPr>
        <w:t xml:space="preserve">        独立费用计算表       单位：万元</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06"/>
        <w:gridCol w:w="1464"/>
        <w:gridCol w:w="3667"/>
        <w:gridCol w:w="2272"/>
        <w:gridCol w:w="11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087" w:type="pct"/>
            <w:gridSpan w:val="2"/>
            <w:shd w:val="clear" w:color="auto" w:fill="auto"/>
            <w:vAlign w:val="center"/>
          </w:tcPr>
          <w:p>
            <w:pPr>
              <w:pStyle w:val="84"/>
              <w:rPr>
                <w:color w:val="auto"/>
                <w:szCs w:val="20"/>
                <w:highlight w:val="none"/>
              </w:rPr>
            </w:pPr>
            <w:r>
              <w:rPr>
                <w:color w:val="auto"/>
                <w:highlight w:val="none"/>
              </w:rPr>
              <w:t>项目名称</w:t>
            </w:r>
          </w:p>
        </w:tc>
        <w:tc>
          <w:tcPr>
            <w:tcW w:w="2024" w:type="pct"/>
            <w:shd w:val="clear" w:color="auto" w:fill="auto"/>
            <w:vAlign w:val="center"/>
          </w:tcPr>
          <w:p>
            <w:pPr>
              <w:pStyle w:val="84"/>
              <w:rPr>
                <w:color w:val="auto"/>
                <w:szCs w:val="20"/>
                <w:highlight w:val="none"/>
              </w:rPr>
            </w:pPr>
            <w:r>
              <w:rPr>
                <w:color w:val="auto"/>
                <w:highlight w:val="none"/>
              </w:rPr>
              <w:t>编制依据</w:t>
            </w:r>
          </w:p>
        </w:tc>
        <w:tc>
          <w:tcPr>
            <w:tcW w:w="1254" w:type="pct"/>
            <w:shd w:val="clear" w:color="auto" w:fill="auto"/>
            <w:vAlign w:val="center"/>
          </w:tcPr>
          <w:p>
            <w:pPr>
              <w:pStyle w:val="84"/>
              <w:rPr>
                <w:color w:val="auto"/>
                <w:szCs w:val="20"/>
                <w:highlight w:val="none"/>
              </w:rPr>
            </w:pPr>
            <w:r>
              <w:rPr>
                <w:color w:val="auto"/>
                <w:highlight w:val="none"/>
              </w:rPr>
              <w:t>计算公式</w:t>
            </w:r>
          </w:p>
        </w:tc>
        <w:tc>
          <w:tcPr>
            <w:tcW w:w="635" w:type="pct"/>
            <w:shd w:val="clear" w:color="auto" w:fill="auto"/>
            <w:vAlign w:val="center"/>
          </w:tcPr>
          <w:p>
            <w:pPr>
              <w:pStyle w:val="84"/>
              <w:rPr>
                <w:color w:val="auto"/>
                <w:szCs w:val="20"/>
                <w:highlight w:val="none"/>
              </w:rPr>
            </w:pPr>
            <w:r>
              <w:rPr>
                <w:color w:val="auto"/>
                <w:highlight w:val="none"/>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2" w:hRule="atLeast"/>
          <w:jc w:val="center"/>
        </w:trPr>
        <w:tc>
          <w:tcPr>
            <w:tcW w:w="279" w:type="pct"/>
            <w:vMerge w:val="restart"/>
            <w:shd w:val="clear" w:color="auto" w:fill="auto"/>
            <w:noWrap/>
            <w:textDirection w:val="tbRlV"/>
            <w:vAlign w:val="center"/>
          </w:tcPr>
          <w:p>
            <w:pPr>
              <w:pStyle w:val="84"/>
              <w:rPr>
                <w:color w:val="auto"/>
                <w:szCs w:val="20"/>
                <w:highlight w:val="none"/>
              </w:rPr>
            </w:pPr>
            <w:r>
              <w:rPr>
                <w:color w:val="auto"/>
                <w:highlight w:val="none"/>
              </w:rPr>
              <w:t>独立费用</w:t>
            </w:r>
          </w:p>
        </w:tc>
        <w:tc>
          <w:tcPr>
            <w:tcW w:w="808" w:type="pct"/>
            <w:shd w:val="clear" w:color="auto" w:fill="auto"/>
            <w:vAlign w:val="center"/>
          </w:tcPr>
          <w:p>
            <w:pPr>
              <w:pStyle w:val="84"/>
              <w:rPr>
                <w:color w:val="auto"/>
                <w:szCs w:val="20"/>
                <w:highlight w:val="none"/>
              </w:rPr>
            </w:pPr>
            <w:r>
              <w:rPr>
                <w:color w:val="auto"/>
                <w:highlight w:val="none"/>
              </w:rPr>
              <w:t>建设管理费</w:t>
            </w:r>
          </w:p>
        </w:tc>
        <w:tc>
          <w:tcPr>
            <w:tcW w:w="2024" w:type="pct"/>
            <w:shd w:val="clear" w:color="auto" w:fill="auto"/>
            <w:vAlign w:val="center"/>
          </w:tcPr>
          <w:p>
            <w:pPr>
              <w:pStyle w:val="84"/>
              <w:rPr>
                <w:color w:val="auto"/>
                <w:szCs w:val="20"/>
                <w:highlight w:val="none"/>
              </w:rPr>
            </w:pPr>
            <w:r>
              <w:rPr>
                <w:color w:val="auto"/>
                <w:highlight w:val="none"/>
              </w:rPr>
              <w:t>《开发建设项目水土保持工程概（估）算编制规定》67号文水利部。此项费用与主体工程合并使用</w:t>
            </w:r>
          </w:p>
        </w:tc>
        <w:tc>
          <w:tcPr>
            <w:tcW w:w="1254" w:type="pct"/>
            <w:shd w:val="clear" w:color="auto" w:fill="auto"/>
            <w:vAlign w:val="center"/>
          </w:tcPr>
          <w:p>
            <w:pPr>
              <w:pStyle w:val="84"/>
              <w:rPr>
                <w:color w:val="auto"/>
                <w:szCs w:val="20"/>
                <w:highlight w:val="none"/>
              </w:rPr>
            </w:pPr>
            <w:r>
              <w:rPr>
                <w:color w:val="auto"/>
                <w:highlight w:val="none"/>
              </w:rPr>
              <w:t>新增措施投资×2.0%</w:t>
            </w:r>
          </w:p>
        </w:tc>
        <w:tc>
          <w:tcPr>
            <w:tcW w:w="635" w:type="pct"/>
            <w:shd w:val="clear" w:color="auto" w:fill="auto"/>
            <w:vAlign w:val="center"/>
          </w:tcPr>
          <w:p>
            <w:pPr>
              <w:pStyle w:val="84"/>
              <w:rPr>
                <w:rFonts w:hint="eastAsia" w:eastAsia="仿宋_GB2312"/>
                <w:color w:val="auto"/>
                <w:highlight w:val="none"/>
                <w:lang w:eastAsia="zh-CN"/>
              </w:rPr>
            </w:pPr>
            <w:r>
              <w:rPr>
                <w:color w:val="auto"/>
                <w:highlight w:val="none"/>
              </w:rPr>
              <w:t>0.3</w:t>
            </w:r>
            <w:r>
              <w:rPr>
                <w:rFonts w:hint="eastAsia"/>
                <w:color w:val="auto"/>
                <w:highlight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9" w:hRule="atLeast"/>
          <w:jc w:val="center"/>
        </w:trPr>
        <w:tc>
          <w:tcPr>
            <w:tcW w:w="279" w:type="pct"/>
            <w:vMerge w:val="continue"/>
            <w:vAlign w:val="center"/>
          </w:tcPr>
          <w:p>
            <w:pPr>
              <w:pStyle w:val="84"/>
              <w:rPr>
                <w:color w:val="auto"/>
                <w:szCs w:val="20"/>
                <w:highlight w:val="none"/>
              </w:rPr>
            </w:pPr>
          </w:p>
        </w:tc>
        <w:tc>
          <w:tcPr>
            <w:tcW w:w="808" w:type="pct"/>
            <w:shd w:val="clear" w:color="auto" w:fill="auto"/>
            <w:vAlign w:val="center"/>
          </w:tcPr>
          <w:p>
            <w:pPr>
              <w:pStyle w:val="84"/>
              <w:rPr>
                <w:color w:val="auto"/>
                <w:szCs w:val="20"/>
                <w:highlight w:val="none"/>
              </w:rPr>
            </w:pPr>
            <w:r>
              <w:rPr>
                <w:color w:val="auto"/>
                <w:highlight w:val="none"/>
              </w:rPr>
              <w:t>水土保持监理费</w:t>
            </w:r>
          </w:p>
        </w:tc>
        <w:tc>
          <w:tcPr>
            <w:tcW w:w="2024" w:type="pct"/>
            <w:shd w:val="clear" w:color="auto" w:fill="auto"/>
            <w:vAlign w:val="center"/>
          </w:tcPr>
          <w:p>
            <w:pPr>
              <w:pStyle w:val="84"/>
              <w:rPr>
                <w:color w:val="auto"/>
                <w:szCs w:val="20"/>
                <w:highlight w:val="none"/>
              </w:rPr>
            </w:pPr>
            <w:r>
              <w:rPr>
                <w:color w:val="auto"/>
                <w:highlight w:val="none"/>
              </w:rPr>
              <w:t>国家发展与改革委员会办公厅、建设部办公厅《关于印发修订建设监理与咨询服务费收费标准的工作方案的通知》（发改办价格[2007]670号）</w:t>
            </w:r>
          </w:p>
        </w:tc>
        <w:tc>
          <w:tcPr>
            <w:tcW w:w="1254" w:type="pct"/>
            <w:shd w:val="clear" w:color="auto" w:fill="auto"/>
            <w:vAlign w:val="center"/>
          </w:tcPr>
          <w:p>
            <w:pPr>
              <w:pStyle w:val="84"/>
              <w:rPr>
                <w:color w:val="auto"/>
                <w:szCs w:val="20"/>
                <w:highlight w:val="none"/>
              </w:rPr>
            </w:pPr>
            <w:r>
              <w:rPr>
                <w:color w:val="auto"/>
                <w:highlight w:val="none"/>
              </w:rPr>
              <w:t>结合水土保持监理费取费依据以及项目建设实际情况确定</w:t>
            </w:r>
          </w:p>
        </w:tc>
        <w:tc>
          <w:tcPr>
            <w:tcW w:w="635" w:type="pct"/>
            <w:shd w:val="clear" w:color="auto" w:fill="auto"/>
            <w:vAlign w:val="center"/>
          </w:tcPr>
          <w:p>
            <w:pPr>
              <w:pStyle w:val="84"/>
              <w:rPr>
                <w:color w:val="auto"/>
                <w:highlight w:val="none"/>
              </w:rPr>
            </w:pPr>
            <w:r>
              <w:rPr>
                <w:color w:val="auto"/>
                <w:highlight w:val="none"/>
              </w:rPr>
              <w:t xml:space="preserve">1.50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279" w:type="pct"/>
            <w:vMerge w:val="continue"/>
            <w:vAlign w:val="center"/>
          </w:tcPr>
          <w:p>
            <w:pPr>
              <w:pStyle w:val="84"/>
              <w:rPr>
                <w:color w:val="auto"/>
                <w:szCs w:val="20"/>
                <w:highlight w:val="none"/>
              </w:rPr>
            </w:pPr>
          </w:p>
        </w:tc>
        <w:tc>
          <w:tcPr>
            <w:tcW w:w="808" w:type="pct"/>
            <w:shd w:val="clear" w:color="auto" w:fill="auto"/>
            <w:vAlign w:val="center"/>
          </w:tcPr>
          <w:p>
            <w:pPr>
              <w:pStyle w:val="84"/>
              <w:rPr>
                <w:color w:val="auto"/>
                <w:szCs w:val="20"/>
                <w:highlight w:val="none"/>
              </w:rPr>
            </w:pPr>
            <w:r>
              <w:rPr>
                <w:color w:val="auto"/>
                <w:highlight w:val="none"/>
              </w:rPr>
              <w:t>科研勘探设计费</w:t>
            </w:r>
          </w:p>
        </w:tc>
        <w:tc>
          <w:tcPr>
            <w:tcW w:w="2024" w:type="pct"/>
            <w:shd w:val="clear" w:color="auto" w:fill="auto"/>
            <w:vAlign w:val="center"/>
          </w:tcPr>
          <w:p>
            <w:pPr>
              <w:pStyle w:val="84"/>
              <w:rPr>
                <w:color w:val="auto"/>
                <w:szCs w:val="20"/>
                <w:highlight w:val="none"/>
              </w:rPr>
            </w:pPr>
            <w:r>
              <w:rPr>
                <w:color w:val="auto"/>
                <w:highlight w:val="none"/>
              </w:rPr>
              <w:t>根据建设部[2002]10号文，为方案编制费+勘测设计费</w:t>
            </w:r>
          </w:p>
        </w:tc>
        <w:tc>
          <w:tcPr>
            <w:tcW w:w="1254" w:type="pct"/>
            <w:shd w:val="clear" w:color="auto" w:fill="auto"/>
            <w:vAlign w:val="center"/>
          </w:tcPr>
          <w:p>
            <w:pPr>
              <w:pStyle w:val="84"/>
              <w:rPr>
                <w:color w:val="auto"/>
                <w:szCs w:val="20"/>
                <w:highlight w:val="none"/>
              </w:rPr>
            </w:pPr>
            <w:r>
              <w:rPr>
                <w:color w:val="auto"/>
                <w:highlight w:val="none"/>
              </w:rPr>
              <w:t>勘测设计费不计列，方案编制费根据实际合同额确定</w:t>
            </w:r>
          </w:p>
        </w:tc>
        <w:tc>
          <w:tcPr>
            <w:tcW w:w="635" w:type="pct"/>
            <w:shd w:val="clear" w:color="auto" w:fill="auto"/>
            <w:vAlign w:val="center"/>
          </w:tcPr>
          <w:p>
            <w:pPr>
              <w:pStyle w:val="84"/>
              <w:rPr>
                <w:rFonts w:hint="default" w:eastAsia="仿宋_GB2312"/>
                <w:color w:val="auto"/>
                <w:highlight w:val="none"/>
                <w:lang w:val="en-US" w:eastAsia="zh-CN"/>
              </w:rPr>
            </w:pPr>
            <w:r>
              <w:rPr>
                <w:rFonts w:hint="eastAsia"/>
                <w:color w:val="auto"/>
                <w:highlight w:val="none"/>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5" w:hRule="atLeast"/>
          <w:jc w:val="center"/>
        </w:trPr>
        <w:tc>
          <w:tcPr>
            <w:tcW w:w="279" w:type="pct"/>
            <w:vMerge w:val="continue"/>
            <w:vAlign w:val="center"/>
          </w:tcPr>
          <w:p>
            <w:pPr>
              <w:pStyle w:val="84"/>
              <w:rPr>
                <w:color w:val="auto"/>
                <w:szCs w:val="20"/>
                <w:highlight w:val="none"/>
              </w:rPr>
            </w:pPr>
          </w:p>
        </w:tc>
        <w:tc>
          <w:tcPr>
            <w:tcW w:w="808" w:type="pct"/>
            <w:shd w:val="clear" w:color="auto" w:fill="auto"/>
            <w:vAlign w:val="center"/>
          </w:tcPr>
          <w:p>
            <w:pPr>
              <w:pStyle w:val="84"/>
              <w:rPr>
                <w:color w:val="auto"/>
                <w:szCs w:val="20"/>
                <w:highlight w:val="none"/>
              </w:rPr>
            </w:pPr>
            <w:r>
              <w:rPr>
                <w:color w:val="auto"/>
                <w:highlight w:val="none"/>
              </w:rPr>
              <w:t>水土保持监测费</w:t>
            </w:r>
          </w:p>
        </w:tc>
        <w:tc>
          <w:tcPr>
            <w:tcW w:w="2024" w:type="pct"/>
            <w:shd w:val="clear" w:color="auto" w:fill="auto"/>
            <w:vAlign w:val="center"/>
          </w:tcPr>
          <w:p>
            <w:pPr>
              <w:pStyle w:val="84"/>
              <w:rPr>
                <w:color w:val="auto"/>
                <w:highlight w:val="none"/>
              </w:rPr>
            </w:pPr>
            <w:r>
              <w:rPr>
                <w:color w:val="auto"/>
                <w:highlight w:val="none"/>
              </w:rPr>
              <w:t>根据《新疆维吾尔自治区实施&lt;中华人民共和国水土保持法&gt;办法》和《新疆维吾尔自治区生产建设项目水土保持方案管理办法》，报告表不要求监测</w:t>
            </w:r>
          </w:p>
        </w:tc>
        <w:tc>
          <w:tcPr>
            <w:tcW w:w="1254" w:type="pct"/>
            <w:shd w:val="clear" w:color="auto" w:fill="auto"/>
            <w:vAlign w:val="center"/>
          </w:tcPr>
          <w:p>
            <w:pPr>
              <w:pStyle w:val="84"/>
              <w:rPr>
                <w:color w:val="auto"/>
                <w:highlight w:val="none"/>
              </w:rPr>
            </w:pPr>
            <w:r>
              <w:rPr>
                <w:color w:val="auto"/>
                <w:highlight w:val="none"/>
              </w:rPr>
              <w:t>报告表不要求监测</w:t>
            </w:r>
          </w:p>
        </w:tc>
        <w:tc>
          <w:tcPr>
            <w:tcW w:w="635" w:type="pct"/>
            <w:shd w:val="clear" w:color="auto" w:fill="auto"/>
            <w:vAlign w:val="center"/>
          </w:tcPr>
          <w:p>
            <w:pPr>
              <w:pStyle w:val="84"/>
              <w:rPr>
                <w:color w:val="auto"/>
                <w:highlight w:val="none"/>
              </w:rPr>
            </w:pPr>
            <w:r>
              <w:rPr>
                <w:color w:val="auto"/>
                <w:highlight w:val="none"/>
              </w:rPr>
              <w:t xml:space="preserve">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279" w:type="pct"/>
            <w:vMerge w:val="continue"/>
            <w:vAlign w:val="center"/>
          </w:tcPr>
          <w:p>
            <w:pPr>
              <w:pStyle w:val="84"/>
              <w:rPr>
                <w:color w:val="auto"/>
                <w:szCs w:val="20"/>
                <w:highlight w:val="none"/>
              </w:rPr>
            </w:pPr>
          </w:p>
        </w:tc>
        <w:tc>
          <w:tcPr>
            <w:tcW w:w="808" w:type="pct"/>
            <w:shd w:val="clear" w:color="auto" w:fill="auto"/>
            <w:vAlign w:val="center"/>
          </w:tcPr>
          <w:p>
            <w:pPr>
              <w:pStyle w:val="84"/>
              <w:rPr>
                <w:color w:val="auto"/>
                <w:szCs w:val="20"/>
                <w:highlight w:val="none"/>
              </w:rPr>
            </w:pPr>
            <w:r>
              <w:rPr>
                <w:color w:val="auto"/>
                <w:highlight w:val="none"/>
              </w:rPr>
              <w:t>水土保持验收费</w:t>
            </w:r>
          </w:p>
        </w:tc>
        <w:tc>
          <w:tcPr>
            <w:tcW w:w="2024" w:type="pct"/>
            <w:shd w:val="clear" w:color="auto" w:fill="auto"/>
            <w:vAlign w:val="center"/>
          </w:tcPr>
          <w:p>
            <w:pPr>
              <w:pStyle w:val="84"/>
              <w:rPr>
                <w:color w:val="auto"/>
                <w:szCs w:val="20"/>
                <w:highlight w:val="none"/>
              </w:rPr>
            </w:pPr>
          </w:p>
        </w:tc>
        <w:tc>
          <w:tcPr>
            <w:tcW w:w="1254" w:type="pct"/>
            <w:shd w:val="clear" w:color="auto" w:fill="auto"/>
            <w:vAlign w:val="center"/>
          </w:tcPr>
          <w:p>
            <w:pPr>
              <w:pStyle w:val="84"/>
              <w:rPr>
                <w:color w:val="auto"/>
                <w:szCs w:val="20"/>
                <w:highlight w:val="none"/>
              </w:rPr>
            </w:pPr>
            <w:r>
              <w:rPr>
                <w:color w:val="auto"/>
                <w:highlight w:val="none"/>
              </w:rPr>
              <w:t>根据项目建设实际情况确定</w:t>
            </w:r>
          </w:p>
        </w:tc>
        <w:tc>
          <w:tcPr>
            <w:tcW w:w="635" w:type="pct"/>
            <w:shd w:val="clear" w:color="auto" w:fill="auto"/>
            <w:vAlign w:val="center"/>
          </w:tcPr>
          <w:p>
            <w:pPr>
              <w:pStyle w:val="84"/>
              <w:rPr>
                <w:color w:val="auto"/>
                <w:highlight w:val="none"/>
              </w:rPr>
            </w:pPr>
            <w:r>
              <w:rPr>
                <w:color w:val="auto"/>
                <w:highlight w:val="none"/>
              </w:rPr>
              <w:t>2.</w:t>
            </w:r>
            <w:r>
              <w:rPr>
                <w:rFonts w:hint="eastAsia"/>
                <w:color w:val="auto"/>
                <w:highlight w:val="none"/>
                <w:lang w:val="en-US" w:eastAsia="zh-CN"/>
              </w:rPr>
              <w:t>5</w:t>
            </w:r>
            <w:r>
              <w:rPr>
                <w:color w:val="auto"/>
                <w:highlight w:val="none"/>
              </w:rP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4365" w:type="pct"/>
            <w:gridSpan w:val="4"/>
            <w:shd w:val="clear" w:color="auto" w:fill="auto"/>
            <w:vAlign w:val="center"/>
          </w:tcPr>
          <w:p>
            <w:pPr>
              <w:pStyle w:val="84"/>
              <w:rPr>
                <w:color w:val="auto"/>
                <w:szCs w:val="20"/>
                <w:highlight w:val="none"/>
              </w:rPr>
            </w:pPr>
            <w:r>
              <w:rPr>
                <w:color w:val="auto"/>
                <w:highlight w:val="none"/>
              </w:rPr>
              <w:t>合计</w:t>
            </w:r>
          </w:p>
        </w:tc>
        <w:tc>
          <w:tcPr>
            <w:tcW w:w="635" w:type="pct"/>
            <w:shd w:val="clear" w:color="auto" w:fill="auto"/>
            <w:vAlign w:val="center"/>
          </w:tcPr>
          <w:p>
            <w:pPr>
              <w:pStyle w:val="84"/>
              <w:rPr>
                <w:rFonts w:hint="default" w:eastAsia="仿宋_GB2312"/>
                <w:color w:val="auto"/>
                <w:szCs w:val="20"/>
                <w:highlight w:val="none"/>
                <w:lang w:val="en-US" w:eastAsia="zh-CN"/>
              </w:rPr>
            </w:pPr>
            <w:r>
              <w:rPr>
                <w:rFonts w:hint="eastAsia"/>
                <w:color w:val="auto"/>
                <w:szCs w:val="20"/>
                <w:highlight w:val="none"/>
                <w:lang w:val="en-US" w:eastAsia="zh-CN"/>
              </w:rPr>
              <w:t>6.33</w:t>
            </w:r>
          </w:p>
        </w:tc>
      </w:tr>
    </w:tbl>
    <w:p>
      <w:pPr>
        <w:pStyle w:val="56"/>
        <w:ind w:firstLine="482"/>
        <w:rPr>
          <w:b/>
          <w:bCs/>
          <w:color w:val="auto"/>
          <w:highlight w:val="none"/>
        </w:rPr>
      </w:pPr>
    </w:p>
    <w:p>
      <w:pPr>
        <w:pStyle w:val="75"/>
        <w:rPr>
          <w:color w:val="auto"/>
          <w:highlight w:val="none"/>
        </w:rPr>
      </w:pPr>
      <w:r>
        <w:rPr>
          <w:color w:val="auto"/>
          <w:highlight w:val="none"/>
        </w:rPr>
        <w:t>表7.1-</w:t>
      </w:r>
      <w:r>
        <w:rPr>
          <w:rFonts w:hint="eastAsia"/>
          <w:color w:val="auto"/>
          <w:highlight w:val="none"/>
          <w:lang w:val="en-US" w:eastAsia="zh-CN"/>
        </w:rPr>
        <w:t>8</w:t>
      </w:r>
      <w:r>
        <w:rPr>
          <w:color w:val="auto"/>
          <w:highlight w:val="none"/>
        </w:rPr>
        <w:t xml:space="preserve">        主要材料价格汇总表       单价：元</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2"/>
        <w:gridCol w:w="1132"/>
        <w:gridCol w:w="988"/>
        <w:gridCol w:w="1133"/>
        <w:gridCol w:w="844"/>
        <w:gridCol w:w="852"/>
        <w:gridCol w:w="1276"/>
        <w:gridCol w:w="1263"/>
        <w:gridCol w:w="10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94" w:type="pct"/>
            <w:vMerge w:val="restart"/>
            <w:shd w:val="clear" w:color="auto" w:fill="auto"/>
            <w:vAlign w:val="center"/>
          </w:tcPr>
          <w:p>
            <w:pPr>
              <w:pStyle w:val="84"/>
              <w:rPr>
                <w:color w:val="auto"/>
                <w:highlight w:val="none"/>
              </w:rPr>
            </w:pPr>
            <w:r>
              <w:rPr>
                <w:color w:val="auto"/>
                <w:highlight w:val="none"/>
              </w:rPr>
              <w:t>序号</w:t>
            </w:r>
          </w:p>
        </w:tc>
        <w:tc>
          <w:tcPr>
            <w:tcW w:w="625" w:type="pct"/>
            <w:vMerge w:val="restart"/>
            <w:shd w:val="clear" w:color="auto" w:fill="auto"/>
            <w:vAlign w:val="center"/>
          </w:tcPr>
          <w:p>
            <w:pPr>
              <w:pStyle w:val="84"/>
              <w:rPr>
                <w:color w:val="auto"/>
                <w:highlight w:val="none"/>
              </w:rPr>
            </w:pPr>
            <w:r>
              <w:rPr>
                <w:color w:val="auto"/>
                <w:highlight w:val="none"/>
              </w:rPr>
              <w:t>名称及规格</w:t>
            </w:r>
          </w:p>
        </w:tc>
        <w:tc>
          <w:tcPr>
            <w:tcW w:w="545" w:type="pct"/>
            <w:vMerge w:val="restart"/>
            <w:shd w:val="clear" w:color="auto" w:fill="auto"/>
            <w:vAlign w:val="center"/>
          </w:tcPr>
          <w:p>
            <w:pPr>
              <w:pStyle w:val="84"/>
              <w:rPr>
                <w:color w:val="auto"/>
                <w:highlight w:val="none"/>
              </w:rPr>
            </w:pPr>
            <w:r>
              <w:rPr>
                <w:color w:val="auto"/>
                <w:highlight w:val="none"/>
              </w:rPr>
              <w:t>单位</w:t>
            </w:r>
          </w:p>
        </w:tc>
        <w:tc>
          <w:tcPr>
            <w:tcW w:w="625" w:type="pct"/>
            <w:vMerge w:val="restart"/>
            <w:shd w:val="clear" w:color="auto" w:fill="auto"/>
            <w:vAlign w:val="center"/>
          </w:tcPr>
          <w:p>
            <w:pPr>
              <w:pStyle w:val="84"/>
              <w:rPr>
                <w:color w:val="auto"/>
                <w:highlight w:val="none"/>
              </w:rPr>
            </w:pPr>
            <w:r>
              <w:rPr>
                <w:color w:val="auto"/>
                <w:highlight w:val="none"/>
              </w:rPr>
              <w:t>预算价格</w:t>
            </w:r>
          </w:p>
        </w:tc>
        <w:tc>
          <w:tcPr>
            <w:tcW w:w="2908" w:type="pct"/>
            <w:gridSpan w:val="5"/>
            <w:shd w:val="clear" w:color="auto" w:fill="auto"/>
            <w:vAlign w:val="center"/>
          </w:tcPr>
          <w:p>
            <w:pPr>
              <w:pStyle w:val="84"/>
              <w:rPr>
                <w:color w:val="auto"/>
                <w:highlight w:val="none"/>
              </w:rPr>
            </w:pPr>
            <w:r>
              <w:rPr>
                <w:color w:val="auto"/>
                <w:highlight w:val="none"/>
              </w:rPr>
              <w:t>其中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94" w:type="pct"/>
            <w:vMerge w:val="continue"/>
            <w:vAlign w:val="center"/>
          </w:tcPr>
          <w:p>
            <w:pPr>
              <w:pStyle w:val="84"/>
              <w:rPr>
                <w:color w:val="auto"/>
                <w:highlight w:val="none"/>
              </w:rPr>
            </w:pPr>
          </w:p>
        </w:tc>
        <w:tc>
          <w:tcPr>
            <w:tcW w:w="625" w:type="pct"/>
            <w:vMerge w:val="continue"/>
            <w:vAlign w:val="center"/>
          </w:tcPr>
          <w:p>
            <w:pPr>
              <w:pStyle w:val="84"/>
              <w:rPr>
                <w:color w:val="auto"/>
                <w:highlight w:val="none"/>
              </w:rPr>
            </w:pPr>
          </w:p>
        </w:tc>
        <w:tc>
          <w:tcPr>
            <w:tcW w:w="545" w:type="pct"/>
            <w:vMerge w:val="continue"/>
            <w:vAlign w:val="center"/>
          </w:tcPr>
          <w:p>
            <w:pPr>
              <w:pStyle w:val="84"/>
              <w:rPr>
                <w:color w:val="auto"/>
                <w:highlight w:val="none"/>
              </w:rPr>
            </w:pPr>
          </w:p>
        </w:tc>
        <w:tc>
          <w:tcPr>
            <w:tcW w:w="625" w:type="pct"/>
            <w:vMerge w:val="continue"/>
            <w:vAlign w:val="center"/>
          </w:tcPr>
          <w:p>
            <w:pPr>
              <w:pStyle w:val="84"/>
              <w:rPr>
                <w:color w:val="auto"/>
                <w:highlight w:val="none"/>
              </w:rPr>
            </w:pPr>
          </w:p>
        </w:tc>
        <w:tc>
          <w:tcPr>
            <w:tcW w:w="466" w:type="pct"/>
            <w:vMerge w:val="restart"/>
            <w:shd w:val="clear" w:color="auto" w:fill="auto"/>
            <w:vAlign w:val="center"/>
          </w:tcPr>
          <w:p>
            <w:pPr>
              <w:pStyle w:val="84"/>
              <w:rPr>
                <w:color w:val="auto"/>
                <w:highlight w:val="none"/>
              </w:rPr>
            </w:pPr>
            <w:r>
              <w:rPr>
                <w:color w:val="auto"/>
                <w:highlight w:val="none"/>
              </w:rPr>
              <w:t>原价</w:t>
            </w:r>
          </w:p>
        </w:tc>
        <w:tc>
          <w:tcPr>
            <w:tcW w:w="470" w:type="pct"/>
            <w:vMerge w:val="restart"/>
            <w:shd w:val="clear" w:color="auto" w:fill="auto"/>
            <w:vAlign w:val="center"/>
          </w:tcPr>
          <w:p>
            <w:pPr>
              <w:pStyle w:val="84"/>
              <w:rPr>
                <w:color w:val="auto"/>
                <w:highlight w:val="none"/>
              </w:rPr>
            </w:pPr>
            <w:r>
              <w:rPr>
                <w:color w:val="auto"/>
                <w:highlight w:val="none"/>
              </w:rPr>
              <w:t>运杂费</w:t>
            </w:r>
          </w:p>
        </w:tc>
        <w:tc>
          <w:tcPr>
            <w:tcW w:w="704" w:type="pct"/>
            <w:vMerge w:val="restart"/>
            <w:shd w:val="clear" w:color="auto" w:fill="auto"/>
            <w:vAlign w:val="center"/>
          </w:tcPr>
          <w:p>
            <w:pPr>
              <w:pStyle w:val="84"/>
              <w:rPr>
                <w:color w:val="auto"/>
                <w:highlight w:val="none"/>
              </w:rPr>
            </w:pPr>
            <w:r>
              <w:rPr>
                <w:color w:val="auto"/>
                <w:highlight w:val="none"/>
              </w:rPr>
              <w:t>到工地价格</w:t>
            </w:r>
          </w:p>
        </w:tc>
        <w:tc>
          <w:tcPr>
            <w:tcW w:w="1267" w:type="pct"/>
            <w:gridSpan w:val="2"/>
            <w:shd w:val="clear" w:color="auto" w:fill="auto"/>
            <w:vAlign w:val="center"/>
          </w:tcPr>
          <w:p>
            <w:pPr>
              <w:pStyle w:val="84"/>
              <w:rPr>
                <w:color w:val="auto"/>
                <w:highlight w:val="none"/>
              </w:rPr>
            </w:pPr>
            <w:r>
              <w:rPr>
                <w:color w:val="auto"/>
                <w:highlight w:val="none"/>
              </w:rPr>
              <w:t>采购及保管费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94" w:type="pct"/>
            <w:vMerge w:val="continue"/>
            <w:vAlign w:val="center"/>
          </w:tcPr>
          <w:p>
            <w:pPr>
              <w:pStyle w:val="84"/>
              <w:rPr>
                <w:color w:val="auto"/>
                <w:highlight w:val="none"/>
              </w:rPr>
            </w:pPr>
          </w:p>
        </w:tc>
        <w:tc>
          <w:tcPr>
            <w:tcW w:w="625" w:type="pct"/>
            <w:vMerge w:val="continue"/>
            <w:vAlign w:val="center"/>
          </w:tcPr>
          <w:p>
            <w:pPr>
              <w:pStyle w:val="84"/>
              <w:rPr>
                <w:color w:val="auto"/>
                <w:highlight w:val="none"/>
              </w:rPr>
            </w:pPr>
          </w:p>
        </w:tc>
        <w:tc>
          <w:tcPr>
            <w:tcW w:w="545" w:type="pct"/>
            <w:vMerge w:val="continue"/>
            <w:vAlign w:val="center"/>
          </w:tcPr>
          <w:p>
            <w:pPr>
              <w:pStyle w:val="84"/>
              <w:rPr>
                <w:color w:val="auto"/>
                <w:highlight w:val="none"/>
              </w:rPr>
            </w:pPr>
          </w:p>
        </w:tc>
        <w:tc>
          <w:tcPr>
            <w:tcW w:w="625" w:type="pct"/>
            <w:vMerge w:val="continue"/>
            <w:vAlign w:val="center"/>
          </w:tcPr>
          <w:p>
            <w:pPr>
              <w:pStyle w:val="84"/>
              <w:rPr>
                <w:color w:val="auto"/>
                <w:highlight w:val="none"/>
              </w:rPr>
            </w:pPr>
          </w:p>
        </w:tc>
        <w:tc>
          <w:tcPr>
            <w:tcW w:w="466" w:type="pct"/>
            <w:vMerge w:val="continue"/>
            <w:vAlign w:val="center"/>
          </w:tcPr>
          <w:p>
            <w:pPr>
              <w:pStyle w:val="84"/>
              <w:rPr>
                <w:color w:val="auto"/>
                <w:highlight w:val="none"/>
              </w:rPr>
            </w:pPr>
          </w:p>
        </w:tc>
        <w:tc>
          <w:tcPr>
            <w:tcW w:w="470" w:type="pct"/>
            <w:vMerge w:val="continue"/>
            <w:vAlign w:val="center"/>
          </w:tcPr>
          <w:p>
            <w:pPr>
              <w:pStyle w:val="84"/>
              <w:rPr>
                <w:color w:val="auto"/>
                <w:highlight w:val="none"/>
              </w:rPr>
            </w:pPr>
          </w:p>
        </w:tc>
        <w:tc>
          <w:tcPr>
            <w:tcW w:w="704" w:type="pct"/>
            <w:vMerge w:val="continue"/>
            <w:vAlign w:val="center"/>
          </w:tcPr>
          <w:p>
            <w:pPr>
              <w:pStyle w:val="84"/>
              <w:rPr>
                <w:color w:val="auto"/>
                <w:highlight w:val="none"/>
              </w:rPr>
            </w:pPr>
          </w:p>
        </w:tc>
        <w:tc>
          <w:tcPr>
            <w:tcW w:w="697" w:type="pct"/>
            <w:shd w:val="clear" w:color="auto" w:fill="auto"/>
            <w:vAlign w:val="center"/>
          </w:tcPr>
          <w:p>
            <w:pPr>
              <w:pStyle w:val="84"/>
              <w:rPr>
                <w:color w:val="auto"/>
                <w:highlight w:val="none"/>
              </w:rPr>
            </w:pPr>
            <w:r>
              <w:rPr>
                <w:color w:val="auto"/>
                <w:highlight w:val="none"/>
              </w:rPr>
              <w:t>采保费率</w:t>
            </w:r>
          </w:p>
        </w:tc>
        <w:tc>
          <w:tcPr>
            <w:tcW w:w="570" w:type="pct"/>
            <w:shd w:val="clear" w:color="auto" w:fill="auto"/>
            <w:vAlign w:val="center"/>
          </w:tcPr>
          <w:p>
            <w:pPr>
              <w:pStyle w:val="84"/>
              <w:rPr>
                <w:color w:val="auto"/>
                <w:highlight w:val="none"/>
              </w:rPr>
            </w:pPr>
            <w:r>
              <w:rPr>
                <w:color w:val="auto"/>
                <w:highlight w:val="none"/>
              </w:rPr>
              <w:t>采保费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94" w:type="pct"/>
            <w:shd w:val="clear" w:color="auto" w:fill="auto"/>
            <w:vAlign w:val="center"/>
          </w:tcPr>
          <w:p>
            <w:pPr>
              <w:pStyle w:val="84"/>
              <w:rPr>
                <w:color w:val="auto"/>
                <w:highlight w:val="none"/>
              </w:rPr>
            </w:pPr>
            <w:r>
              <w:rPr>
                <w:color w:val="auto"/>
                <w:highlight w:val="none"/>
              </w:rPr>
              <w:t>1</w:t>
            </w:r>
          </w:p>
        </w:tc>
        <w:tc>
          <w:tcPr>
            <w:tcW w:w="625" w:type="pct"/>
            <w:shd w:val="clear" w:color="auto" w:fill="auto"/>
            <w:vAlign w:val="center"/>
          </w:tcPr>
          <w:p>
            <w:pPr>
              <w:pStyle w:val="84"/>
              <w:rPr>
                <w:color w:val="auto"/>
                <w:highlight w:val="none"/>
              </w:rPr>
            </w:pPr>
            <w:r>
              <w:rPr>
                <w:color w:val="auto"/>
                <w:highlight w:val="none"/>
              </w:rPr>
              <w:t>柴油</w:t>
            </w:r>
          </w:p>
        </w:tc>
        <w:tc>
          <w:tcPr>
            <w:tcW w:w="545" w:type="pct"/>
            <w:shd w:val="clear" w:color="auto" w:fill="auto"/>
            <w:vAlign w:val="center"/>
          </w:tcPr>
          <w:p>
            <w:pPr>
              <w:pStyle w:val="84"/>
              <w:rPr>
                <w:color w:val="auto"/>
                <w:highlight w:val="none"/>
              </w:rPr>
            </w:pPr>
            <w:r>
              <w:rPr>
                <w:color w:val="auto"/>
                <w:highlight w:val="none"/>
              </w:rPr>
              <w:t>kg</w:t>
            </w:r>
          </w:p>
        </w:tc>
        <w:tc>
          <w:tcPr>
            <w:tcW w:w="625" w:type="pct"/>
            <w:shd w:val="clear" w:color="auto" w:fill="auto"/>
            <w:vAlign w:val="center"/>
          </w:tcPr>
          <w:p>
            <w:pPr>
              <w:pStyle w:val="84"/>
              <w:rPr>
                <w:color w:val="auto"/>
                <w:highlight w:val="none"/>
              </w:rPr>
            </w:pPr>
            <w:r>
              <w:rPr>
                <w:color w:val="auto"/>
                <w:highlight w:val="none"/>
              </w:rPr>
              <w:t>6.26</w:t>
            </w:r>
          </w:p>
        </w:tc>
        <w:tc>
          <w:tcPr>
            <w:tcW w:w="2908" w:type="pct"/>
            <w:gridSpan w:val="5"/>
            <w:vMerge w:val="restart"/>
            <w:shd w:val="clear" w:color="auto" w:fill="auto"/>
            <w:vAlign w:val="center"/>
          </w:tcPr>
          <w:p>
            <w:pPr>
              <w:pStyle w:val="84"/>
              <w:rPr>
                <w:color w:val="auto"/>
                <w:highlight w:val="none"/>
              </w:rPr>
            </w:pPr>
            <w:r>
              <w:rPr>
                <w:color w:val="auto"/>
                <w:highlight w:val="none"/>
              </w:rPr>
              <w:t>与主体工程一致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94" w:type="pct"/>
            <w:shd w:val="clear" w:color="auto" w:fill="auto"/>
            <w:vAlign w:val="center"/>
          </w:tcPr>
          <w:p>
            <w:pPr>
              <w:pStyle w:val="84"/>
              <w:rPr>
                <w:color w:val="auto"/>
                <w:highlight w:val="none"/>
              </w:rPr>
            </w:pPr>
            <w:r>
              <w:rPr>
                <w:color w:val="auto"/>
                <w:highlight w:val="none"/>
              </w:rPr>
              <w:t>2</w:t>
            </w:r>
          </w:p>
        </w:tc>
        <w:tc>
          <w:tcPr>
            <w:tcW w:w="625" w:type="pct"/>
            <w:shd w:val="clear" w:color="auto" w:fill="auto"/>
            <w:vAlign w:val="center"/>
          </w:tcPr>
          <w:p>
            <w:pPr>
              <w:pStyle w:val="84"/>
              <w:rPr>
                <w:color w:val="auto"/>
                <w:highlight w:val="none"/>
              </w:rPr>
            </w:pPr>
            <w:r>
              <w:rPr>
                <w:color w:val="auto"/>
                <w:highlight w:val="none"/>
              </w:rPr>
              <w:t>汽油</w:t>
            </w:r>
          </w:p>
        </w:tc>
        <w:tc>
          <w:tcPr>
            <w:tcW w:w="545" w:type="pct"/>
            <w:shd w:val="clear" w:color="auto" w:fill="auto"/>
            <w:vAlign w:val="center"/>
          </w:tcPr>
          <w:p>
            <w:pPr>
              <w:pStyle w:val="84"/>
              <w:rPr>
                <w:color w:val="auto"/>
                <w:highlight w:val="none"/>
              </w:rPr>
            </w:pPr>
            <w:r>
              <w:rPr>
                <w:color w:val="auto"/>
                <w:highlight w:val="none"/>
              </w:rPr>
              <w:t>kg</w:t>
            </w:r>
          </w:p>
        </w:tc>
        <w:tc>
          <w:tcPr>
            <w:tcW w:w="625" w:type="pct"/>
            <w:shd w:val="clear" w:color="auto" w:fill="auto"/>
            <w:vAlign w:val="center"/>
          </w:tcPr>
          <w:p>
            <w:pPr>
              <w:pStyle w:val="84"/>
              <w:rPr>
                <w:color w:val="auto"/>
                <w:highlight w:val="none"/>
              </w:rPr>
            </w:pPr>
            <w:r>
              <w:rPr>
                <w:color w:val="auto"/>
                <w:highlight w:val="none"/>
              </w:rPr>
              <w:t>7.6</w:t>
            </w:r>
          </w:p>
        </w:tc>
        <w:tc>
          <w:tcPr>
            <w:tcW w:w="2908" w:type="pct"/>
            <w:gridSpan w:val="5"/>
            <w:vMerge w:val="continue"/>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94" w:type="pct"/>
            <w:shd w:val="clear" w:color="auto" w:fill="auto"/>
            <w:vAlign w:val="center"/>
          </w:tcPr>
          <w:p>
            <w:pPr>
              <w:pStyle w:val="84"/>
              <w:rPr>
                <w:color w:val="auto"/>
                <w:highlight w:val="none"/>
              </w:rPr>
            </w:pPr>
            <w:r>
              <w:rPr>
                <w:color w:val="auto"/>
                <w:highlight w:val="none"/>
              </w:rPr>
              <w:t>3</w:t>
            </w:r>
          </w:p>
        </w:tc>
        <w:tc>
          <w:tcPr>
            <w:tcW w:w="625" w:type="pct"/>
            <w:shd w:val="clear" w:color="auto" w:fill="auto"/>
            <w:vAlign w:val="center"/>
          </w:tcPr>
          <w:p>
            <w:pPr>
              <w:pStyle w:val="84"/>
              <w:rPr>
                <w:color w:val="auto"/>
                <w:highlight w:val="none"/>
              </w:rPr>
            </w:pPr>
            <w:r>
              <w:rPr>
                <w:color w:val="auto"/>
                <w:highlight w:val="none"/>
              </w:rPr>
              <w:t>水</w:t>
            </w:r>
          </w:p>
        </w:tc>
        <w:tc>
          <w:tcPr>
            <w:tcW w:w="545" w:type="pct"/>
            <w:shd w:val="clear" w:color="auto" w:fill="auto"/>
            <w:vAlign w:val="center"/>
          </w:tcPr>
          <w:p>
            <w:pPr>
              <w:pStyle w:val="84"/>
              <w:rPr>
                <w:color w:val="auto"/>
                <w:highlight w:val="none"/>
              </w:rPr>
            </w:pPr>
            <w:r>
              <w:rPr>
                <w:color w:val="auto"/>
                <w:highlight w:val="none"/>
              </w:rPr>
              <w:t>m</w:t>
            </w:r>
            <w:r>
              <w:rPr>
                <w:rFonts w:eastAsia="宋体"/>
                <w:color w:val="auto"/>
                <w:highlight w:val="none"/>
              </w:rPr>
              <w:t>³</w:t>
            </w:r>
          </w:p>
        </w:tc>
        <w:tc>
          <w:tcPr>
            <w:tcW w:w="625" w:type="pct"/>
            <w:shd w:val="clear" w:color="auto" w:fill="auto"/>
            <w:vAlign w:val="center"/>
          </w:tcPr>
          <w:p>
            <w:pPr>
              <w:pStyle w:val="84"/>
              <w:rPr>
                <w:color w:val="auto"/>
                <w:highlight w:val="none"/>
              </w:rPr>
            </w:pPr>
            <w:r>
              <w:rPr>
                <w:color w:val="auto"/>
                <w:highlight w:val="none"/>
              </w:rPr>
              <w:t>3.5</w:t>
            </w:r>
          </w:p>
        </w:tc>
        <w:tc>
          <w:tcPr>
            <w:tcW w:w="2908" w:type="pct"/>
            <w:gridSpan w:val="5"/>
            <w:vMerge w:val="continue"/>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94" w:type="pct"/>
            <w:shd w:val="clear" w:color="auto" w:fill="auto"/>
            <w:vAlign w:val="center"/>
          </w:tcPr>
          <w:p>
            <w:pPr>
              <w:pStyle w:val="84"/>
              <w:rPr>
                <w:color w:val="auto"/>
                <w:highlight w:val="none"/>
              </w:rPr>
            </w:pPr>
            <w:r>
              <w:rPr>
                <w:color w:val="auto"/>
                <w:highlight w:val="none"/>
              </w:rPr>
              <w:t>4</w:t>
            </w:r>
          </w:p>
        </w:tc>
        <w:tc>
          <w:tcPr>
            <w:tcW w:w="625" w:type="pct"/>
            <w:shd w:val="clear" w:color="auto" w:fill="auto"/>
            <w:vAlign w:val="center"/>
          </w:tcPr>
          <w:p>
            <w:pPr>
              <w:pStyle w:val="84"/>
              <w:rPr>
                <w:color w:val="auto"/>
                <w:highlight w:val="none"/>
              </w:rPr>
            </w:pPr>
            <w:r>
              <w:rPr>
                <w:color w:val="auto"/>
                <w:highlight w:val="none"/>
              </w:rPr>
              <w:t>电</w:t>
            </w:r>
          </w:p>
        </w:tc>
        <w:tc>
          <w:tcPr>
            <w:tcW w:w="545" w:type="pct"/>
            <w:shd w:val="clear" w:color="auto" w:fill="auto"/>
            <w:vAlign w:val="center"/>
          </w:tcPr>
          <w:p>
            <w:pPr>
              <w:pStyle w:val="84"/>
              <w:rPr>
                <w:color w:val="auto"/>
                <w:highlight w:val="none"/>
              </w:rPr>
            </w:pPr>
            <w:r>
              <w:rPr>
                <w:color w:val="auto"/>
                <w:highlight w:val="none"/>
              </w:rPr>
              <w:t>kw.h</w:t>
            </w:r>
          </w:p>
        </w:tc>
        <w:tc>
          <w:tcPr>
            <w:tcW w:w="625" w:type="pct"/>
            <w:shd w:val="clear" w:color="auto" w:fill="auto"/>
            <w:vAlign w:val="center"/>
          </w:tcPr>
          <w:p>
            <w:pPr>
              <w:pStyle w:val="84"/>
              <w:rPr>
                <w:color w:val="auto"/>
                <w:highlight w:val="none"/>
              </w:rPr>
            </w:pPr>
            <w:r>
              <w:rPr>
                <w:color w:val="auto"/>
                <w:highlight w:val="none"/>
              </w:rPr>
              <w:t>0.8</w:t>
            </w:r>
          </w:p>
        </w:tc>
        <w:tc>
          <w:tcPr>
            <w:tcW w:w="2908" w:type="pct"/>
            <w:gridSpan w:val="5"/>
            <w:vMerge w:val="continue"/>
            <w:vAlign w:val="center"/>
          </w:tcPr>
          <w:p>
            <w:pPr>
              <w:pStyle w:val="8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94" w:type="pct"/>
            <w:shd w:val="clear" w:color="auto" w:fill="auto"/>
            <w:vAlign w:val="center"/>
          </w:tcPr>
          <w:p>
            <w:pPr>
              <w:pStyle w:val="84"/>
              <w:ind w:firstLine="0" w:firstLineChars="0"/>
              <w:rPr>
                <w:rFonts w:hint="eastAsia" w:eastAsia="仿宋_GB2312"/>
                <w:color w:val="auto"/>
                <w:highlight w:val="none"/>
                <w:lang w:eastAsia="zh-CN"/>
              </w:rPr>
            </w:pPr>
            <w:r>
              <w:rPr>
                <w:rFonts w:hint="eastAsia"/>
                <w:color w:val="auto"/>
                <w:highlight w:val="none"/>
                <w:lang w:val="en-US" w:eastAsia="zh-CN"/>
              </w:rPr>
              <w:t>6</w:t>
            </w:r>
          </w:p>
        </w:tc>
        <w:tc>
          <w:tcPr>
            <w:tcW w:w="625" w:type="pct"/>
            <w:shd w:val="clear" w:color="auto" w:fill="auto"/>
            <w:vAlign w:val="center"/>
          </w:tcPr>
          <w:p>
            <w:pPr>
              <w:pStyle w:val="84"/>
              <w:ind w:firstLine="0" w:firstLineChars="0"/>
              <w:rPr>
                <w:color w:val="auto"/>
                <w:highlight w:val="none"/>
              </w:rPr>
            </w:pPr>
            <w:r>
              <w:rPr>
                <w:color w:val="auto"/>
                <w:highlight w:val="none"/>
              </w:rPr>
              <w:t>彩钢板</w:t>
            </w:r>
          </w:p>
        </w:tc>
        <w:tc>
          <w:tcPr>
            <w:tcW w:w="545" w:type="pct"/>
            <w:shd w:val="clear" w:color="auto" w:fill="auto"/>
            <w:vAlign w:val="center"/>
          </w:tcPr>
          <w:p>
            <w:pPr>
              <w:pStyle w:val="84"/>
              <w:ind w:firstLine="0" w:firstLineChars="0"/>
              <w:rPr>
                <w:color w:val="auto"/>
                <w:highlight w:val="none"/>
              </w:rPr>
            </w:pPr>
            <w:r>
              <w:rPr>
                <w:color w:val="auto"/>
                <w:highlight w:val="none"/>
              </w:rPr>
              <w:t>m</w:t>
            </w:r>
          </w:p>
        </w:tc>
        <w:tc>
          <w:tcPr>
            <w:tcW w:w="625" w:type="pct"/>
            <w:shd w:val="clear" w:color="auto" w:fill="auto"/>
            <w:vAlign w:val="center"/>
          </w:tcPr>
          <w:p>
            <w:pPr>
              <w:pStyle w:val="84"/>
              <w:ind w:firstLine="0" w:firstLineChars="0"/>
              <w:rPr>
                <w:color w:val="auto"/>
                <w:highlight w:val="none"/>
              </w:rPr>
            </w:pPr>
            <w:r>
              <w:rPr>
                <w:color w:val="auto"/>
                <w:highlight w:val="none"/>
              </w:rPr>
              <w:t xml:space="preserve">25.73 </w:t>
            </w:r>
          </w:p>
        </w:tc>
        <w:tc>
          <w:tcPr>
            <w:tcW w:w="2908" w:type="pct"/>
            <w:gridSpan w:val="5"/>
            <w:vMerge w:val="continue"/>
            <w:vAlign w:val="center"/>
          </w:tcPr>
          <w:p>
            <w:pPr>
              <w:pStyle w:val="84"/>
              <w:ind w:firstLine="0" w:firstLineChars="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94" w:type="pct"/>
            <w:shd w:val="clear" w:color="auto" w:fill="auto"/>
            <w:vAlign w:val="center"/>
          </w:tcPr>
          <w:p>
            <w:pPr>
              <w:pStyle w:val="84"/>
              <w:rPr>
                <w:rFonts w:hint="eastAsia" w:eastAsia="仿宋_GB2312"/>
                <w:color w:val="auto"/>
                <w:highlight w:val="none"/>
                <w:lang w:eastAsia="zh-CN"/>
              </w:rPr>
            </w:pPr>
            <w:r>
              <w:rPr>
                <w:rFonts w:hint="eastAsia"/>
                <w:color w:val="auto"/>
                <w:highlight w:val="none"/>
                <w:lang w:val="en-US" w:eastAsia="zh-CN"/>
              </w:rPr>
              <w:t>7</w:t>
            </w:r>
          </w:p>
        </w:tc>
        <w:tc>
          <w:tcPr>
            <w:tcW w:w="625" w:type="pct"/>
            <w:shd w:val="clear" w:color="auto" w:fill="auto"/>
            <w:vAlign w:val="center"/>
          </w:tcPr>
          <w:p>
            <w:pPr>
              <w:pStyle w:val="84"/>
              <w:rPr>
                <w:color w:val="auto"/>
                <w:highlight w:val="none"/>
              </w:rPr>
            </w:pPr>
            <w:r>
              <w:rPr>
                <w:color w:val="auto"/>
                <w:highlight w:val="none"/>
              </w:rPr>
              <w:t>防尘网</w:t>
            </w:r>
          </w:p>
        </w:tc>
        <w:tc>
          <w:tcPr>
            <w:tcW w:w="545" w:type="pct"/>
            <w:shd w:val="clear" w:color="auto" w:fill="auto"/>
            <w:vAlign w:val="center"/>
          </w:tcPr>
          <w:p>
            <w:pPr>
              <w:pStyle w:val="84"/>
              <w:rPr>
                <w:color w:val="auto"/>
                <w:highlight w:val="none"/>
              </w:rPr>
            </w:pPr>
            <w:r>
              <w:rPr>
                <w:color w:val="auto"/>
                <w:highlight w:val="none"/>
              </w:rPr>
              <w:t>m</w:t>
            </w:r>
            <w:r>
              <w:rPr>
                <w:rFonts w:eastAsia="宋体"/>
                <w:color w:val="auto"/>
                <w:highlight w:val="none"/>
              </w:rPr>
              <w:t>²</w:t>
            </w:r>
          </w:p>
        </w:tc>
        <w:tc>
          <w:tcPr>
            <w:tcW w:w="625" w:type="pct"/>
            <w:shd w:val="clear" w:color="auto" w:fill="auto"/>
            <w:vAlign w:val="center"/>
          </w:tcPr>
          <w:p>
            <w:pPr>
              <w:pStyle w:val="84"/>
              <w:rPr>
                <w:color w:val="auto"/>
                <w:highlight w:val="none"/>
              </w:rPr>
            </w:pPr>
            <w:r>
              <w:rPr>
                <w:color w:val="auto"/>
                <w:highlight w:val="none"/>
              </w:rPr>
              <w:t xml:space="preserve">5.12 </w:t>
            </w:r>
          </w:p>
        </w:tc>
        <w:tc>
          <w:tcPr>
            <w:tcW w:w="466" w:type="pct"/>
            <w:shd w:val="clear" w:color="auto" w:fill="auto"/>
            <w:vAlign w:val="center"/>
          </w:tcPr>
          <w:p>
            <w:pPr>
              <w:pStyle w:val="84"/>
              <w:rPr>
                <w:color w:val="auto"/>
                <w:highlight w:val="none"/>
              </w:rPr>
            </w:pPr>
            <w:r>
              <w:rPr>
                <w:color w:val="auto"/>
                <w:highlight w:val="none"/>
              </w:rPr>
              <w:t>5</w:t>
            </w:r>
          </w:p>
        </w:tc>
        <w:tc>
          <w:tcPr>
            <w:tcW w:w="470" w:type="pct"/>
            <w:shd w:val="clear" w:color="auto" w:fill="auto"/>
            <w:vAlign w:val="center"/>
          </w:tcPr>
          <w:p>
            <w:pPr>
              <w:pStyle w:val="84"/>
              <w:rPr>
                <w:color w:val="auto"/>
                <w:highlight w:val="none"/>
              </w:rPr>
            </w:pPr>
            <w:r>
              <w:rPr>
                <w:color w:val="auto"/>
                <w:highlight w:val="none"/>
              </w:rPr>
              <w:t xml:space="preserve">0 </w:t>
            </w:r>
          </w:p>
        </w:tc>
        <w:tc>
          <w:tcPr>
            <w:tcW w:w="704" w:type="pct"/>
            <w:shd w:val="clear" w:color="auto" w:fill="auto"/>
            <w:vAlign w:val="center"/>
          </w:tcPr>
          <w:p>
            <w:pPr>
              <w:pStyle w:val="84"/>
              <w:rPr>
                <w:color w:val="auto"/>
                <w:highlight w:val="none"/>
              </w:rPr>
            </w:pPr>
            <w:r>
              <w:rPr>
                <w:color w:val="auto"/>
                <w:highlight w:val="none"/>
              </w:rPr>
              <w:t>5</w:t>
            </w:r>
          </w:p>
        </w:tc>
        <w:tc>
          <w:tcPr>
            <w:tcW w:w="697" w:type="pct"/>
            <w:shd w:val="clear" w:color="auto" w:fill="auto"/>
            <w:vAlign w:val="center"/>
          </w:tcPr>
          <w:p>
            <w:pPr>
              <w:pStyle w:val="84"/>
              <w:rPr>
                <w:color w:val="auto"/>
                <w:highlight w:val="none"/>
              </w:rPr>
            </w:pPr>
            <w:r>
              <w:rPr>
                <w:color w:val="auto"/>
                <w:highlight w:val="none"/>
              </w:rPr>
              <w:t>2.3</w:t>
            </w:r>
          </w:p>
        </w:tc>
        <w:tc>
          <w:tcPr>
            <w:tcW w:w="570" w:type="pct"/>
            <w:shd w:val="clear" w:color="auto" w:fill="auto"/>
            <w:vAlign w:val="center"/>
          </w:tcPr>
          <w:p>
            <w:pPr>
              <w:pStyle w:val="84"/>
              <w:rPr>
                <w:color w:val="auto"/>
                <w:highlight w:val="none"/>
              </w:rPr>
            </w:pPr>
            <w:r>
              <w:rPr>
                <w:color w:val="auto"/>
                <w:highlight w:val="none"/>
              </w:rPr>
              <w:t xml:space="preserve">0.12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5000" w:type="pct"/>
            <w:gridSpan w:val="9"/>
            <w:shd w:val="clear" w:color="auto" w:fill="auto"/>
            <w:noWrap/>
            <w:vAlign w:val="center"/>
          </w:tcPr>
          <w:p>
            <w:pPr>
              <w:pStyle w:val="84"/>
              <w:rPr>
                <w:color w:val="auto"/>
                <w:sz w:val="22"/>
                <w:highlight w:val="none"/>
              </w:rPr>
            </w:pPr>
            <w:r>
              <w:rPr>
                <w:color w:val="auto"/>
                <w:sz w:val="22"/>
                <w:highlight w:val="none"/>
              </w:rPr>
              <w:t>注：工程措施采购及保管费费率为2.3%，植物措施采购保管费费率为1.1%。</w:t>
            </w:r>
          </w:p>
        </w:tc>
      </w:tr>
    </w:tbl>
    <w:p>
      <w:pPr>
        <w:pStyle w:val="75"/>
        <w:rPr>
          <w:color w:val="auto"/>
          <w:highlight w:val="none"/>
        </w:rPr>
      </w:pPr>
    </w:p>
    <w:p>
      <w:pPr>
        <w:pStyle w:val="75"/>
        <w:rPr>
          <w:color w:val="auto"/>
          <w:highlight w:val="none"/>
        </w:rPr>
      </w:pPr>
      <w:r>
        <w:rPr>
          <w:color w:val="auto"/>
          <w:highlight w:val="none"/>
        </w:rPr>
        <w:t>表7.1-</w:t>
      </w:r>
      <w:r>
        <w:rPr>
          <w:rFonts w:hint="eastAsia"/>
          <w:color w:val="auto"/>
          <w:highlight w:val="none"/>
          <w:lang w:val="en-US" w:eastAsia="zh-CN"/>
        </w:rPr>
        <w:t>9</w:t>
      </w:r>
      <w:r>
        <w:rPr>
          <w:color w:val="auto"/>
          <w:highlight w:val="none"/>
        </w:rPr>
        <w:t xml:space="preserve">         水土保持补偿费计算表 </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9"/>
        <w:gridCol w:w="1721"/>
        <w:gridCol w:w="709"/>
        <w:gridCol w:w="957"/>
        <w:gridCol w:w="1586"/>
        <w:gridCol w:w="1275"/>
        <w:gridCol w:w="21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exact"/>
          <w:jc w:val="center"/>
        </w:trPr>
        <w:tc>
          <w:tcPr>
            <w:tcW w:w="380" w:type="pct"/>
            <w:shd w:val="clear" w:color="auto" w:fill="auto"/>
            <w:vAlign w:val="center"/>
          </w:tcPr>
          <w:p>
            <w:pPr>
              <w:pStyle w:val="84"/>
              <w:rPr>
                <w:color w:val="auto"/>
                <w:szCs w:val="20"/>
                <w:highlight w:val="none"/>
              </w:rPr>
            </w:pPr>
            <w:r>
              <w:rPr>
                <w:color w:val="auto"/>
                <w:highlight w:val="none"/>
              </w:rPr>
              <w:t>序号</w:t>
            </w:r>
          </w:p>
        </w:tc>
        <w:tc>
          <w:tcPr>
            <w:tcW w:w="949" w:type="pct"/>
            <w:shd w:val="clear" w:color="auto" w:fill="auto"/>
            <w:vAlign w:val="center"/>
          </w:tcPr>
          <w:p>
            <w:pPr>
              <w:pStyle w:val="84"/>
              <w:rPr>
                <w:color w:val="auto"/>
                <w:szCs w:val="20"/>
                <w:highlight w:val="none"/>
              </w:rPr>
            </w:pPr>
            <w:r>
              <w:rPr>
                <w:color w:val="auto"/>
                <w:szCs w:val="22"/>
                <w:highlight w:val="none"/>
              </w:rPr>
              <w:t>工程或费用名称</w:t>
            </w:r>
          </w:p>
        </w:tc>
        <w:tc>
          <w:tcPr>
            <w:tcW w:w="391" w:type="pct"/>
            <w:shd w:val="clear" w:color="auto" w:fill="auto"/>
            <w:vAlign w:val="center"/>
          </w:tcPr>
          <w:p>
            <w:pPr>
              <w:pStyle w:val="84"/>
              <w:rPr>
                <w:color w:val="auto"/>
                <w:szCs w:val="20"/>
                <w:highlight w:val="none"/>
              </w:rPr>
            </w:pPr>
            <w:r>
              <w:rPr>
                <w:color w:val="auto"/>
                <w:szCs w:val="22"/>
                <w:highlight w:val="none"/>
              </w:rPr>
              <w:t>单位</w:t>
            </w:r>
          </w:p>
        </w:tc>
        <w:tc>
          <w:tcPr>
            <w:tcW w:w="528" w:type="pct"/>
            <w:shd w:val="clear" w:color="auto" w:fill="auto"/>
            <w:vAlign w:val="center"/>
          </w:tcPr>
          <w:p>
            <w:pPr>
              <w:pStyle w:val="84"/>
              <w:rPr>
                <w:color w:val="auto"/>
                <w:szCs w:val="20"/>
                <w:highlight w:val="none"/>
              </w:rPr>
            </w:pPr>
            <w:r>
              <w:rPr>
                <w:color w:val="auto"/>
                <w:szCs w:val="22"/>
                <w:highlight w:val="none"/>
              </w:rPr>
              <w:t>数量</w:t>
            </w:r>
          </w:p>
        </w:tc>
        <w:tc>
          <w:tcPr>
            <w:tcW w:w="875" w:type="pct"/>
            <w:shd w:val="clear" w:color="auto" w:fill="auto"/>
            <w:vAlign w:val="center"/>
          </w:tcPr>
          <w:p>
            <w:pPr>
              <w:pStyle w:val="84"/>
              <w:rPr>
                <w:color w:val="auto"/>
                <w:szCs w:val="20"/>
                <w:highlight w:val="none"/>
              </w:rPr>
            </w:pPr>
            <w:r>
              <w:rPr>
                <w:color w:val="auto"/>
                <w:szCs w:val="22"/>
                <w:highlight w:val="none"/>
              </w:rPr>
              <w:t>单价（元/hm²）</w:t>
            </w:r>
          </w:p>
        </w:tc>
        <w:tc>
          <w:tcPr>
            <w:tcW w:w="703" w:type="pct"/>
            <w:shd w:val="clear" w:color="auto" w:fill="auto"/>
            <w:vAlign w:val="center"/>
          </w:tcPr>
          <w:p>
            <w:pPr>
              <w:pStyle w:val="84"/>
              <w:rPr>
                <w:color w:val="auto"/>
                <w:szCs w:val="20"/>
                <w:highlight w:val="none"/>
              </w:rPr>
            </w:pPr>
            <w:r>
              <w:rPr>
                <w:color w:val="auto"/>
                <w:szCs w:val="22"/>
                <w:highlight w:val="none"/>
              </w:rPr>
              <w:t>合价（万元）</w:t>
            </w:r>
          </w:p>
        </w:tc>
        <w:tc>
          <w:tcPr>
            <w:tcW w:w="1171" w:type="pct"/>
            <w:shd w:val="clear" w:color="auto" w:fill="auto"/>
            <w:vAlign w:val="center"/>
          </w:tcPr>
          <w:p>
            <w:pPr>
              <w:pStyle w:val="84"/>
              <w:rPr>
                <w:color w:val="auto"/>
                <w:szCs w:val="20"/>
                <w:highlight w:val="none"/>
              </w:rPr>
            </w:pPr>
            <w:r>
              <w:rPr>
                <w:color w:val="auto"/>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4" w:hRule="exact"/>
          <w:jc w:val="center"/>
        </w:trPr>
        <w:tc>
          <w:tcPr>
            <w:tcW w:w="380" w:type="pct"/>
            <w:shd w:val="clear" w:color="auto" w:fill="auto"/>
            <w:vAlign w:val="center"/>
          </w:tcPr>
          <w:p>
            <w:pPr>
              <w:pStyle w:val="84"/>
              <w:rPr>
                <w:color w:val="auto"/>
                <w:szCs w:val="20"/>
                <w:highlight w:val="none"/>
              </w:rPr>
            </w:pPr>
            <w:r>
              <w:rPr>
                <w:color w:val="auto"/>
                <w:highlight w:val="none"/>
              </w:rPr>
              <w:t>1</w:t>
            </w:r>
          </w:p>
        </w:tc>
        <w:tc>
          <w:tcPr>
            <w:tcW w:w="949" w:type="pct"/>
            <w:shd w:val="clear" w:color="auto" w:fill="auto"/>
            <w:vAlign w:val="center"/>
          </w:tcPr>
          <w:p>
            <w:pPr>
              <w:pStyle w:val="84"/>
              <w:rPr>
                <w:color w:val="auto"/>
                <w:szCs w:val="20"/>
                <w:highlight w:val="none"/>
              </w:rPr>
            </w:pPr>
            <w:r>
              <w:rPr>
                <w:color w:val="auto"/>
                <w:szCs w:val="22"/>
                <w:highlight w:val="none"/>
              </w:rPr>
              <w:t>征占地面积</w:t>
            </w:r>
          </w:p>
        </w:tc>
        <w:tc>
          <w:tcPr>
            <w:tcW w:w="391" w:type="pct"/>
            <w:shd w:val="clear" w:color="auto" w:fill="auto"/>
            <w:vAlign w:val="center"/>
          </w:tcPr>
          <w:p>
            <w:pPr>
              <w:pStyle w:val="84"/>
              <w:rPr>
                <w:color w:val="auto"/>
                <w:szCs w:val="20"/>
                <w:highlight w:val="none"/>
              </w:rPr>
            </w:pPr>
            <w:r>
              <w:rPr>
                <w:color w:val="auto"/>
                <w:szCs w:val="22"/>
                <w:highlight w:val="none"/>
              </w:rPr>
              <w:t>hm²</w:t>
            </w:r>
          </w:p>
        </w:tc>
        <w:tc>
          <w:tcPr>
            <w:tcW w:w="528" w:type="pct"/>
            <w:shd w:val="clear" w:color="auto" w:fill="auto"/>
            <w:vAlign w:val="center"/>
          </w:tcPr>
          <w:p>
            <w:pPr>
              <w:pStyle w:val="84"/>
              <w:rPr>
                <w:rFonts w:hint="default" w:eastAsia="仿宋_GB2312"/>
                <w:color w:val="auto"/>
                <w:szCs w:val="20"/>
                <w:highlight w:val="none"/>
                <w:lang w:val="en-US" w:eastAsia="zh-CN"/>
              </w:rPr>
            </w:pPr>
            <w:r>
              <w:rPr>
                <w:rFonts w:hint="eastAsia"/>
                <w:color w:val="auto"/>
                <w:szCs w:val="20"/>
                <w:highlight w:val="none"/>
                <w:lang w:val="en-US" w:eastAsia="zh-CN"/>
              </w:rPr>
              <w:t>2.96</w:t>
            </w:r>
          </w:p>
        </w:tc>
        <w:tc>
          <w:tcPr>
            <w:tcW w:w="875" w:type="pct"/>
            <w:shd w:val="clear" w:color="auto" w:fill="auto"/>
            <w:vAlign w:val="center"/>
          </w:tcPr>
          <w:p>
            <w:pPr>
              <w:pStyle w:val="84"/>
              <w:rPr>
                <w:rFonts w:hint="eastAsia" w:eastAsia="仿宋_GB2312"/>
                <w:color w:val="auto"/>
                <w:szCs w:val="20"/>
                <w:highlight w:val="none"/>
                <w:lang w:eastAsia="zh-CN"/>
              </w:rPr>
            </w:pPr>
            <w:r>
              <w:rPr>
                <w:rFonts w:hint="eastAsia"/>
                <w:color w:val="auto"/>
                <w:szCs w:val="22"/>
                <w:highlight w:val="none"/>
                <w:lang w:val="en-US" w:eastAsia="zh-CN"/>
              </w:rPr>
              <w:t>/</w:t>
            </w:r>
          </w:p>
        </w:tc>
        <w:tc>
          <w:tcPr>
            <w:tcW w:w="703" w:type="pct"/>
            <w:shd w:val="clear" w:color="auto" w:fill="auto"/>
            <w:noWrap/>
            <w:vAlign w:val="center"/>
          </w:tcPr>
          <w:p>
            <w:pPr>
              <w:pStyle w:val="84"/>
              <w:rPr>
                <w:rFonts w:hint="eastAsia" w:eastAsia="仿宋_GB2312"/>
                <w:color w:val="auto"/>
                <w:szCs w:val="20"/>
                <w:highlight w:val="none"/>
                <w:lang w:eastAsia="zh-CN"/>
              </w:rPr>
            </w:pPr>
            <w:r>
              <w:rPr>
                <w:rFonts w:hint="eastAsia"/>
                <w:color w:val="auto"/>
                <w:szCs w:val="22"/>
                <w:highlight w:val="none"/>
                <w:lang w:val="en-US" w:eastAsia="zh-CN"/>
              </w:rPr>
              <w:t>0</w:t>
            </w:r>
          </w:p>
        </w:tc>
        <w:tc>
          <w:tcPr>
            <w:tcW w:w="1171" w:type="pct"/>
            <w:shd w:val="clear" w:color="auto" w:fill="auto"/>
            <w:vAlign w:val="center"/>
          </w:tcPr>
          <w:p>
            <w:pPr>
              <w:pStyle w:val="84"/>
              <w:rPr>
                <w:color w:val="auto"/>
                <w:szCs w:val="20"/>
                <w:highlight w:val="none"/>
              </w:rPr>
            </w:pPr>
            <w:r>
              <w:rPr>
                <w:rFonts w:hint="eastAsia"/>
                <w:color w:val="auto"/>
                <w:highlight w:val="none"/>
                <w:lang w:eastAsia="zh-CN"/>
              </w:rPr>
              <w:t>本项目属于</w:t>
            </w:r>
            <w:r>
              <w:rPr>
                <w:rFonts w:hint="eastAsia"/>
                <w:color w:val="auto"/>
                <w:highlight w:val="none"/>
              </w:rPr>
              <w:t>建设保障性安居工程项目</w:t>
            </w:r>
          </w:p>
        </w:tc>
      </w:tr>
    </w:tbl>
    <w:p>
      <w:pPr>
        <w:pStyle w:val="56"/>
        <w:ind w:firstLine="482"/>
        <w:rPr>
          <w:b/>
          <w:bCs/>
          <w:color w:val="auto"/>
          <w:highlight w:val="none"/>
        </w:rPr>
      </w:pPr>
    </w:p>
    <w:p>
      <w:pPr>
        <w:pStyle w:val="75"/>
        <w:rPr>
          <w:color w:val="auto"/>
          <w:highlight w:val="none"/>
        </w:rPr>
      </w:pPr>
      <w:r>
        <w:rPr>
          <w:color w:val="auto"/>
          <w:highlight w:val="none"/>
        </w:rPr>
        <w:t>表7.1-</w:t>
      </w:r>
      <w:r>
        <w:rPr>
          <w:rFonts w:hint="eastAsia"/>
          <w:color w:val="auto"/>
          <w:highlight w:val="none"/>
          <w:lang w:val="en-US" w:eastAsia="zh-CN"/>
        </w:rPr>
        <w:t>10</w:t>
      </w:r>
      <w:r>
        <w:rPr>
          <w:color w:val="auto"/>
          <w:highlight w:val="none"/>
        </w:rPr>
        <w:t xml:space="preserve">         工程单价汇总表     单价：元</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6"/>
        <w:gridCol w:w="1270"/>
        <w:gridCol w:w="902"/>
        <w:gridCol w:w="991"/>
        <w:gridCol w:w="1163"/>
        <w:gridCol w:w="920"/>
        <w:gridCol w:w="821"/>
        <w:gridCol w:w="817"/>
        <w:gridCol w:w="11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82" w:type="pct"/>
            <w:vMerge w:val="restart"/>
            <w:shd w:val="clear" w:color="auto" w:fill="auto"/>
            <w:vAlign w:val="center"/>
          </w:tcPr>
          <w:p>
            <w:pPr>
              <w:pStyle w:val="84"/>
              <w:rPr>
                <w:color w:val="auto"/>
                <w:highlight w:val="none"/>
              </w:rPr>
            </w:pPr>
            <w:r>
              <w:rPr>
                <w:color w:val="auto"/>
                <w:highlight w:val="none"/>
              </w:rPr>
              <w:t>定额编号</w:t>
            </w:r>
          </w:p>
        </w:tc>
        <w:tc>
          <w:tcPr>
            <w:tcW w:w="700" w:type="pct"/>
            <w:vMerge w:val="restart"/>
            <w:shd w:val="clear" w:color="auto" w:fill="auto"/>
            <w:vAlign w:val="center"/>
          </w:tcPr>
          <w:p>
            <w:pPr>
              <w:pStyle w:val="84"/>
              <w:rPr>
                <w:color w:val="auto"/>
                <w:highlight w:val="none"/>
              </w:rPr>
            </w:pPr>
            <w:r>
              <w:rPr>
                <w:color w:val="auto"/>
                <w:highlight w:val="none"/>
              </w:rPr>
              <w:t>工程名称</w:t>
            </w:r>
          </w:p>
        </w:tc>
        <w:tc>
          <w:tcPr>
            <w:tcW w:w="497" w:type="pct"/>
            <w:vMerge w:val="restart"/>
            <w:shd w:val="clear" w:color="auto" w:fill="auto"/>
            <w:vAlign w:val="center"/>
          </w:tcPr>
          <w:p>
            <w:pPr>
              <w:pStyle w:val="84"/>
              <w:rPr>
                <w:color w:val="auto"/>
                <w:highlight w:val="none"/>
              </w:rPr>
            </w:pPr>
            <w:r>
              <w:rPr>
                <w:color w:val="auto"/>
                <w:highlight w:val="none"/>
              </w:rPr>
              <w:t>单位</w:t>
            </w:r>
          </w:p>
        </w:tc>
        <w:tc>
          <w:tcPr>
            <w:tcW w:w="546" w:type="pct"/>
            <w:vMerge w:val="restart"/>
            <w:shd w:val="clear" w:color="auto" w:fill="auto"/>
            <w:vAlign w:val="center"/>
          </w:tcPr>
          <w:p>
            <w:pPr>
              <w:pStyle w:val="84"/>
              <w:rPr>
                <w:color w:val="auto"/>
                <w:highlight w:val="none"/>
              </w:rPr>
            </w:pPr>
            <w:r>
              <w:rPr>
                <w:color w:val="auto"/>
                <w:highlight w:val="none"/>
              </w:rPr>
              <w:t>单价</w:t>
            </w:r>
          </w:p>
        </w:tc>
        <w:tc>
          <w:tcPr>
            <w:tcW w:w="2671" w:type="pct"/>
            <w:gridSpan w:val="5"/>
            <w:shd w:val="clear" w:color="auto" w:fill="auto"/>
            <w:vAlign w:val="center"/>
          </w:tcPr>
          <w:p>
            <w:pPr>
              <w:pStyle w:val="84"/>
              <w:rPr>
                <w:color w:val="auto"/>
                <w:highlight w:val="none"/>
              </w:rPr>
            </w:pPr>
            <w:r>
              <w:rPr>
                <w:color w:val="auto"/>
                <w:highlight w:val="none"/>
              </w:rPr>
              <w:t>其中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2" w:hRule="exact"/>
          <w:jc w:val="center"/>
        </w:trPr>
        <w:tc>
          <w:tcPr>
            <w:tcW w:w="582" w:type="pct"/>
            <w:vMerge w:val="continue"/>
            <w:vAlign w:val="center"/>
          </w:tcPr>
          <w:p>
            <w:pPr>
              <w:pStyle w:val="84"/>
              <w:rPr>
                <w:color w:val="auto"/>
                <w:highlight w:val="none"/>
              </w:rPr>
            </w:pPr>
          </w:p>
        </w:tc>
        <w:tc>
          <w:tcPr>
            <w:tcW w:w="700" w:type="pct"/>
            <w:vMerge w:val="continue"/>
            <w:vAlign w:val="center"/>
          </w:tcPr>
          <w:p>
            <w:pPr>
              <w:pStyle w:val="84"/>
              <w:rPr>
                <w:color w:val="auto"/>
                <w:highlight w:val="none"/>
              </w:rPr>
            </w:pPr>
          </w:p>
        </w:tc>
        <w:tc>
          <w:tcPr>
            <w:tcW w:w="497" w:type="pct"/>
            <w:vMerge w:val="continue"/>
            <w:vAlign w:val="center"/>
          </w:tcPr>
          <w:p>
            <w:pPr>
              <w:pStyle w:val="84"/>
              <w:rPr>
                <w:color w:val="auto"/>
                <w:highlight w:val="none"/>
              </w:rPr>
            </w:pPr>
          </w:p>
        </w:tc>
        <w:tc>
          <w:tcPr>
            <w:tcW w:w="546" w:type="pct"/>
            <w:vMerge w:val="continue"/>
            <w:vAlign w:val="center"/>
          </w:tcPr>
          <w:p>
            <w:pPr>
              <w:pStyle w:val="84"/>
              <w:rPr>
                <w:color w:val="auto"/>
                <w:highlight w:val="none"/>
              </w:rPr>
            </w:pPr>
          </w:p>
        </w:tc>
        <w:tc>
          <w:tcPr>
            <w:tcW w:w="641" w:type="pct"/>
            <w:shd w:val="clear" w:color="auto" w:fill="auto"/>
            <w:vAlign w:val="center"/>
          </w:tcPr>
          <w:p>
            <w:pPr>
              <w:pStyle w:val="84"/>
              <w:rPr>
                <w:color w:val="auto"/>
                <w:highlight w:val="none"/>
              </w:rPr>
            </w:pPr>
            <w:r>
              <w:rPr>
                <w:color w:val="auto"/>
                <w:highlight w:val="none"/>
              </w:rPr>
              <w:t>直接工程费</w:t>
            </w:r>
          </w:p>
        </w:tc>
        <w:tc>
          <w:tcPr>
            <w:tcW w:w="507" w:type="pct"/>
            <w:shd w:val="clear" w:color="auto" w:fill="auto"/>
            <w:vAlign w:val="center"/>
          </w:tcPr>
          <w:p>
            <w:pPr>
              <w:pStyle w:val="84"/>
              <w:rPr>
                <w:color w:val="auto"/>
                <w:highlight w:val="none"/>
              </w:rPr>
            </w:pPr>
            <w:r>
              <w:rPr>
                <w:color w:val="auto"/>
                <w:highlight w:val="none"/>
              </w:rPr>
              <w:t>间接费</w:t>
            </w:r>
          </w:p>
        </w:tc>
        <w:tc>
          <w:tcPr>
            <w:tcW w:w="453" w:type="pct"/>
            <w:shd w:val="clear" w:color="auto" w:fill="auto"/>
            <w:vAlign w:val="center"/>
          </w:tcPr>
          <w:p>
            <w:pPr>
              <w:pStyle w:val="84"/>
              <w:rPr>
                <w:color w:val="auto"/>
                <w:highlight w:val="none"/>
              </w:rPr>
            </w:pPr>
            <w:r>
              <w:rPr>
                <w:color w:val="auto"/>
                <w:highlight w:val="none"/>
              </w:rPr>
              <w:t>企业利润</w:t>
            </w:r>
          </w:p>
        </w:tc>
        <w:tc>
          <w:tcPr>
            <w:tcW w:w="450" w:type="pct"/>
            <w:shd w:val="clear" w:color="auto" w:fill="auto"/>
            <w:vAlign w:val="center"/>
          </w:tcPr>
          <w:p>
            <w:pPr>
              <w:pStyle w:val="84"/>
              <w:rPr>
                <w:color w:val="auto"/>
                <w:highlight w:val="none"/>
              </w:rPr>
            </w:pPr>
            <w:r>
              <w:rPr>
                <w:color w:val="auto"/>
                <w:highlight w:val="none"/>
              </w:rPr>
              <w:t>税金</w:t>
            </w:r>
          </w:p>
        </w:tc>
        <w:tc>
          <w:tcPr>
            <w:tcW w:w="618" w:type="pct"/>
            <w:shd w:val="clear" w:color="auto" w:fill="auto"/>
            <w:vAlign w:val="center"/>
          </w:tcPr>
          <w:p>
            <w:pPr>
              <w:pStyle w:val="84"/>
              <w:rPr>
                <w:color w:val="auto"/>
                <w:highlight w:val="none"/>
              </w:rPr>
            </w:pPr>
            <w:r>
              <w:rPr>
                <w:color w:val="auto"/>
                <w:highlight w:val="none"/>
              </w:rPr>
              <w:t>扩大10％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82" w:type="pct"/>
            <w:shd w:val="clear" w:color="auto" w:fill="auto"/>
            <w:noWrap/>
            <w:vAlign w:val="center"/>
          </w:tcPr>
          <w:p>
            <w:pPr>
              <w:pStyle w:val="84"/>
              <w:rPr>
                <w:color w:val="auto"/>
                <w:highlight w:val="none"/>
              </w:rPr>
            </w:pPr>
            <w:r>
              <w:rPr>
                <w:color w:val="auto"/>
                <w:highlight w:val="none"/>
              </w:rPr>
              <w:t>-</w:t>
            </w:r>
          </w:p>
        </w:tc>
        <w:tc>
          <w:tcPr>
            <w:tcW w:w="700" w:type="pct"/>
            <w:shd w:val="clear" w:color="auto" w:fill="auto"/>
            <w:vAlign w:val="center"/>
          </w:tcPr>
          <w:p>
            <w:pPr>
              <w:pStyle w:val="84"/>
              <w:rPr>
                <w:color w:val="auto"/>
                <w:highlight w:val="none"/>
              </w:rPr>
            </w:pPr>
            <w:r>
              <w:rPr>
                <w:color w:val="auto"/>
                <w:highlight w:val="none"/>
              </w:rPr>
              <w:t>土地平整</w:t>
            </w:r>
          </w:p>
        </w:tc>
        <w:tc>
          <w:tcPr>
            <w:tcW w:w="497" w:type="pct"/>
            <w:shd w:val="clear" w:color="auto" w:fill="auto"/>
            <w:vAlign w:val="center"/>
          </w:tcPr>
          <w:p>
            <w:pPr>
              <w:pStyle w:val="84"/>
              <w:rPr>
                <w:color w:val="auto"/>
                <w:highlight w:val="none"/>
              </w:rPr>
            </w:pPr>
            <w:r>
              <w:rPr>
                <w:color w:val="auto"/>
                <w:highlight w:val="none"/>
              </w:rPr>
              <w:t>100m²</w:t>
            </w:r>
          </w:p>
        </w:tc>
        <w:tc>
          <w:tcPr>
            <w:tcW w:w="546" w:type="pct"/>
            <w:shd w:val="clear" w:color="auto" w:fill="auto"/>
            <w:noWrap/>
            <w:vAlign w:val="center"/>
          </w:tcPr>
          <w:p>
            <w:pPr>
              <w:pStyle w:val="84"/>
              <w:rPr>
                <w:color w:val="auto"/>
                <w:highlight w:val="none"/>
              </w:rPr>
            </w:pPr>
            <w:r>
              <w:rPr>
                <w:color w:val="auto"/>
                <w:highlight w:val="none"/>
              </w:rPr>
              <w:t xml:space="preserve">122.05 </w:t>
            </w:r>
          </w:p>
        </w:tc>
        <w:tc>
          <w:tcPr>
            <w:tcW w:w="2671" w:type="pct"/>
            <w:gridSpan w:val="5"/>
            <w:shd w:val="clear" w:color="auto" w:fill="auto"/>
            <w:noWrap/>
            <w:vAlign w:val="center"/>
          </w:tcPr>
          <w:p>
            <w:pPr>
              <w:pStyle w:val="84"/>
              <w:rPr>
                <w:color w:val="auto"/>
                <w:highlight w:val="none"/>
              </w:rPr>
            </w:pPr>
            <w:r>
              <w:rPr>
                <w:color w:val="auto"/>
                <w:highlight w:val="none"/>
              </w:rPr>
              <w:t>与主体保持一致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82" w:type="pct"/>
            <w:shd w:val="clear" w:color="auto" w:fill="auto"/>
            <w:noWrap/>
            <w:vAlign w:val="center"/>
          </w:tcPr>
          <w:p>
            <w:pPr>
              <w:pStyle w:val="84"/>
              <w:rPr>
                <w:color w:val="auto"/>
                <w:highlight w:val="none"/>
              </w:rPr>
            </w:pPr>
            <w:r>
              <w:rPr>
                <w:color w:val="auto"/>
                <w:highlight w:val="none"/>
              </w:rPr>
              <w:t>03005</w:t>
            </w:r>
          </w:p>
        </w:tc>
        <w:tc>
          <w:tcPr>
            <w:tcW w:w="700" w:type="pct"/>
            <w:shd w:val="clear" w:color="auto" w:fill="auto"/>
            <w:vAlign w:val="center"/>
          </w:tcPr>
          <w:p>
            <w:pPr>
              <w:pStyle w:val="84"/>
              <w:rPr>
                <w:color w:val="auto"/>
                <w:highlight w:val="none"/>
              </w:rPr>
            </w:pPr>
            <w:r>
              <w:rPr>
                <w:color w:val="auto"/>
                <w:highlight w:val="none"/>
              </w:rPr>
              <w:t>防尘网苫盖</w:t>
            </w:r>
          </w:p>
        </w:tc>
        <w:tc>
          <w:tcPr>
            <w:tcW w:w="497" w:type="pct"/>
            <w:shd w:val="clear" w:color="auto" w:fill="auto"/>
            <w:vAlign w:val="center"/>
          </w:tcPr>
          <w:p>
            <w:pPr>
              <w:pStyle w:val="84"/>
              <w:rPr>
                <w:color w:val="auto"/>
                <w:highlight w:val="none"/>
              </w:rPr>
            </w:pPr>
            <w:r>
              <w:rPr>
                <w:color w:val="auto"/>
                <w:highlight w:val="none"/>
              </w:rPr>
              <w:t>100m²</w:t>
            </w:r>
          </w:p>
        </w:tc>
        <w:tc>
          <w:tcPr>
            <w:tcW w:w="546" w:type="pct"/>
            <w:shd w:val="clear" w:color="auto" w:fill="auto"/>
            <w:noWrap/>
            <w:vAlign w:val="center"/>
          </w:tcPr>
          <w:p>
            <w:pPr>
              <w:pStyle w:val="84"/>
              <w:rPr>
                <w:color w:val="auto"/>
                <w:highlight w:val="none"/>
              </w:rPr>
            </w:pPr>
            <w:r>
              <w:rPr>
                <w:color w:val="auto"/>
                <w:highlight w:val="none"/>
              </w:rPr>
              <w:t xml:space="preserve">1013.37 </w:t>
            </w:r>
          </w:p>
        </w:tc>
        <w:tc>
          <w:tcPr>
            <w:tcW w:w="641" w:type="pct"/>
            <w:shd w:val="clear" w:color="auto" w:fill="auto"/>
            <w:noWrap/>
            <w:vAlign w:val="center"/>
          </w:tcPr>
          <w:p>
            <w:pPr>
              <w:pStyle w:val="84"/>
              <w:rPr>
                <w:color w:val="auto"/>
                <w:highlight w:val="none"/>
              </w:rPr>
            </w:pPr>
            <w:r>
              <w:rPr>
                <w:color w:val="auto"/>
                <w:highlight w:val="none"/>
              </w:rPr>
              <w:t xml:space="preserve">756.60 </w:t>
            </w:r>
          </w:p>
        </w:tc>
        <w:tc>
          <w:tcPr>
            <w:tcW w:w="507" w:type="pct"/>
            <w:shd w:val="clear" w:color="auto" w:fill="auto"/>
            <w:noWrap/>
            <w:vAlign w:val="center"/>
          </w:tcPr>
          <w:p>
            <w:pPr>
              <w:pStyle w:val="84"/>
              <w:rPr>
                <w:color w:val="auto"/>
                <w:highlight w:val="none"/>
              </w:rPr>
            </w:pPr>
            <w:r>
              <w:rPr>
                <w:color w:val="auto"/>
                <w:highlight w:val="none"/>
              </w:rPr>
              <w:t xml:space="preserve">33.29 </w:t>
            </w:r>
          </w:p>
        </w:tc>
        <w:tc>
          <w:tcPr>
            <w:tcW w:w="453" w:type="pct"/>
            <w:shd w:val="clear" w:color="auto" w:fill="auto"/>
            <w:noWrap/>
            <w:vAlign w:val="center"/>
          </w:tcPr>
          <w:p>
            <w:pPr>
              <w:pStyle w:val="84"/>
              <w:rPr>
                <w:color w:val="auto"/>
                <w:highlight w:val="none"/>
              </w:rPr>
            </w:pPr>
            <w:r>
              <w:rPr>
                <w:color w:val="auto"/>
                <w:highlight w:val="none"/>
              </w:rPr>
              <w:t xml:space="preserve">55.29 </w:t>
            </w:r>
          </w:p>
        </w:tc>
        <w:tc>
          <w:tcPr>
            <w:tcW w:w="450" w:type="pct"/>
            <w:shd w:val="clear" w:color="auto" w:fill="auto"/>
            <w:noWrap/>
            <w:vAlign w:val="center"/>
          </w:tcPr>
          <w:p>
            <w:pPr>
              <w:pStyle w:val="84"/>
              <w:rPr>
                <w:color w:val="auto"/>
                <w:highlight w:val="none"/>
              </w:rPr>
            </w:pPr>
            <w:r>
              <w:rPr>
                <w:color w:val="auto"/>
                <w:highlight w:val="none"/>
              </w:rPr>
              <w:t xml:space="preserve">76.07 </w:t>
            </w:r>
          </w:p>
        </w:tc>
        <w:tc>
          <w:tcPr>
            <w:tcW w:w="618" w:type="pct"/>
            <w:shd w:val="clear" w:color="auto" w:fill="auto"/>
            <w:noWrap/>
            <w:vAlign w:val="center"/>
          </w:tcPr>
          <w:p>
            <w:pPr>
              <w:pStyle w:val="84"/>
              <w:rPr>
                <w:color w:val="auto"/>
                <w:highlight w:val="none"/>
              </w:rPr>
            </w:pPr>
            <w:r>
              <w:rPr>
                <w:color w:val="auto"/>
                <w:highlight w:val="none"/>
              </w:rPr>
              <w:t xml:space="preserve">92.12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82" w:type="pct"/>
            <w:shd w:val="clear" w:color="auto" w:fill="auto"/>
            <w:noWrap/>
            <w:vAlign w:val="center"/>
          </w:tcPr>
          <w:p>
            <w:pPr>
              <w:pStyle w:val="84"/>
              <w:rPr>
                <w:color w:val="auto"/>
                <w:highlight w:val="none"/>
              </w:rPr>
            </w:pPr>
            <w:r>
              <w:rPr>
                <w:color w:val="auto"/>
                <w:highlight w:val="none"/>
              </w:rPr>
              <w:t>08045</w:t>
            </w:r>
          </w:p>
        </w:tc>
        <w:tc>
          <w:tcPr>
            <w:tcW w:w="700" w:type="pct"/>
            <w:shd w:val="clear" w:color="auto" w:fill="auto"/>
            <w:vAlign w:val="center"/>
          </w:tcPr>
          <w:p>
            <w:pPr>
              <w:pStyle w:val="84"/>
              <w:rPr>
                <w:color w:val="auto"/>
                <w:highlight w:val="none"/>
              </w:rPr>
            </w:pPr>
            <w:r>
              <w:rPr>
                <w:color w:val="auto"/>
                <w:highlight w:val="none"/>
              </w:rPr>
              <w:t>全面整地</w:t>
            </w:r>
          </w:p>
        </w:tc>
        <w:tc>
          <w:tcPr>
            <w:tcW w:w="497" w:type="pct"/>
            <w:shd w:val="clear" w:color="auto" w:fill="auto"/>
            <w:vAlign w:val="center"/>
          </w:tcPr>
          <w:p>
            <w:pPr>
              <w:pStyle w:val="84"/>
              <w:rPr>
                <w:color w:val="auto"/>
                <w:highlight w:val="none"/>
              </w:rPr>
            </w:pPr>
            <w:r>
              <w:rPr>
                <w:color w:val="auto"/>
                <w:highlight w:val="none"/>
              </w:rPr>
              <w:t>100m²</w:t>
            </w:r>
          </w:p>
        </w:tc>
        <w:tc>
          <w:tcPr>
            <w:tcW w:w="546" w:type="pct"/>
            <w:shd w:val="clear" w:color="auto" w:fill="auto"/>
            <w:noWrap/>
            <w:vAlign w:val="center"/>
          </w:tcPr>
          <w:p>
            <w:pPr>
              <w:pStyle w:val="84"/>
              <w:rPr>
                <w:color w:val="auto"/>
                <w:highlight w:val="none"/>
              </w:rPr>
            </w:pPr>
            <w:r>
              <w:rPr>
                <w:color w:val="auto"/>
                <w:highlight w:val="none"/>
              </w:rPr>
              <w:t xml:space="preserve">944.81 </w:t>
            </w:r>
          </w:p>
        </w:tc>
        <w:tc>
          <w:tcPr>
            <w:tcW w:w="641" w:type="pct"/>
            <w:shd w:val="clear" w:color="auto" w:fill="auto"/>
            <w:noWrap/>
            <w:vAlign w:val="center"/>
          </w:tcPr>
          <w:p>
            <w:pPr>
              <w:pStyle w:val="84"/>
              <w:rPr>
                <w:color w:val="auto"/>
                <w:highlight w:val="none"/>
              </w:rPr>
            </w:pPr>
            <w:r>
              <w:rPr>
                <w:color w:val="auto"/>
                <w:highlight w:val="none"/>
              </w:rPr>
              <w:t xml:space="preserve">705.41 </w:t>
            </w:r>
          </w:p>
        </w:tc>
        <w:tc>
          <w:tcPr>
            <w:tcW w:w="507" w:type="pct"/>
            <w:shd w:val="clear" w:color="auto" w:fill="auto"/>
            <w:noWrap/>
            <w:vAlign w:val="center"/>
          </w:tcPr>
          <w:p>
            <w:pPr>
              <w:pStyle w:val="84"/>
              <w:rPr>
                <w:color w:val="auto"/>
                <w:highlight w:val="none"/>
              </w:rPr>
            </w:pPr>
            <w:r>
              <w:rPr>
                <w:color w:val="auto"/>
                <w:highlight w:val="none"/>
              </w:rPr>
              <w:t xml:space="preserve">31.04 </w:t>
            </w:r>
          </w:p>
        </w:tc>
        <w:tc>
          <w:tcPr>
            <w:tcW w:w="453" w:type="pct"/>
            <w:shd w:val="clear" w:color="auto" w:fill="auto"/>
            <w:noWrap/>
            <w:vAlign w:val="center"/>
          </w:tcPr>
          <w:p>
            <w:pPr>
              <w:pStyle w:val="84"/>
              <w:rPr>
                <w:color w:val="auto"/>
                <w:highlight w:val="none"/>
              </w:rPr>
            </w:pPr>
            <w:r>
              <w:rPr>
                <w:color w:val="auto"/>
                <w:highlight w:val="none"/>
              </w:rPr>
              <w:t xml:space="preserve">51.55 </w:t>
            </w:r>
          </w:p>
        </w:tc>
        <w:tc>
          <w:tcPr>
            <w:tcW w:w="450" w:type="pct"/>
            <w:shd w:val="clear" w:color="auto" w:fill="auto"/>
            <w:noWrap/>
            <w:vAlign w:val="center"/>
          </w:tcPr>
          <w:p>
            <w:pPr>
              <w:pStyle w:val="84"/>
              <w:rPr>
                <w:color w:val="auto"/>
                <w:highlight w:val="none"/>
              </w:rPr>
            </w:pPr>
            <w:r>
              <w:rPr>
                <w:color w:val="auto"/>
                <w:highlight w:val="none"/>
              </w:rPr>
              <w:t xml:space="preserve">70.92 </w:t>
            </w:r>
          </w:p>
        </w:tc>
        <w:tc>
          <w:tcPr>
            <w:tcW w:w="618" w:type="pct"/>
            <w:shd w:val="clear" w:color="auto" w:fill="auto"/>
            <w:noWrap/>
            <w:vAlign w:val="center"/>
          </w:tcPr>
          <w:p>
            <w:pPr>
              <w:pStyle w:val="84"/>
              <w:rPr>
                <w:color w:val="auto"/>
                <w:highlight w:val="none"/>
              </w:rPr>
            </w:pPr>
            <w:r>
              <w:rPr>
                <w:color w:val="auto"/>
                <w:highlight w:val="none"/>
              </w:rPr>
              <w:t xml:space="preserve">85.89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82" w:type="pct"/>
            <w:shd w:val="clear" w:color="auto" w:fill="auto"/>
            <w:noWrap/>
            <w:vAlign w:val="center"/>
          </w:tcPr>
          <w:p>
            <w:pPr>
              <w:pStyle w:val="84"/>
              <w:rPr>
                <w:rFonts w:hint="eastAsia" w:eastAsia="仿宋_GB2312"/>
                <w:color w:val="auto"/>
                <w:highlight w:val="none"/>
                <w:lang w:eastAsia="zh-CN"/>
              </w:rPr>
            </w:pPr>
            <w:r>
              <w:rPr>
                <w:rFonts w:hint="eastAsia"/>
                <w:color w:val="auto"/>
                <w:highlight w:val="none"/>
                <w:lang w:eastAsia="zh-CN"/>
              </w:rPr>
              <w:t>参考定额</w:t>
            </w:r>
          </w:p>
        </w:tc>
        <w:tc>
          <w:tcPr>
            <w:tcW w:w="700" w:type="pct"/>
            <w:shd w:val="clear" w:color="auto" w:fill="auto"/>
            <w:vAlign w:val="center"/>
          </w:tcPr>
          <w:p>
            <w:pPr>
              <w:pStyle w:val="84"/>
              <w:rPr>
                <w:color w:val="auto"/>
                <w:highlight w:val="none"/>
              </w:rPr>
            </w:pPr>
            <w:r>
              <w:rPr>
                <w:color w:val="auto"/>
                <w:highlight w:val="none"/>
              </w:rPr>
              <w:t>洒水车洒水</w:t>
            </w:r>
          </w:p>
        </w:tc>
        <w:tc>
          <w:tcPr>
            <w:tcW w:w="497" w:type="pct"/>
            <w:shd w:val="clear" w:color="auto" w:fill="auto"/>
            <w:vAlign w:val="center"/>
          </w:tcPr>
          <w:p>
            <w:pPr>
              <w:pStyle w:val="84"/>
              <w:rPr>
                <w:color w:val="auto"/>
                <w:highlight w:val="none"/>
              </w:rPr>
            </w:pPr>
            <w:r>
              <w:rPr>
                <w:color w:val="auto"/>
                <w:highlight w:val="none"/>
              </w:rPr>
              <w:t>100m³</w:t>
            </w:r>
          </w:p>
        </w:tc>
        <w:tc>
          <w:tcPr>
            <w:tcW w:w="546" w:type="pct"/>
            <w:shd w:val="clear" w:color="auto" w:fill="auto"/>
            <w:noWrap/>
            <w:vAlign w:val="center"/>
          </w:tcPr>
          <w:p>
            <w:pPr>
              <w:pStyle w:val="84"/>
              <w:rPr>
                <w:color w:val="auto"/>
                <w:highlight w:val="none"/>
              </w:rPr>
            </w:pPr>
            <w:r>
              <w:rPr>
                <w:color w:val="auto"/>
                <w:highlight w:val="none"/>
              </w:rPr>
              <w:t xml:space="preserve">1203.47 </w:t>
            </w:r>
          </w:p>
        </w:tc>
        <w:tc>
          <w:tcPr>
            <w:tcW w:w="641" w:type="pct"/>
            <w:shd w:val="clear" w:color="auto" w:fill="auto"/>
            <w:noWrap/>
            <w:vAlign w:val="center"/>
          </w:tcPr>
          <w:p>
            <w:pPr>
              <w:pStyle w:val="84"/>
              <w:rPr>
                <w:color w:val="auto"/>
                <w:highlight w:val="none"/>
              </w:rPr>
            </w:pPr>
            <w:r>
              <w:rPr>
                <w:color w:val="auto"/>
                <w:highlight w:val="none"/>
              </w:rPr>
              <w:t xml:space="preserve">898.53 </w:t>
            </w:r>
          </w:p>
        </w:tc>
        <w:tc>
          <w:tcPr>
            <w:tcW w:w="507" w:type="pct"/>
            <w:shd w:val="clear" w:color="auto" w:fill="auto"/>
            <w:noWrap/>
            <w:vAlign w:val="center"/>
          </w:tcPr>
          <w:p>
            <w:pPr>
              <w:pStyle w:val="84"/>
              <w:rPr>
                <w:color w:val="auto"/>
                <w:highlight w:val="none"/>
              </w:rPr>
            </w:pPr>
            <w:r>
              <w:rPr>
                <w:color w:val="auto"/>
                <w:highlight w:val="none"/>
              </w:rPr>
              <w:t xml:space="preserve">39.54 </w:t>
            </w:r>
          </w:p>
        </w:tc>
        <w:tc>
          <w:tcPr>
            <w:tcW w:w="453" w:type="pct"/>
            <w:shd w:val="clear" w:color="auto" w:fill="auto"/>
            <w:noWrap/>
            <w:vAlign w:val="center"/>
          </w:tcPr>
          <w:p>
            <w:pPr>
              <w:pStyle w:val="84"/>
              <w:rPr>
                <w:color w:val="auto"/>
                <w:highlight w:val="none"/>
              </w:rPr>
            </w:pPr>
            <w:r>
              <w:rPr>
                <w:color w:val="auto"/>
                <w:highlight w:val="none"/>
              </w:rPr>
              <w:t xml:space="preserve">65.66 </w:t>
            </w:r>
          </w:p>
        </w:tc>
        <w:tc>
          <w:tcPr>
            <w:tcW w:w="450" w:type="pct"/>
            <w:shd w:val="clear" w:color="auto" w:fill="auto"/>
            <w:noWrap/>
            <w:vAlign w:val="center"/>
          </w:tcPr>
          <w:p>
            <w:pPr>
              <w:pStyle w:val="84"/>
              <w:rPr>
                <w:color w:val="auto"/>
                <w:highlight w:val="none"/>
              </w:rPr>
            </w:pPr>
            <w:r>
              <w:rPr>
                <w:color w:val="auto"/>
                <w:highlight w:val="none"/>
              </w:rPr>
              <w:t xml:space="preserve">90.34 </w:t>
            </w:r>
          </w:p>
        </w:tc>
        <w:tc>
          <w:tcPr>
            <w:tcW w:w="618" w:type="pct"/>
            <w:shd w:val="clear" w:color="auto" w:fill="auto"/>
            <w:noWrap/>
            <w:vAlign w:val="center"/>
          </w:tcPr>
          <w:p>
            <w:pPr>
              <w:pStyle w:val="84"/>
              <w:rPr>
                <w:color w:val="auto"/>
                <w:highlight w:val="none"/>
              </w:rPr>
            </w:pPr>
            <w:r>
              <w:rPr>
                <w:color w:val="auto"/>
                <w:highlight w:val="none"/>
              </w:rPr>
              <w:t xml:space="preserve">109.41 </w:t>
            </w:r>
          </w:p>
        </w:tc>
      </w:tr>
    </w:tbl>
    <w:p>
      <w:pPr>
        <w:pStyle w:val="75"/>
        <w:rPr>
          <w:color w:val="auto"/>
          <w:highlight w:val="none"/>
        </w:rPr>
      </w:pPr>
    </w:p>
    <w:p>
      <w:pPr>
        <w:pStyle w:val="75"/>
        <w:rPr>
          <w:color w:val="auto"/>
          <w:highlight w:val="none"/>
        </w:rPr>
      </w:pPr>
      <w:r>
        <w:rPr>
          <w:color w:val="auto"/>
          <w:highlight w:val="none"/>
        </w:rPr>
        <w:t>表7.1-1</w:t>
      </w:r>
      <w:r>
        <w:rPr>
          <w:rFonts w:hint="eastAsia"/>
          <w:color w:val="auto"/>
          <w:highlight w:val="none"/>
          <w:lang w:val="en-US" w:eastAsia="zh-CN"/>
        </w:rPr>
        <w:t>1</w:t>
      </w:r>
      <w:r>
        <w:rPr>
          <w:color w:val="auto"/>
          <w:highlight w:val="none"/>
        </w:rPr>
        <w:t xml:space="preserve">         施工机械台时费汇总表      单价：元</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2"/>
        <w:gridCol w:w="1985"/>
        <w:gridCol w:w="850"/>
        <w:gridCol w:w="708"/>
        <w:gridCol w:w="1134"/>
        <w:gridCol w:w="710"/>
        <w:gridCol w:w="971"/>
        <w:gridCol w:w="1000"/>
        <w:gridCol w:w="10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376" w:type="pct"/>
            <w:vMerge w:val="restart"/>
            <w:shd w:val="clear" w:color="auto" w:fill="auto"/>
            <w:vAlign w:val="center"/>
          </w:tcPr>
          <w:p>
            <w:pPr>
              <w:pStyle w:val="84"/>
              <w:rPr>
                <w:color w:val="auto"/>
                <w:highlight w:val="none"/>
              </w:rPr>
            </w:pPr>
            <w:r>
              <w:rPr>
                <w:color w:val="auto"/>
                <w:highlight w:val="none"/>
              </w:rPr>
              <w:t>定额编号</w:t>
            </w:r>
          </w:p>
        </w:tc>
        <w:tc>
          <w:tcPr>
            <w:tcW w:w="1095" w:type="pct"/>
            <w:vMerge w:val="restart"/>
            <w:shd w:val="clear" w:color="auto" w:fill="auto"/>
            <w:vAlign w:val="center"/>
          </w:tcPr>
          <w:p>
            <w:pPr>
              <w:pStyle w:val="84"/>
              <w:rPr>
                <w:color w:val="auto"/>
                <w:highlight w:val="none"/>
              </w:rPr>
            </w:pPr>
            <w:r>
              <w:rPr>
                <w:color w:val="auto"/>
                <w:highlight w:val="none"/>
              </w:rPr>
              <w:t>名称及规格</w:t>
            </w:r>
          </w:p>
        </w:tc>
        <w:tc>
          <w:tcPr>
            <w:tcW w:w="469" w:type="pct"/>
            <w:vMerge w:val="restart"/>
            <w:shd w:val="clear" w:color="auto" w:fill="auto"/>
            <w:vAlign w:val="center"/>
          </w:tcPr>
          <w:p>
            <w:pPr>
              <w:pStyle w:val="84"/>
              <w:rPr>
                <w:color w:val="auto"/>
                <w:highlight w:val="none"/>
              </w:rPr>
            </w:pPr>
            <w:r>
              <w:rPr>
                <w:color w:val="auto"/>
                <w:highlight w:val="none"/>
              </w:rPr>
              <w:t>台时费</w:t>
            </w:r>
          </w:p>
        </w:tc>
        <w:tc>
          <w:tcPr>
            <w:tcW w:w="3060" w:type="pct"/>
            <w:gridSpan w:val="6"/>
            <w:shd w:val="clear" w:color="auto" w:fill="auto"/>
            <w:vAlign w:val="center"/>
          </w:tcPr>
          <w:p>
            <w:pPr>
              <w:pStyle w:val="84"/>
              <w:rPr>
                <w:color w:val="auto"/>
                <w:highlight w:val="none"/>
              </w:rPr>
            </w:pPr>
            <w:r>
              <w:rPr>
                <w:color w:val="auto"/>
                <w:highlight w:val="none"/>
              </w:rPr>
              <w:t>其中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376" w:type="pct"/>
            <w:vMerge w:val="continue"/>
            <w:vAlign w:val="center"/>
          </w:tcPr>
          <w:p>
            <w:pPr>
              <w:pStyle w:val="84"/>
              <w:rPr>
                <w:color w:val="auto"/>
                <w:highlight w:val="none"/>
              </w:rPr>
            </w:pPr>
          </w:p>
        </w:tc>
        <w:tc>
          <w:tcPr>
            <w:tcW w:w="1095" w:type="pct"/>
            <w:vMerge w:val="continue"/>
            <w:vAlign w:val="center"/>
          </w:tcPr>
          <w:p>
            <w:pPr>
              <w:pStyle w:val="84"/>
              <w:rPr>
                <w:color w:val="auto"/>
                <w:highlight w:val="none"/>
              </w:rPr>
            </w:pPr>
          </w:p>
        </w:tc>
        <w:tc>
          <w:tcPr>
            <w:tcW w:w="469" w:type="pct"/>
            <w:vMerge w:val="continue"/>
            <w:vAlign w:val="center"/>
          </w:tcPr>
          <w:p>
            <w:pPr>
              <w:pStyle w:val="84"/>
              <w:rPr>
                <w:color w:val="auto"/>
                <w:highlight w:val="none"/>
              </w:rPr>
            </w:pPr>
          </w:p>
        </w:tc>
        <w:tc>
          <w:tcPr>
            <w:tcW w:w="391" w:type="pct"/>
            <w:vMerge w:val="restart"/>
            <w:shd w:val="clear" w:color="auto" w:fill="auto"/>
            <w:vAlign w:val="center"/>
          </w:tcPr>
          <w:p>
            <w:pPr>
              <w:pStyle w:val="84"/>
              <w:rPr>
                <w:color w:val="auto"/>
                <w:highlight w:val="none"/>
              </w:rPr>
            </w:pPr>
            <w:r>
              <w:rPr>
                <w:color w:val="auto"/>
                <w:highlight w:val="none"/>
              </w:rPr>
              <w:t>折旧费</w:t>
            </w:r>
          </w:p>
        </w:tc>
        <w:tc>
          <w:tcPr>
            <w:tcW w:w="626" w:type="pct"/>
            <w:vMerge w:val="restart"/>
            <w:shd w:val="clear" w:color="auto" w:fill="auto"/>
            <w:vAlign w:val="center"/>
          </w:tcPr>
          <w:p>
            <w:pPr>
              <w:pStyle w:val="84"/>
              <w:rPr>
                <w:color w:val="auto"/>
                <w:highlight w:val="none"/>
              </w:rPr>
            </w:pPr>
            <w:r>
              <w:rPr>
                <w:color w:val="auto"/>
                <w:highlight w:val="none"/>
              </w:rPr>
              <w:t>修理及替换设备费</w:t>
            </w:r>
          </w:p>
        </w:tc>
        <w:tc>
          <w:tcPr>
            <w:tcW w:w="392" w:type="pct"/>
            <w:vMerge w:val="restart"/>
            <w:shd w:val="clear" w:color="auto" w:fill="auto"/>
            <w:vAlign w:val="center"/>
          </w:tcPr>
          <w:p>
            <w:pPr>
              <w:pStyle w:val="84"/>
              <w:rPr>
                <w:color w:val="auto"/>
                <w:highlight w:val="none"/>
              </w:rPr>
            </w:pPr>
            <w:r>
              <w:rPr>
                <w:color w:val="auto"/>
                <w:highlight w:val="none"/>
              </w:rPr>
              <w:t>安拆费</w:t>
            </w:r>
          </w:p>
        </w:tc>
        <w:tc>
          <w:tcPr>
            <w:tcW w:w="536" w:type="pct"/>
            <w:shd w:val="clear" w:color="auto" w:fill="auto"/>
            <w:vAlign w:val="center"/>
          </w:tcPr>
          <w:p>
            <w:pPr>
              <w:pStyle w:val="84"/>
              <w:rPr>
                <w:color w:val="auto"/>
                <w:highlight w:val="none"/>
              </w:rPr>
            </w:pPr>
            <w:r>
              <w:rPr>
                <w:color w:val="auto"/>
                <w:highlight w:val="none"/>
              </w:rPr>
              <w:t>人工费</w:t>
            </w:r>
          </w:p>
        </w:tc>
        <w:tc>
          <w:tcPr>
            <w:tcW w:w="1116" w:type="pct"/>
            <w:gridSpan w:val="2"/>
            <w:shd w:val="clear" w:color="auto" w:fill="auto"/>
            <w:vAlign w:val="center"/>
          </w:tcPr>
          <w:p>
            <w:pPr>
              <w:pStyle w:val="84"/>
              <w:rPr>
                <w:color w:val="auto"/>
                <w:highlight w:val="none"/>
              </w:rPr>
            </w:pPr>
            <w:r>
              <w:rPr>
                <w:color w:val="auto"/>
                <w:highlight w:val="none"/>
              </w:rPr>
              <w:t>动力燃料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376" w:type="pct"/>
            <w:vMerge w:val="continue"/>
            <w:vAlign w:val="center"/>
          </w:tcPr>
          <w:p>
            <w:pPr>
              <w:pStyle w:val="84"/>
              <w:rPr>
                <w:color w:val="auto"/>
                <w:highlight w:val="none"/>
              </w:rPr>
            </w:pPr>
          </w:p>
        </w:tc>
        <w:tc>
          <w:tcPr>
            <w:tcW w:w="1095" w:type="pct"/>
            <w:vMerge w:val="continue"/>
            <w:vAlign w:val="center"/>
          </w:tcPr>
          <w:p>
            <w:pPr>
              <w:pStyle w:val="84"/>
              <w:rPr>
                <w:color w:val="auto"/>
                <w:highlight w:val="none"/>
              </w:rPr>
            </w:pPr>
          </w:p>
        </w:tc>
        <w:tc>
          <w:tcPr>
            <w:tcW w:w="469" w:type="pct"/>
            <w:vMerge w:val="continue"/>
            <w:vAlign w:val="center"/>
          </w:tcPr>
          <w:p>
            <w:pPr>
              <w:pStyle w:val="84"/>
              <w:rPr>
                <w:color w:val="auto"/>
                <w:highlight w:val="none"/>
              </w:rPr>
            </w:pPr>
          </w:p>
        </w:tc>
        <w:tc>
          <w:tcPr>
            <w:tcW w:w="391" w:type="pct"/>
            <w:vMerge w:val="continue"/>
            <w:vAlign w:val="center"/>
          </w:tcPr>
          <w:p>
            <w:pPr>
              <w:pStyle w:val="84"/>
              <w:rPr>
                <w:color w:val="auto"/>
                <w:highlight w:val="none"/>
              </w:rPr>
            </w:pPr>
          </w:p>
        </w:tc>
        <w:tc>
          <w:tcPr>
            <w:tcW w:w="626" w:type="pct"/>
            <w:vMerge w:val="continue"/>
            <w:vAlign w:val="center"/>
          </w:tcPr>
          <w:p>
            <w:pPr>
              <w:pStyle w:val="84"/>
              <w:rPr>
                <w:color w:val="auto"/>
                <w:highlight w:val="none"/>
              </w:rPr>
            </w:pPr>
          </w:p>
        </w:tc>
        <w:tc>
          <w:tcPr>
            <w:tcW w:w="392" w:type="pct"/>
            <w:vMerge w:val="continue"/>
            <w:vAlign w:val="center"/>
          </w:tcPr>
          <w:p>
            <w:pPr>
              <w:pStyle w:val="84"/>
              <w:rPr>
                <w:color w:val="auto"/>
                <w:highlight w:val="none"/>
              </w:rPr>
            </w:pPr>
          </w:p>
        </w:tc>
        <w:tc>
          <w:tcPr>
            <w:tcW w:w="536" w:type="pct"/>
            <w:shd w:val="clear" w:color="auto" w:fill="auto"/>
            <w:vAlign w:val="center"/>
          </w:tcPr>
          <w:p>
            <w:pPr>
              <w:pStyle w:val="84"/>
              <w:rPr>
                <w:color w:val="auto"/>
                <w:highlight w:val="none"/>
              </w:rPr>
            </w:pPr>
            <w:r>
              <w:rPr>
                <w:color w:val="auto"/>
                <w:highlight w:val="none"/>
              </w:rPr>
              <w:t>合价</w:t>
            </w:r>
          </w:p>
        </w:tc>
        <w:tc>
          <w:tcPr>
            <w:tcW w:w="552" w:type="pct"/>
            <w:shd w:val="clear" w:color="auto" w:fill="auto"/>
            <w:vAlign w:val="center"/>
          </w:tcPr>
          <w:p>
            <w:pPr>
              <w:pStyle w:val="84"/>
              <w:rPr>
                <w:color w:val="auto"/>
                <w:highlight w:val="none"/>
              </w:rPr>
            </w:pPr>
            <w:r>
              <w:rPr>
                <w:color w:val="auto"/>
                <w:highlight w:val="none"/>
              </w:rPr>
              <w:t>名称</w:t>
            </w:r>
          </w:p>
        </w:tc>
        <w:tc>
          <w:tcPr>
            <w:tcW w:w="564" w:type="pct"/>
            <w:shd w:val="clear" w:color="auto" w:fill="auto"/>
            <w:vAlign w:val="center"/>
          </w:tcPr>
          <w:p>
            <w:pPr>
              <w:pStyle w:val="84"/>
              <w:rPr>
                <w:color w:val="auto"/>
                <w:highlight w:val="none"/>
              </w:rPr>
            </w:pPr>
            <w:r>
              <w:rPr>
                <w:color w:val="auto"/>
                <w:highlight w:val="none"/>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376" w:type="pct"/>
            <w:shd w:val="clear" w:color="auto" w:fill="auto"/>
            <w:vAlign w:val="center"/>
          </w:tcPr>
          <w:p>
            <w:pPr>
              <w:pStyle w:val="84"/>
              <w:rPr>
                <w:color w:val="auto"/>
                <w:highlight w:val="none"/>
              </w:rPr>
            </w:pPr>
            <w:r>
              <w:rPr>
                <w:color w:val="auto"/>
                <w:highlight w:val="none"/>
              </w:rPr>
              <w:t>1031</w:t>
            </w:r>
          </w:p>
        </w:tc>
        <w:tc>
          <w:tcPr>
            <w:tcW w:w="1095" w:type="pct"/>
            <w:shd w:val="clear" w:color="auto" w:fill="auto"/>
            <w:vAlign w:val="center"/>
          </w:tcPr>
          <w:p>
            <w:pPr>
              <w:pStyle w:val="84"/>
              <w:rPr>
                <w:color w:val="auto"/>
                <w:highlight w:val="none"/>
              </w:rPr>
            </w:pPr>
            <w:r>
              <w:rPr>
                <w:color w:val="auto"/>
                <w:highlight w:val="none"/>
              </w:rPr>
              <w:t>推土机74kW</w:t>
            </w:r>
          </w:p>
        </w:tc>
        <w:tc>
          <w:tcPr>
            <w:tcW w:w="469" w:type="pct"/>
            <w:shd w:val="clear" w:color="auto" w:fill="auto"/>
            <w:vAlign w:val="center"/>
          </w:tcPr>
          <w:p>
            <w:pPr>
              <w:pStyle w:val="84"/>
              <w:rPr>
                <w:color w:val="auto"/>
                <w:highlight w:val="none"/>
              </w:rPr>
            </w:pPr>
            <w:r>
              <w:rPr>
                <w:color w:val="auto"/>
                <w:highlight w:val="none"/>
              </w:rPr>
              <w:t xml:space="preserve">130.88 </w:t>
            </w:r>
          </w:p>
        </w:tc>
        <w:tc>
          <w:tcPr>
            <w:tcW w:w="391" w:type="pct"/>
            <w:shd w:val="clear" w:color="auto" w:fill="auto"/>
            <w:vAlign w:val="center"/>
          </w:tcPr>
          <w:p>
            <w:pPr>
              <w:pStyle w:val="84"/>
              <w:rPr>
                <w:color w:val="auto"/>
                <w:highlight w:val="none"/>
              </w:rPr>
            </w:pPr>
            <w:r>
              <w:rPr>
                <w:color w:val="auto"/>
                <w:highlight w:val="none"/>
              </w:rPr>
              <w:t xml:space="preserve">16.81 </w:t>
            </w:r>
          </w:p>
        </w:tc>
        <w:tc>
          <w:tcPr>
            <w:tcW w:w="626" w:type="pct"/>
            <w:shd w:val="clear" w:color="auto" w:fill="auto"/>
            <w:vAlign w:val="center"/>
          </w:tcPr>
          <w:p>
            <w:pPr>
              <w:pStyle w:val="84"/>
              <w:rPr>
                <w:color w:val="auto"/>
                <w:highlight w:val="none"/>
              </w:rPr>
            </w:pPr>
            <w:r>
              <w:rPr>
                <w:color w:val="auto"/>
                <w:highlight w:val="none"/>
              </w:rPr>
              <w:t xml:space="preserve">20.93 </w:t>
            </w:r>
          </w:p>
        </w:tc>
        <w:tc>
          <w:tcPr>
            <w:tcW w:w="392" w:type="pct"/>
            <w:shd w:val="clear" w:color="auto" w:fill="auto"/>
            <w:vAlign w:val="center"/>
          </w:tcPr>
          <w:p>
            <w:pPr>
              <w:pStyle w:val="84"/>
              <w:rPr>
                <w:color w:val="auto"/>
                <w:highlight w:val="none"/>
              </w:rPr>
            </w:pPr>
            <w:r>
              <w:rPr>
                <w:color w:val="auto"/>
                <w:highlight w:val="none"/>
              </w:rPr>
              <w:t>0.86</w:t>
            </w:r>
          </w:p>
        </w:tc>
        <w:tc>
          <w:tcPr>
            <w:tcW w:w="536" w:type="pct"/>
            <w:shd w:val="clear" w:color="auto" w:fill="auto"/>
            <w:vAlign w:val="center"/>
          </w:tcPr>
          <w:p>
            <w:pPr>
              <w:pStyle w:val="84"/>
              <w:rPr>
                <w:color w:val="auto"/>
                <w:highlight w:val="none"/>
              </w:rPr>
            </w:pPr>
            <w:r>
              <w:rPr>
                <w:color w:val="auto"/>
                <w:highlight w:val="none"/>
              </w:rPr>
              <w:t>25.92</w:t>
            </w:r>
          </w:p>
        </w:tc>
        <w:tc>
          <w:tcPr>
            <w:tcW w:w="552" w:type="pct"/>
            <w:shd w:val="clear" w:color="auto" w:fill="auto"/>
            <w:vAlign w:val="center"/>
          </w:tcPr>
          <w:p>
            <w:pPr>
              <w:pStyle w:val="84"/>
              <w:rPr>
                <w:color w:val="auto"/>
                <w:highlight w:val="none"/>
              </w:rPr>
            </w:pPr>
            <w:r>
              <w:rPr>
                <w:color w:val="auto"/>
                <w:highlight w:val="none"/>
              </w:rPr>
              <w:t>柴油</w:t>
            </w:r>
          </w:p>
        </w:tc>
        <w:tc>
          <w:tcPr>
            <w:tcW w:w="564" w:type="pct"/>
            <w:shd w:val="clear" w:color="auto" w:fill="auto"/>
            <w:vAlign w:val="center"/>
          </w:tcPr>
          <w:p>
            <w:pPr>
              <w:pStyle w:val="84"/>
              <w:rPr>
                <w:color w:val="auto"/>
                <w:highlight w:val="none"/>
              </w:rPr>
            </w:pPr>
            <w:r>
              <w:rPr>
                <w:color w:val="auto"/>
                <w:highlight w:val="none"/>
              </w:rPr>
              <w:t>66.36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376" w:type="pct"/>
            <w:shd w:val="clear" w:color="auto" w:fill="auto"/>
            <w:vAlign w:val="center"/>
          </w:tcPr>
          <w:p>
            <w:pPr>
              <w:pStyle w:val="84"/>
              <w:rPr>
                <w:color w:val="auto"/>
                <w:highlight w:val="none"/>
              </w:rPr>
            </w:pPr>
            <w:r>
              <w:rPr>
                <w:color w:val="auto"/>
                <w:highlight w:val="none"/>
              </w:rPr>
              <w:t>3040</w:t>
            </w:r>
          </w:p>
        </w:tc>
        <w:tc>
          <w:tcPr>
            <w:tcW w:w="1095" w:type="pct"/>
            <w:shd w:val="clear" w:color="auto" w:fill="auto"/>
            <w:vAlign w:val="center"/>
          </w:tcPr>
          <w:p>
            <w:pPr>
              <w:pStyle w:val="84"/>
              <w:rPr>
                <w:color w:val="auto"/>
                <w:highlight w:val="none"/>
              </w:rPr>
            </w:pPr>
            <w:r>
              <w:rPr>
                <w:color w:val="auto"/>
                <w:highlight w:val="none"/>
              </w:rPr>
              <w:t>洒水车8m³</w:t>
            </w:r>
          </w:p>
        </w:tc>
        <w:tc>
          <w:tcPr>
            <w:tcW w:w="469" w:type="pct"/>
            <w:shd w:val="clear" w:color="auto" w:fill="auto"/>
            <w:vAlign w:val="center"/>
          </w:tcPr>
          <w:p>
            <w:pPr>
              <w:pStyle w:val="84"/>
              <w:rPr>
                <w:color w:val="auto"/>
                <w:highlight w:val="none"/>
              </w:rPr>
            </w:pPr>
            <w:r>
              <w:rPr>
                <w:color w:val="auto"/>
                <w:highlight w:val="none"/>
              </w:rPr>
              <w:t xml:space="preserve">108.72 </w:t>
            </w:r>
          </w:p>
        </w:tc>
        <w:tc>
          <w:tcPr>
            <w:tcW w:w="391" w:type="pct"/>
            <w:shd w:val="clear" w:color="auto" w:fill="auto"/>
            <w:vAlign w:val="center"/>
          </w:tcPr>
          <w:p>
            <w:pPr>
              <w:pStyle w:val="84"/>
              <w:rPr>
                <w:color w:val="auto"/>
                <w:highlight w:val="none"/>
              </w:rPr>
            </w:pPr>
            <w:r>
              <w:rPr>
                <w:color w:val="auto"/>
                <w:highlight w:val="none"/>
              </w:rPr>
              <w:t xml:space="preserve">14.06 </w:t>
            </w:r>
          </w:p>
        </w:tc>
        <w:tc>
          <w:tcPr>
            <w:tcW w:w="626" w:type="pct"/>
            <w:shd w:val="clear" w:color="auto" w:fill="auto"/>
            <w:vAlign w:val="center"/>
          </w:tcPr>
          <w:p>
            <w:pPr>
              <w:pStyle w:val="84"/>
              <w:rPr>
                <w:color w:val="auto"/>
                <w:highlight w:val="none"/>
              </w:rPr>
            </w:pPr>
            <w:r>
              <w:rPr>
                <w:color w:val="auto"/>
                <w:highlight w:val="none"/>
              </w:rPr>
              <w:t xml:space="preserve">20.12 </w:t>
            </w:r>
          </w:p>
        </w:tc>
        <w:tc>
          <w:tcPr>
            <w:tcW w:w="392" w:type="pct"/>
            <w:shd w:val="clear" w:color="auto" w:fill="auto"/>
            <w:vAlign w:val="center"/>
          </w:tcPr>
          <w:p>
            <w:pPr>
              <w:pStyle w:val="84"/>
              <w:rPr>
                <w:color w:val="auto"/>
                <w:highlight w:val="none"/>
              </w:rPr>
            </w:pPr>
            <w:r>
              <w:rPr>
                <w:color w:val="auto"/>
                <w:highlight w:val="none"/>
              </w:rPr>
              <w:t>/</w:t>
            </w:r>
          </w:p>
        </w:tc>
        <w:tc>
          <w:tcPr>
            <w:tcW w:w="536" w:type="pct"/>
            <w:shd w:val="clear" w:color="auto" w:fill="auto"/>
            <w:vAlign w:val="center"/>
          </w:tcPr>
          <w:p>
            <w:pPr>
              <w:pStyle w:val="84"/>
              <w:rPr>
                <w:color w:val="auto"/>
                <w:highlight w:val="none"/>
              </w:rPr>
            </w:pPr>
            <w:r>
              <w:rPr>
                <w:color w:val="auto"/>
                <w:highlight w:val="none"/>
              </w:rPr>
              <w:t>14.04</w:t>
            </w:r>
          </w:p>
        </w:tc>
        <w:tc>
          <w:tcPr>
            <w:tcW w:w="552" w:type="pct"/>
            <w:shd w:val="clear" w:color="auto" w:fill="auto"/>
            <w:vAlign w:val="center"/>
          </w:tcPr>
          <w:p>
            <w:pPr>
              <w:pStyle w:val="84"/>
              <w:rPr>
                <w:color w:val="auto"/>
                <w:highlight w:val="none"/>
              </w:rPr>
            </w:pPr>
            <w:r>
              <w:rPr>
                <w:color w:val="auto"/>
                <w:highlight w:val="none"/>
              </w:rPr>
              <w:t>汽油</w:t>
            </w:r>
          </w:p>
        </w:tc>
        <w:tc>
          <w:tcPr>
            <w:tcW w:w="564" w:type="pct"/>
            <w:shd w:val="clear" w:color="auto" w:fill="auto"/>
            <w:vAlign w:val="center"/>
          </w:tcPr>
          <w:p>
            <w:pPr>
              <w:pStyle w:val="84"/>
              <w:rPr>
                <w:color w:val="auto"/>
                <w:highlight w:val="none"/>
              </w:rPr>
            </w:pPr>
            <w:r>
              <w:rPr>
                <w:color w:val="auto"/>
                <w:highlight w:val="none"/>
              </w:rPr>
              <w:t>60.50</w:t>
            </w:r>
          </w:p>
        </w:tc>
      </w:tr>
    </w:tbl>
    <w:p>
      <w:pPr>
        <w:pStyle w:val="66"/>
        <w:ind w:firstLine="148"/>
        <w:rPr>
          <w:color w:val="auto"/>
          <w:highlight w:val="none"/>
        </w:rPr>
      </w:pPr>
      <w:bookmarkStart w:id="140" w:name="_Toc5662"/>
      <w:r>
        <w:rPr>
          <w:color w:val="auto"/>
          <w:highlight w:val="none"/>
        </w:rPr>
        <w:t>7.2 效益分析</w:t>
      </w:r>
      <w:bookmarkEnd w:id="140"/>
    </w:p>
    <w:p>
      <w:pPr>
        <w:pStyle w:val="56"/>
        <w:ind w:firstLine="480"/>
        <w:rPr>
          <w:color w:val="auto"/>
          <w:highlight w:val="none"/>
        </w:rPr>
      </w:pPr>
      <w:r>
        <w:rPr>
          <w:color w:val="auto"/>
          <w:highlight w:val="none"/>
        </w:rPr>
        <w:t>水土保持是一项社会公益事业，其效益分析必须在国家生态建设规划的指导下，本着可持续发展的原则，着重分析工程建设过程中通过落实各项水土保持措施后，在控制人为水土流失方面所产生的保水、保土、改善生态环境的作用和效益。效益分析按《生产建设项目水土保持技术标准》(GB 50433-2018)进行。</w:t>
      </w:r>
    </w:p>
    <w:p>
      <w:pPr>
        <w:pStyle w:val="69"/>
        <w:rPr>
          <w:color w:val="auto"/>
          <w:highlight w:val="none"/>
        </w:rPr>
      </w:pPr>
      <w:r>
        <w:rPr>
          <w:color w:val="auto"/>
          <w:highlight w:val="none"/>
        </w:rPr>
        <w:t>7.2.1 效益分析原则</w:t>
      </w:r>
    </w:p>
    <w:p>
      <w:pPr>
        <w:pStyle w:val="56"/>
        <w:ind w:firstLine="480"/>
        <w:rPr>
          <w:color w:val="auto"/>
          <w:highlight w:val="none"/>
        </w:rPr>
      </w:pPr>
      <w:r>
        <w:rPr>
          <w:color w:val="auto"/>
          <w:highlight w:val="none"/>
        </w:rPr>
        <w:t>（1）首先考虑水土保持措施的基础效益、生态效益和社会效益，在此基础上考虑经济效益。</w:t>
      </w:r>
    </w:p>
    <w:p>
      <w:pPr>
        <w:pStyle w:val="56"/>
        <w:ind w:firstLine="480"/>
        <w:rPr>
          <w:color w:val="auto"/>
          <w:highlight w:val="none"/>
        </w:rPr>
      </w:pPr>
      <w:r>
        <w:rPr>
          <w:color w:val="auto"/>
          <w:highlight w:val="none"/>
        </w:rPr>
        <w:t>（2）水土保持的效益既是多方面的，也是有限度的，要实事求是、客观地进行水土保持效益分析。</w:t>
      </w:r>
    </w:p>
    <w:p>
      <w:pPr>
        <w:pStyle w:val="56"/>
        <w:ind w:firstLine="480"/>
        <w:rPr>
          <w:color w:val="auto"/>
          <w:highlight w:val="none"/>
        </w:rPr>
      </w:pPr>
      <w:r>
        <w:rPr>
          <w:color w:val="auto"/>
          <w:highlight w:val="none"/>
        </w:rPr>
        <w:t>（3）基础效益采用定量和定性相结合分析，生态效益、社会效益作定性描述分析。</w:t>
      </w:r>
    </w:p>
    <w:p>
      <w:pPr>
        <w:pStyle w:val="69"/>
        <w:rPr>
          <w:color w:val="auto"/>
          <w:highlight w:val="none"/>
        </w:rPr>
      </w:pPr>
      <w:r>
        <w:rPr>
          <w:color w:val="auto"/>
          <w:highlight w:val="none"/>
        </w:rPr>
        <w:t>7.2.2 分析计算方法</w:t>
      </w:r>
    </w:p>
    <w:p>
      <w:pPr>
        <w:pStyle w:val="56"/>
        <w:ind w:firstLine="480"/>
        <w:rPr>
          <w:color w:val="auto"/>
          <w:highlight w:val="none"/>
        </w:rPr>
      </w:pPr>
      <w:r>
        <w:rPr>
          <w:color w:val="auto"/>
          <w:highlight w:val="none"/>
        </w:rPr>
        <w:t>本方案对水土保持综合治理措施的计算与评价方法是：在实地调查的基础上采用中华人民共和国国家标准《生产建设项目水土保持技术标准》（GB 50433-2018）进行分析计算。</w:t>
      </w:r>
    </w:p>
    <w:p>
      <w:pPr>
        <w:pStyle w:val="69"/>
        <w:rPr>
          <w:color w:val="auto"/>
          <w:highlight w:val="none"/>
        </w:rPr>
      </w:pPr>
      <w:r>
        <w:rPr>
          <w:color w:val="auto"/>
          <w:highlight w:val="none"/>
        </w:rPr>
        <w:t>7.2.3 防治效果预测</w:t>
      </w:r>
    </w:p>
    <w:p>
      <w:pPr>
        <w:pStyle w:val="56"/>
        <w:ind w:firstLine="480"/>
        <w:rPr>
          <w:color w:val="auto"/>
          <w:highlight w:val="none"/>
        </w:rPr>
      </w:pPr>
      <w:r>
        <w:rPr>
          <w:color w:val="auto"/>
          <w:highlight w:val="none"/>
        </w:rPr>
        <w:t>水土流失的防治效果预测，主要是指对照方案采取的水土流失防治措施，预测可能达到的防治效果。具体的量化指标为水土流失治理度、土壤流失控制比、渣土防护率、表土保护率、林草植被恢复率和林草覆盖率等六大指标。</w:t>
      </w:r>
    </w:p>
    <w:p>
      <w:pPr>
        <w:pStyle w:val="56"/>
        <w:ind w:firstLine="480"/>
        <w:rPr>
          <w:color w:val="auto"/>
          <w:highlight w:val="none"/>
        </w:rPr>
      </w:pPr>
      <w:r>
        <w:rPr>
          <w:color w:val="auto"/>
          <w:highlight w:val="none"/>
        </w:rPr>
        <w:t>1）水土流失治理度：水土保持措施面积与项目永久建筑物及硬化面积的和占项目建设区总面积的比例。本工程水土保措施防治面积1.</w:t>
      </w:r>
      <w:r>
        <w:rPr>
          <w:rFonts w:hint="eastAsia"/>
          <w:color w:val="auto"/>
          <w:highlight w:val="none"/>
          <w:lang w:val="en-US" w:eastAsia="zh-CN"/>
        </w:rPr>
        <w:t>20</w:t>
      </w:r>
      <w:r>
        <w:rPr>
          <w:color w:val="auto"/>
          <w:highlight w:val="none"/>
        </w:rPr>
        <w:t>hm²，永久建筑物及硬化面积为1.7</w:t>
      </w:r>
      <w:r>
        <w:rPr>
          <w:rFonts w:hint="eastAsia"/>
          <w:color w:val="auto"/>
          <w:highlight w:val="none"/>
          <w:lang w:val="en-US" w:eastAsia="zh-CN"/>
        </w:rPr>
        <w:t>5</w:t>
      </w:r>
      <w:r>
        <w:rPr>
          <w:color w:val="auto"/>
          <w:highlight w:val="none"/>
        </w:rPr>
        <w:t>hm²，水土流失面积为</w:t>
      </w:r>
      <w:r>
        <w:rPr>
          <w:rFonts w:hint="eastAsia"/>
          <w:color w:val="auto"/>
          <w:highlight w:val="none"/>
          <w:lang w:val="en-US" w:eastAsia="zh-CN"/>
        </w:rPr>
        <w:t>2.96</w:t>
      </w:r>
      <w:r>
        <w:rPr>
          <w:color w:val="auto"/>
          <w:highlight w:val="none"/>
        </w:rPr>
        <w:t>hm²，水土流失治理度达到9</w:t>
      </w:r>
      <w:r>
        <w:rPr>
          <w:rFonts w:hint="eastAsia"/>
          <w:color w:val="auto"/>
          <w:highlight w:val="none"/>
          <w:lang w:val="en-US" w:eastAsia="zh-CN"/>
        </w:rPr>
        <w:t>9.66</w:t>
      </w:r>
      <w:r>
        <w:rPr>
          <w:color w:val="auto"/>
          <w:highlight w:val="none"/>
        </w:rPr>
        <w:t>%。</w:t>
      </w:r>
    </w:p>
    <w:p>
      <w:pPr>
        <w:pStyle w:val="56"/>
        <w:ind w:firstLine="480"/>
        <w:rPr>
          <w:color w:val="auto"/>
          <w:highlight w:val="none"/>
        </w:rPr>
      </w:pPr>
      <w:r>
        <w:rPr>
          <w:color w:val="auto"/>
          <w:highlight w:val="none"/>
        </w:rPr>
        <w:t>2）土壤流失控制比：本工程项目区容许土壤流失量为1000t/km²·a，通过实施主体设计和本方案所提出的各项水土保持措施后，项目区经长达5年时间的自然恢复，5年后土壤侵蚀模数可降低到1000t/km²·a，土壤流失控制比控制为1.0。</w:t>
      </w:r>
    </w:p>
    <w:p>
      <w:pPr>
        <w:pStyle w:val="56"/>
        <w:ind w:firstLine="480"/>
        <w:rPr>
          <w:color w:val="auto"/>
          <w:highlight w:val="none"/>
        </w:rPr>
      </w:pPr>
      <w:r>
        <w:rPr>
          <w:color w:val="auto"/>
          <w:highlight w:val="none"/>
        </w:rPr>
        <w:t>3）渣土防护率：工程建设产生的永久弃渣及临时堆土总量为2</w:t>
      </w:r>
      <w:r>
        <w:rPr>
          <w:rFonts w:hint="eastAsia"/>
          <w:color w:val="auto"/>
          <w:highlight w:val="none"/>
          <w:lang w:val="en-US" w:eastAsia="zh-CN"/>
        </w:rPr>
        <w:t>.18</w:t>
      </w:r>
      <w:r>
        <w:rPr>
          <w:color w:val="auto"/>
          <w:highlight w:val="none"/>
        </w:rPr>
        <w:t>万m³，通过主体设计及实施的各项临时防护措施，可以基本控制临时堆土场水土流失，其渣土防护率可以达到9</w:t>
      </w:r>
      <w:r>
        <w:rPr>
          <w:rFonts w:hint="eastAsia"/>
          <w:color w:val="auto"/>
          <w:highlight w:val="none"/>
          <w:lang w:val="en-US" w:eastAsia="zh-CN"/>
        </w:rPr>
        <w:t>0.20</w:t>
      </w:r>
      <w:r>
        <w:rPr>
          <w:color w:val="auto"/>
          <w:highlight w:val="none"/>
        </w:rPr>
        <w:t>%。</w:t>
      </w:r>
    </w:p>
    <w:p>
      <w:pPr>
        <w:pStyle w:val="56"/>
        <w:ind w:firstLine="480"/>
        <w:rPr>
          <w:color w:val="auto"/>
          <w:highlight w:val="none"/>
        </w:rPr>
      </w:pPr>
      <w:r>
        <w:rPr>
          <w:color w:val="auto"/>
          <w:highlight w:val="none"/>
        </w:rPr>
        <w:t>4）表土保护率：本项目表土保护率不做具体要求。</w:t>
      </w:r>
    </w:p>
    <w:p>
      <w:pPr>
        <w:pStyle w:val="56"/>
        <w:ind w:firstLine="480"/>
        <w:rPr>
          <w:color w:val="auto"/>
          <w:highlight w:val="none"/>
        </w:rPr>
      </w:pPr>
      <w:r>
        <w:rPr>
          <w:color w:val="auto"/>
          <w:highlight w:val="none"/>
        </w:rPr>
        <w:t>5）林草植被恢复率和林草植被覆盖率：本项目可绿化面积为</w:t>
      </w:r>
      <w:r>
        <w:rPr>
          <w:rFonts w:hint="eastAsia"/>
          <w:color w:val="auto"/>
          <w:highlight w:val="none"/>
          <w:lang w:val="en-US" w:eastAsia="zh-CN"/>
        </w:rPr>
        <w:t>1.21</w:t>
      </w:r>
      <w:r>
        <w:rPr>
          <w:color w:val="auto"/>
          <w:highlight w:val="none"/>
        </w:rPr>
        <w:t>hm²，实际绿化面积为</w:t>
      </w:r>
      <w:r>
        <w:rPr>
          <w:rFonts w:hint="eastAsia"/>
          <w:color w:val="auto"/>
          <w:highlight w:val="none"/>
          <w:lang w:val="en-US" w:eastAsia="zh-CN"/>
        </w:rPr>
        <w:t>1.20</w:t>
      </w:r>
      <w:r>
        <w:rPr>
          <w:color w:val="auto"/>
          <w:highlight w:val="none"/>
        </w:rPr>
        <w:t>hm²，经计算，本项目林草植被恢复率达到9</w:t>
      </w:r>
      <w:r>
        <w:rPr>
          <w:rFonts w:hint="eastAsia"/>
          <w:color w:val="auto"/>
          <w:highlight w:val="none"/>
          <w:lang w:val="en-US" w:eastAsia="zh-CN"/>
        </w:rPr>
        <w:t>9.17</w:t>
      </w:r>
      <w:r>
        <w:rPr>
          <w:color w:val="auto"/>
          <w:highlight w:val="none"/>
        </w:rPr>
        <w:t>%；本项目占地面积为</w:t>
      </w:r>
      <w:r>
        <w:rPr>
          <w:rFonts w:hint="eastAsia"/>
          <w:color w:val="auto"/>
          <w:highlight w:val="none"/>
          <w:lang w:val="en-US" w:eastAsia="zh-CN"/>
        </w:rPr>
        <w:t>2.96</w:t>
      </w:r>
      <w:r>
        <w:rPr>
          <w:color w:val="auto"/>
          <w:highlight w:val="none"/>
        </w:rPr>
        <w:t>hm²，则本项目林草植被覆盖率达到</w:t>
      </w:r>
      <w:r>
        <w:rPr>
          <w:rFonts w:hint="eastAsia"/>
          <w:color w:val="auto"/>
          <w:highlight w:val="none"/>
          <w:lang w:val="en-US" w:eastAsia="zh-CN"/>
        </w:rPr>
        <w:t>40.54</w:t>
      </w:r>
      <w:r>
        <w:rPr>
          <w:color w:val="auto"/>
          <w:highlight w:val="none"/>
        </w:rPr>
        <w:t>%。</w:t>
      </w:r>
    </w:p>
    <w:p>
      <w:pPr>
        <w:pStyle w:val="75"/>
        <w:rPr>
          <w:color w:val="auto"/>
          <w:highlight w:val="none"/>
        </w:rPr>
      </w:pPr>
      <w:r>
        <w:rPr>
          <w:color w:val="auto"/>
          <w:highlight w:val="none"/>
        </w:rPr>
        <w:t>表7.2-1            效益分析计算表</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32"/>
        <w:gridCol w:w="1132"/>
        <w:gridCol w:w="1132"/>
        <w:gridCol w:w="1132"/>
        <w:gridCol w:w="1133"/>
        <w:gridCol w:w="1133"/>
        <w:gridCol w:w="1133"/>
        <w:gridCol w:w="11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4" w:hRule="atLeast"/>
        </w:trPr>
        <w:tc>
          <w:tcPr>
            <w:tcW w:w="625" w:type="pct"/>
            <w:shd w:val="clear" w:color="auto" w:fill="auto"/>
            <w:vAlign w:val="center"/>
          </w:tcPr>
          <w:p>
            <w:pPr>
              <w:pStyle w:val="84"/>
              <w:bidi w:val="0"/>
              <w:rPr>
                <w:color w:val="auto"/>
                <w:highlight w:val="none"/>
              </w:rPr>
            </w:pPr>
            <w:r>
              <w:rPr>
                <w:color w:val="auto"/>
                <w:highlight w:val="none"/>
              </w:rPr>
              <w:t>项目组成</w:t>
            </w:r>
          </w:p>
        </w:tc>
        <w:tc>
          <w:tcPr>
            <w:tcW w:w="625" w:type="pct"/>
            <w:shd w:val="clear" w:color="auto" w:fill="auto"/>
            <w:vAlign w:val="center"/>
          </w:tcPr>
          <w:p>
            <w:pPr>
              <w:pStyle w:val="84"/>
              <w:bidi w:val="0"/>
              <w:rPr>
                <w:color w:val="auto"/>
                <w:highlight w:val="none"/>
              </w:rPr>
            </w:pPr>
            <w:r>
              <w:rPr>
                <w:color w:val="auto"/>
                <w:highlight w:val="none"/>
              </w:rPr>
              <w:t>项目建设占地面积（hm²）</w:t>
            </w:r>
          </w:p>
        </w:tc>
        <w:tc>
          <w:tcPr>
            <w:tcW w:w="625" w:type="pct"/>
            <w:shd w:val="clear" w:color="auto" w:fill="auto"/>
            <w:vAlign w:val="center"/>
          </w:tcPr>
          <w:p>
            <w:pPr>
              <w:pStyle w:val="84"/>
              <w:bidi w:val="0"/>
              <w:rPr>
                <w:color w:val="auto"/>
                <w:highlight w:val="none"/>
              </w:rPr>
            </w:pPr>
            <w:r>
              <w:rPr>
                <w:color w:val="auto"/>
                <w:highlight w:val="none"/>
              </w:rPr>
              <w:t>扰动地表面积(hm²)</w:t>
            </w:r>
          </w:p>
        </w:tc>
        <w:tc>
          <w:tcPr>
            <w:tcW w:w="625" w:type="pct"/>
            <w:shd w:val="clear" w:color="auto" w:fill="auto"/>
            <w:vAlign w:val="center"/>
          </w:tcPr>
          <w:p>
            <w:pPr>
              <w:pStyle w:val="84"/>
              <w:bidi w:val="0"/>
              <w:rPr>
                <w:color w:val="auto"/>
                <w:highlight w:val="none"/>
              </w:rPr>
            </w:pPr>
            <w:r>
              <w:rPr>
                <w:color w:val="auto"/>
                <w:highlight w:val="none"/>
              </w:rPr>
              <w:t>永久建筑物及硬化面积(hm²)</w:t>
            </w:r>
          </w:p>
        </w:tc>
        <w:tc>
          <w:tcPr>
            <w:tcW w:w="625" w:type="pct"/>
            <w:shd w:val="clear" w:color="auto" w:fill="auto"/>
            <w:vAlign w:val="center"/>
          </w:tcPr>
          <w:p>
            <w:pPr>
              <w:pStyle w:val="84"/>
              <w:bidi w:val="0"/>
              <w:rPr>
                <w:color w:val="auto"/>
                <w:highlight w:val="none"/>
              </w:rPr>
            </w:pPr>
            <w:r>
              <w:rPr>
                <w:color w:val="auto"/>
                <w:highlight w:val="none"/>
              </w:rPr>
              <w:t>可绿化面积 (hm²)</w:t>
            </w:r>
          </w:p>
        </w:tc>
        <w:tc>
          <w:tcPr>
            <w:tcW w:w="625" w:type="pct"/>
            <w:shd w:val="clear" w:color="auto" w:fill="auto"/>
            <w:vAlign w:val="center"/>
          </w:tcPr>
          <w:p>
            <w:pPr>
              <w:pStyle w:val="84"/>
              <w:bidi w:val="0"/>
              <w:rPr>
                <w:color w:val="auto"/>
                <w:highlight w:val="none"/>
              </w:rPr>
            </w:pPr>
            <w:r>
              <w:rPr>
                <w:color w:val="auto"/>
                <w:highlight w:val="none"/>
              </w:rPr>
              <w:t>植物措施面积(hm²)</w:t>
            </w:r>
          </w:p>
        </w:tc>
        <w:tc>
          <w:tcPr>
            <w:tcW w:w="625" w:type="pct"/>
            <w:shd w:val="clear" w:color="auto" w:fill="auto"/>
            <w:vAlign w:val="center"/>
          </w:tcPr>
          <w:p>
            <w:pPr>
              <w:pStyle w:val="84"/>
              <w:bidi w:val="0"/>
              <w:rPr>
                <w:color w:val="auto"/>
                <w:highlight w:val="none"/>
              </w:rPr>
            </w:pPr>
            <w:r>
              <w:rPr>
                <w:color w:val="auto"/>
                <w:highlight w:val="none"/>
              </w:rPr>
              <w:t>工程措施面积(hm²)</w:t>
            </w:r>
          </w:p>
        </w:tc>
        <w:tc>
          <w:tcPr>
            <w:tcW w:w="625" w:type="pct"/>
            <w:shd w:val="clear" w:color="auto" w:fill="auto"/>
            <w:vAlign w:val="center"/>
          </w:tcPr>
          <w:p>
            <w:pPr>
              <w:pStyle w:val="84"/>
              <w:bidi w:val="0"/>
              <w:rPr>
                <w:color w:val="auto"/>
                <w:highlight w:val="none"/>
              </w:rPr>
            </w:pPr>
            <w:r>
              <w:rPr>
                <w:color w:val="auto"/>
                <w:highlight w:val="none"/>
              </w:rPr>
              <w:t>水土保持措施面积(hm²)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8" w:hRule="atLeast"/>
        </w:trPr>
        <w:tc>
          <w:tcPr>
            <w:tcW w:w="625" w:type="pct"/>
            <w:shd w:val="clear" w:color="auto" w:fill="auto"/>
            <w:vAlign w:val="center"/>
          </w:tcPr>
          <w:p>
            <w:pPr>
              <w:pStyle w:val="84"/>
              <w:bidi w:val="0"/>
              <w:rPr>
                <w:color w:val="auto"/>
                <w:highlight w:val="none"/>
              </w:rPr>
            </w:pPr>
            <w:r>
              <w:rPr>
                <w:color w:val="auto"/>
                <w:highlight w:val="none"/>
              </w:rPr>
              <w:t>建构筑物区</w:t>
            </w:r>
          </w:p>
        </w:tc>
        <w:tc>
          <w:tcPr>
            <w:tcW w:w="625" w:type="pct"/>
            <w:shd w:val="clear" w:color="auto" w:fill="auto"/>
            <w:vAlign w:val="center"/>
          </w:tcPr>
          <w:p>
            <w:pPr>
              <w:pStyle w:val="84"/>
              <w:bidi w:val="0"/>
              <w:rPr>
                <w:color w:val="auto"/>
                <w:highlight w:val="none"/>
              </w:rPr>
            </w:pPr>
            <w:r>
              <w:rPr>
                <w:rFonts w:hint="eastAsia"/>
                <w:color w:val="auto"/>
                <w:highlight w:val="none"/>
                <w:lang w:val="en-US" w:eastAsia="zh-CN"/>
              </w:rPr>
              <w:t>0.73</w:t>
            </w:r>
            <w:r>
              <w:rPr>
                <w:color w:val="auto"/>
                <w:highlight w:val="none"/>
              </w:rPr>
              <w:t xml:space="preserve"> </w:t>
            </w:r>
          </w:p>
        </w:tc>
        <w:tc>
          <w:tcPr>
            <w:tcW w:w="625"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0.73</w:t>
            </w:r>
          </w:p>
        </w:tc>
        <w:tc>
          <w:tcPr>
            <w:tcW w:w="625"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0.73</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color w:val="auto"/>
                <w:highlight w:val="none"/>
              </w:rPr>
            </w:pPr>
            <w:r>
              <w:rPr>
                <w:color w:val="auto"/>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625" w:type="pct"/>
            <w:shd w:val="clear" w:color="auto" w:fill="auto"/>
            <w:vAlign w:val="center"/>
          </w:tcPr>
          <w:p>
            <w:pPr>
              <w:pStyle w:val="84"/>
              <w:bidi w:val="0"/>
              <w:rPr>
                <w:color w:val="auto"/>
                <w:highlight w:val="none"/>
              </w:rPr>
            </w:pPr>
            <w:r>
              <w:rPr>
                <w:color w:val="auto"/>
                <w:highlight w:val="none"/>
              </w:rPr>
              <w:t>绿化区</w:t>
            </w:r>
          </w:p>
        </w:tc>
        <w:tc>
          <w:tcPr>
            <w:tcW w:w="625"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1.21</w:t>
            </w:r>
          </w:p>
        </w:tc>
        <w:tc>
          <w:tcPr>
            <w:tcW w:w="625" w:type="pct"/>
            <w:shd w:val="clear" w:color="auto" w:fill="auto"/>
            <w:vAlign w:val="center"/>
          </w:tcPr>
          <w:p>
            <w:pPr>
              <w:pStyle w:val="84"/>
              <w:bidi w:val="0"/>
              <w:rPr>
                <w:rFonts w:hint="default" w:eastAsia="仿宋_GB2312"/>
                <w:color w:val="auto"/>
                <w:highlight w:val="none"/>
                <w:lang w:val="en-US" w:eastAsia="zh-CN"/>
              </w:rPr>
            </w:pPr>
            <w:r>
              <w:rPr>
                <w:rFonts w:hint="eastAsia"/>
                <w:color w:val="auto"/>
                <w:highlight w:val="none"/>
                <w:lang w:val="en-US" w:eastAsia="zh-CN"/>
              </w:rPr>
              <w:t>1.21</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1.21</w:t>
            </w:r>
          </w:p>
        </w:tc>
        <w:tc>
          <w:tcPr>
            <w:tcW w:w="625"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1.20</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rFonts w:hint="default"/>
                <w:color w:val="auto"/>
                <w:highlight w:val="none"/>
                <w:lang w:val="en-US" w:eastAsia="zh-CN"/>
              </w:rPr>
            </w:pPr>
            <w:r>
              <w:rPr>
                <w:rFonts w:hint="eastAsia"/>
                <w:color w:val="auto"/>
                <w:highlight w:val="none"/>
                <w:lang w:val="en-US" w:eastAsia="zh-CN"/>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625" w:type="pct"/>
            <w:shd w:val="clear" w:color="auto" w:fill="auto"/>
            <w:vAlign w:val="center"/>
          </w:tcPr>
          <w:p>
            <w:pPr>
              <w:pStyle w:val="84"/>
              <w:bidi w:val="0"/>
              <w:rPr>
                <w:color w:val="auto"/>
                <w:highlight w:val="none"/>
              </w:rPr>
            </w:pPr>
            <w:r>
              <w:rPr>
                <w:color w:val="auto"/>
                <w:highlight w:val="none"/>
              </w:rPr>
              <w:t>道路及硬化区</w:t>
            </w:r>
          </w:p>
        </w:tc>
        <w:tc>
          <w:tcPr>
            <w:tcW w:w="625" w:type="pct"/>
            <w:shd w:val="clear" w:color="auto" w:fill="auto"/>
            <w:vAlign w:val="center"/>
          </w:tcPr>
          <w:p>
            <w:pPr>
              <w:pStyle w:val="84"/>
              <w:bidi w:val="0"/>
              <w:rPr>
                <w:rFonts w:hint="default"/>
                <w:color w:val="auto"/>
                <w:highlight w:val="none"/>
                <w:lang w:val="en-US" w:eastAsia="zh-CN"/>
              </w:rPr>
            </w:pPr>
            <w:r>
              <w:rPr>
                <w:color w:val="auto"/>
                <w:highlight w:val="none"/>
              </w:rPr>
              <w:t>1.</w:t>
            </w:r>
            <w:r>
              <w:rPr>
                <w:rFonts w:hint="eastAsia"/>
                <w:color w:val="auto"/>
                <w:highlight w:val="none"/>
                <w:lang w:val="en-US" w:eastAsia="zh-CN"/>
              </w:rPr>
              <w:t>02</w:t>
            </w:r>
          </w:p>
        </w:tc>
        <w:tc>
          <w:tcPr>
            <w:tcW w:w="625" w:type="pct"/>
            <w:shd w:val="clear" w:color="auto" w:fill="auto"/>
            <w:vAlign w:val="center"/>
          </w:tcPr>
          <w:p>
            <w:pPr>
              <w:pStyle w:val="84"/>
              <w:bidi w:val="0"/>
              <w:rPr>
                <w:color w:val="auto"/>
                <w:highlight w:val="none"/>
              </w:rPr>
            </w:pPr>
            <w:r>
              <w:rPr>
                <w:color w:val="auto"/>
                <w:highlight w:val="none"/>
              </w:rPr>
              <w:t>1.</w:t>
            </w:r>
            <w:r>
              <w:rPr>
                <w:rFonts w:hint="eastAsia"/>
                <w:color w:val="auto"/>
                <w:highlight w:val="none"/>
                <w:lang w:val="en-US" w:eastAsia="zh-CN"/>
              </w:rPr>
              <w:t>02</w:t>
            </w:r>
            <w:r>
              <w:rPr>
                <w:color w:val="auto"/>
                <w:highlight w:val="none"/>
              </w:rPr>
              <w:t xml:space="preserve"> </w:t>
            </w:r>
          </w:p>
        </w:tc>
        <w:tc>
          <w:tcPr>
            <w:tcW w:w="625" w:type="pct"/>
            <w:shd w:val="clear" w:color="auto" w:fill="auto"/>
            <w:vAlign w:val="center"/>
          </w:tcPr>
          <w:p>
            <w:pPr>
              <w:pStyle w:val="84"/>
              <w:bidi w:val="0"/>
              <w:rPr>
                <w:color w:val="auto"/>
                <w:highlight w:val="none"/>
              </w:rPr>
            </w:pPr>
            <w:r>
              <w:rPr>
                <w:color w:val="auto"/>
                <w:highlight w:val="none"/>
              </w:rPr>
              <w:t>1.</w:t>
            </w:r>
            <w:r>
              <w:rPr>
                <w:rFonts w:hint="eastAsia"/>
                <w:color w:val="auto"/>
                <w:highlight w:val="none"/>
                <w:lang w:val="en-US" w:eastAsia="zh-CN"/>
              </w:rPr>
              <w:t>02</w:t>
            </w:r>
            <w:r>
              <w:rPr>
                <w:color w:val="auto"/>
                <w:highlight w:val="none"/>
              </w:rPr>
              <w:t xml:space="preserve"> </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color w:val="auto"/>
                <w:highlight w:val="none"/>
              </w:rPr>
            </w:pPr>
            <w:r>
              <w:rPr>
                <w:color w:val="auto"/>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6" w:hRule="atLeast"/>
        </w:trPr>
        <w:tc>
          <w:tcPr>
            <w:tcW w:w="625" w:type="pct"/>
            <w:shd w:val="clear" w:color="auto" w:fill="auto"/>
            <w:vAlign w:val="center"/>
          </w:tcPr>
          <w:p>
            <w:pPr>
              <w:pStyle w:val="84"/>
              <w:bidi w:val="0"/>
              <w:rPr>
                <w:color w:val="auto"/>
                <w:highlight w:val="none"/>
              </w:rPr>
            </w:pPr>
            <w:r>
              <w:rPr>
                <w:color w:val="auto"/>
                <w:highlight w:val="none"/>
              </w:rPr>
              <w:t>管线工程区</w:t>
            </w:r>
          </w:p>
        </w:tc>
        <w:tc>
          <w:tcPr>
            <w:tcW w:w="625" w:type="pct"/>
            <w:shd w:val="clear" w:color="auto" w:fill="auto"/>
            <w:vAlign w:val="center"/>
          </w:tcPr>
          <w:p>
            <w:pPr>
              <w:pStyle w:val="84"/>
              <w:bidi w:val="0"/>
              <w:rPr>
                <w:color w:val="auto"/>
                <w:highlight w:val="none"/>
              </w:rPr>
            </w:pPr>
            <w:r>
              <w:rPr>
                <w:rFonts w:hint="eastAsia"/>
                <w:color w:val="auto"/>
                <w:highlight w:val="none"/>
                <w:lang w:eastAsia="zh-CN"/>
              </w:rPr>
              <w:t>（</w:t>
            </w:r>
            <w:r>
              <w:rPr>
                <w:color w:val="auto"/>
                <w:highlight w:val="none"/>
              </w:rPr>
              <w:t>0.5</w:t>
            </w:r>
            <w:r>
              <w:rPr>
                <w:rFonts w:hint="eastAsia"/>
                <w:color w:val="auto"/>
                <w:highlight w:val="none"/>
                <w:lang w:val="en-US" w:eastAsia="zh-CN"/>
              </w:rPr>
              <w:t>0</w:t>
            </w:r>
            <w:r>
              <w:rPr>
                <w:rFonts w:hint="eastAsia"/>
                <w:color w:val="auto"/>
                <w:highlight w:val="none"/>
                <w:lang w:eastAsia="zh-CN"/>
              </w:rPr>
              <w:t>）</w:t>
            </w:r>
            <w:r>
              <w:rPr>
                <w:color w:val="auto"/>
                <w:highlight w:val="none"/>
              </w:rPr>
              <w:t xml:space="preserve"> </w:t>
            </w:r>
          </w:p>
        </w:tc>
        <w:tc>
          <w:tcPr>
            <w:tcW w:w="625" w:type="pct"/>
            <w:shd w:val="clear" w:color="auto" w:fill="auto"/>
            <w:vAlign w:val="center"/>
          </w:tcPr>
          <w:p>
            <w:pPr>
              <w:pStyle w:val="84"/>
              <w:bidi w:val="0"/>
              <w:rPr>
                <w:color w:val="auto"/>
                <w:highlight w:val="none"/>
              </w:rPr>
            </w:pPr>
            <w:r>
              <w:rPr>
                <w:rFonts w:hint="eastAsia"/>
                <w:color w:val="auto"/>
                <w:highlight w:val="none"/>
                <w:lang w:eastAsia="zh-CN"/>
              </w:rPr>
              <w:t>（</w:t>
            </w:r>
            <w:r>
              <w:rPr>
                <w:color w:val="auto"/>
                <w:highlight w:val="none"/>
              </w:rPr>
              <w:t>0.5</w:t>
            </w:r>
            <w:r>
              <w:rPr>
                <w:rFonts w:hint="eastAsia"/>
                <w:color w:val="auto"/>
                <w:highlight w:val="none"/>
                <w:lang w:val="en-US" w:eastAsia="zh-CN"/>
              </w:rPr>
              <w:t>0</w:t>
            </w:r>
            <w:r>
              <w:rPr>
                <w:rFonts w:hint="eastAsia"/>
                <w:color w:val="auto"/>
                <w:highlight w:val="none"/>
                <w:lang w:eastAsia="zh-CN"/>
              </w:rPr>
              <w:t>）</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color w:val="auto"/>
                <w:highlight w:val="none"/>
              </w:rPr>
            </w:pPr>
            <w:r>
              <w:rPr>
                <w:rFonts w:hint="eastAsia"/>
                <w:color w:val="auto"/>
                <w:highlight w:val="none"/>
                <w:lang w:eastAsia="zh-CN"/>
              </w:rPr>
              <w:t>（</w:t>
            </w:r>
            <w:r>
              <w:rPr>
                <w:color w:val="auto"/>
                <w:highlight w:val="none"/>
              </w:rPr>
              <w:t>0.5</w:t>
            </w:r>
            <w:r>
              <w:rPr>
                <w:rFonts w:hint="eastAsia"/>
                <w:color w:val="auto"/>
                <w:highlight w:val="none"/>
                <w:lang w:val="en-US" w:eastAsia="zh-CN"/>
              </w:rPr>
              <w:t>0</w:t>
            </w:r>
            <w:r>
              <w:rPr>
                <w:rFonts w:hint="eastAsia"/>
                <w:color w:val="auto"/>
                <w:highlight w:val="none"/>
                <w:lang w:eastAsia="zh-CN"/>
              </w:rPr>
              <w:t>）</w:t>
            </w:r>
          </w:p>
        </w:tc>
        <w:tc>
          <w:tcPr>
            <w:tcW w:w="625" w:type="pct"/>
            <w:shd w:val="clear" w:color="auto" w:fill="auto"/>
            <w:vAlign w:val="center"/>
          </w:tcPr>
          <w:p>
            <w:pPr>
              <w:pStyle w:val="84"/>
              <w:bidi w:val="0"/>
              <w:rPr>
                <w:color w:val="auto"/>
                <w:highlight w:val="none"/>
              </w:rPr>
            </w:pPr>
            <w:r>
              <w:rPr>
                <w:rFonts w:hint="eastAsia"/>
                <w:color w:val="auto"/>
                <w:highlight w:val="none"/>
                <w:lang w:eastAsia="zh-CN"/>
              </w:rPr>
              <w:t>（</w:t>
            </w:r>
            <w:r>
              <w:rPr>
                <w:color w:val="auto"/>
                <w:highlight w:val="none"/>
              </w:rPr>
              <w:t>0.5</w:t>
            </w:r>
            <w:r>
              <w:rPr>
                <w:rFonts w:hint="eastAsia"/>
                <w:color w:val="auto"/>
                <w:highlight w:val="none"/>
                <w:lang w:val="en-US" w:eastAsia="zh-CN"/>
              </w:rPr>
              <w:t>0</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4" w:hRule="atLeast"/>
        </w:trPr>
        <w:tc>
          <w:tcPr>
            <w:tcW w:w="625" w:type="pct"/>
            <w:shd w:val="clear" w:color="auto" w:fill="auto"/>
            <w:vAlign w:val="center"/>
          </w:tcPr>
          <w:p>
            <w:pPr>
              <w:pStyle w:val="84"/>
              <w:bidi w:val="0"/>
              <w:rPr>
                <w:color w:val="auto"/>
                <w:highlight w:val="none"/>
              </w:rPr>
            </w:pPr>
            <w:r>
              <w:rPr>
                <w:color w:val="auto"/>
                <w:highlight w:val="none"/>
              </w:rPr>
              <w:t>施工生产区</w:t>
            </w:r>
          </w:p>
        </w:tc>
        <w:tc>
          <w:tcPr>
            <w:tcW w:w="625" w:type="pct"/>
            <w:shd w:val="clear" w:color="auto" w:fill="auto"/>
            <w:vAlign w:val="center"/>
          </w:tcPr>
          <w:p>
            <w:pPr>
              <w:pStyle w:val="84"/>
              <w:bidi w:val="0"/>
              <w:rPr>
                <w:color w:val="auto"/>
                <w:highlight w:val="none"/>
              </w:rPr>
            </w:pPr>
            <w:r>
              <w:rPr>
                <w:rFonts w:hint="eastAsia"/>
                <w:color w:val="auto"/>
                <w:highlight w:val="none"/>
                <w:lang w:eastAsia="zh-CN"/>
              </w:rPr>
              <w:t>（</w:t>
            </w:r>
            <w:r>
              <w:rPr>
                <w:color w:val="auto"/>
                <w:highlight w:val="none"/>
              </w:rPr>
              <w:t>0.</w:t>
            </w:r>
            <w:r>
              <w:rPr>
                <w:rFonts w:hint="eastAsia"/>
                <w:color w:val="auto"/>
                <w:highlight w:val="none"/>
                <w:lang w:val="en-US" w:eastAsia="zh-CN"/>
              </w:rPr>
              <w:t>30</w:t>
            </w:r>
            <w:r>
              <w:rPr>
                <w:rFonts w:hint="eastAsia"/>
                <w:color w:val="auto"/>
                <w:highlight w:val="none"/>
                <w:lang w:eastAsia="zh-CN"/>
              </w:rPr>
              <w:t>）</w:t>
            </w:r>
          </w:p>
        </w:tc>
        <w:tc>
          <w:tcPr>
            <w:tcW w:w="625" w:type="pct"/>
            <w:shd w:val="clear" w:color="auto" w:fill="auto"/>
            <w:vAlign w:val="center"/>
          </w:tcPr>
          <w:p>
            <w:pPr>
              <w:pStyle w:val="84"/>
              <w:bidi w:val="0"/>
              <w:rPr>
                <w:color w:val="auto"/>
                <w:highlight w:val="none"/>
              </w:rPr>
            </w:pPr>
            <w:r>
              <w:rPr>
                <w:rFonts w:hint="eastAsia"/>
                <w:color w:val="auto"/>
                <w:highlight w:val="none"/>
                <w:lang w:eastAsia="zh-CN"/>
              </w:rPr>
              <w:t>（</w:t>
            </w:r>
            <w:r>
              <w:rPr>
                <w:color w:val="auto"/>
                <w:highlight w:val="none"/>
              </w:rPr>
              <w:t>0.</w:t>
            </w:r>
            <w:r>
              <w:rPr>
                <w:rFonts w:hint="eastAsia"/>
                <w:color w:val="auto"/>
                <w:highlight w:val="none"/>
                <w:lang w:val="en-US" w:eastAsia="zh-CN"/>
              </w:rPr>
              <w:t>30</w:t>
            </w:r>
            <w:r>
              <w:rPr>
                <w:rFonts w:hint="eastAsia"/>
                <w:color w:val="auto"/>
                <w:highlight w:val="none"/>
                <w:lang w:eastAsia="zh-CN"/>
              </w:rPr>
              <w:t>）</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color w:val="auto"/>
                <w:highlight w:val="none"/>
              </w:rPr>
            </w:pPr>
            <w:r>
              <w:rPr>
                <w:color w:val="auto"/>
                <w:highlight w:val="none"/>
              </w:rPr>
              <w:t>　</w:t>
            </w:r>
          </w:p>
        </w:tc>
        <w:tc>
          <w:tcPr>
            <w:tcW w:w="625" w:type="pct"/>
            <w:shd w:val="clear" w:color="auto" w:fill="auto"/>
            <w:vAlign w:val="center"/>
          </w:tcPr>
          <w:p>
            <w:pPr>
              <w:pStyle w:val="84"/>
              <w:bidi w:val="0"/>
              <w:rPr>
                <w:color w:val="auto"/>
                <w:highlight w:val="none"/>
              </w:rPr>
            </w:pPr>
            <w:r>
              <w:rPr>
                <w:rFonts w:hint="eastAsia"/>
                <w:color w:val="auto"/>
                <w:highlight w:val="none"/>
                <w:lang w:eastAsia="zh-CN"/>
              </w:rPr>
              <w:t>（</w:t>
            </w:r>
            <w:r>
              <w:rPr>
                <w:color w:val="auto"/>
                <w:highlight w:val="none"/>
              </w:rPr>
              <w:t>0.</w:t>
            </w:r>
            <w:r>
              <w:rPr>
                <w:rFonts w:hint="eastAsia"/>
                <w:color w:val="auto"/>
                <w:highlight w:val="none"/>
                <w:lang w:val="en-US" w:eastAsia="zh-CN"/>
              </w:rPr>
              <w:t>30</w:t>
            </w:r>
            <w:r>
              <w:rPr>
                <w:rFonts w:hint="eastAsia"/>
                <w:color w:val="auto"/>
                <w:highlight w:val="none"/>
                <w:lang w:eastAsia="zh-CN"/>
              </w:rPr>
              <w:t>）</w:t>
            </w:r>
          </w:p>
        </w:tc>
        <w:tc>
          <w:tcPr>
            <w:tcW w:w="625" w:type="pct"/>
            <w:shd w:val="clear" w:color="auto" w:fill="auto"/>
            <w:vAlign w:val="center"/>
          </w:tcPr>
          <w:p>
            <w:pPr>
              <w:pStyle w:val="84"/>
              <w:bidi w:val="0"/>
              <w:rPr>
                <w:color w:val="auto"/>
                <w:highlight w:val="none"/>
              </w:rPr>
            </w:pPr>
            <w:r>
              <w:rPr>
                <w:rFonts w:hint="eastAsia"/>
                <w:color w:val="auto"/>
                <w:highlight w:val="none"/>
                <w:lang w:eastAsia="zh-CN"/>
              </w:rPr>
              <w:t>（</w:t>
            </w:r>
            <w:r>
              <w:rPr>
                <w:color w:val="auto"/>
                <w:highlight w:val="none"/>
              </w:rPr>
              <w:t>0.</w:t>
            </w:r>
            <w:r>
              <w:rPr>
                <w:rFonts w:hint="eastAsia"/>
                <w:color w:val="auto"/>
                <w:highlight w:val="none"/>
                <w:lang w:val="en-US" w:eastAsia="zh-CN"/>
              </w:rPr>
              <w:t>30</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trPr>
        <w:tc>
          <w:tcPr>
            <w:tcW w:w="625" w:type="pct"/>
            <w:shd w:val="clear" w:color="auto" w:fill="auto"/>
            <w:vAlign w:val="center"/>
          </w:tcPr>
          <w:p>
            <w:pPr>
              <w:pStyle w:val="84"/>
              <w:bidi w:val="0"/>
              <w:rPr>
                <w:color w:val="auto"/>
                <w:highlight w:val="none"/>
              </w:rPr>
            </w:pPr>
            <w:r>
              <w:rPr>
                <w:color w:val="auto"/>
                <w:highlight w:val="none"/>
              </w:rPr>
              <w:t>合计</w:t>
            </w:r>
          </w:p>
        </w:tc>
        <w:tc>
          <w:tcPr>
            <w:tcW w:w="625" w:type="pct"/>
            <w:shd w:val="clear" w:color="auto" w:fill="auto"/>
            <w:vAlign w:val="center"/>
          </w:tcPr>
          <w:p>
            <w:pPr>
              <w:pStyle w:val="84"/>
              <w:bidi w:val="0"/>
              <w:rPr>
                <w:color w:val="auto"/>
                <w:highlight w:val="none"/>
              </w:rPr>
            </w:pPr>
            <w:r>
              <w:rPr>
                <w:rFonts w:hint="eastAsia"/>
                <w:color w:val="auto"/>
                <w:highlight w:val="none"/>
                <w:lang w:val="en-US" w:eastAsia="zh-CN"/>
              </w:rPr>
              <w:t>2.96</w:t>
            </w:r>
            <w:r>
              <w:rPr>
                <w:color w:val="auto"/>
                <w:highlight w:val="none"/>
              </w:rPr>
              <w:t xml:space="preserve"> </w:t>
            </w:r>
          </w:p>
        </w:tc>
        <w:tc>
          <w:tcPr>
            <w:tcW w:w="625" w:type="pct"/>
            <w:shd w:val="clear" w:color="auto" w:fill="auto"/>
            <w:vAlign w:val="center"/>
          </w:tcPr>
          <w:p>
            <w:pPr>
              <w:pStyle w:val="84"/>
              <w:bidi w:val="0"/>
              <w:rPr>
                <w:rFonts w:hint="default" w:eastAsia="仿宋_GB2312"/>
                <w:color w:val="auto"/>
                <w:highlight w:val="none"/>
                <w:lang w:val="en-US" w:eastAsia="zh-CN"/>
              </w:rPr>
            </w:pPr>
            <w:r>
              <w:rPr>
                <w:rFonts w:hint="eastAsia"/>
                <w:color w:val="auto"/>
                <w:highlight w:val="none"/>
                <w:lang w:val="en-US" w:eastAsia="zh-CN"/>
              </w:rPr>
              <w:t>2.96</w:t>
            </w:r>
          </w:p>
        </w:tc>
        <w:tc>
          <w:tcPr>
            <w:tcW w:w="625" w:type="pct"/>
            <w:shd w:val="clear" w:color="auto" w:fill="auto"/>
            <w:vAlign w:val="center"/>
          </w:tcPr>
          <w:p>
            <w:pPr>
              <w:pStyle w:val="84"/>
              <w:bidi w:val="0"/>
              <w:rPr>
                <w:color w:val="auto"/>
                <w:highlight w:val="none"/>
              </w:rPr>
            </w:pPr>
            <w:r>
              <w:rPr>
                <w:color w:val="auto"/>
                <w:highlight w:val="none"/>
              </w:rPr>
              <w:t>1.7</w:t>
            </w:r>
            <w:r>
              <w:rPr>
                <w:rFonts w:hint="eastAsia"/>
                <w:color w:val="auto"/>
                <w:highlight w:val="none"/>
                <w:lang w:val="en-US" w:eastAsia="zh-CN"/>
              </w:rPr>
              <w:t>5</w:t>
            </w:r>
            <w:r>
              <w:rPr>
                <w:color w:val="auto"/>
                <w:highlight w:val="none"/>
              </w:rPr>
              <w:t xml:space="preserve"> </w:t>
            </w:r>
          </w:p>
        </w:tc>
        <w:tc>
          <w:tcPr>
            <w:tcW w:w="625" w:type="pct"/>
            <w:shd w:val="clear" w:color="auto" w:fill="auto"/>
            <w:vAlign w:val="center"/>
          </w:tcPr>
          <w:p>
            <w:pPr>
              <w:pStyle w:val="84"/>
              <w:bidi w:val="0"/>
              <w:rPr>
                <w:rFonts w:hint="default" w:eastAsia="仿宋_GB2312"/>
                <w:color w:val="auto"/>
                <w:highlight w:val="none"/>
                <w:lang w:val="en-US" w:eastAsia="zh-CN"/>
              </w:rPr>
            </w:pPr>
            <w:r>
              <w:rPr>
                <w:rFonts w:hint="eastAsia"/>
                <w:color w:val="auto"/>
                <w:highlight w:val="none"/>
                <w:lang w:val="en-US" w:eastAsia="zh-CN"/>
              </w:rPr>
              <w:t>1.21</w:t>
            </w:r>
          </w:p>
        </w:tc>
        <w:tc>
          <w:tcPr>
            <w:tcW w:w="625" w:type="pct"/>
            <w:shd w:val="clear" w:color="auto" w:fill="auto"/>
            <w:vAlign w:val="center"/>
          </w:tcPr>
          <w:p>
            <w:pPr>
              <w:pStyle w:val="84"/>
              <w:bidi w:val="0"/>
              <w:rPr>
                <w:rFonts w:hint="default" w:eastAsia="仿宋_GB2312"/>
                <w:color w:val="auto"/>
                <w:highlight w:val="none"/>
                <w:lang w:val="en-US" w:eastAsia="zh-CN"/>
              </w:rPr>
            </w:pPr>
            <w:r>
              <w:rPr>
                <w:rFonts w:hint="eastAsia"/>
                <w:color w:val="auto"/>
                <w:highlight w:val="none"/>
                <w:lang w:val="en-US" w:eastAsia="zh-CN"/>
              </w:rPr>
              <w:t>1.20</w:t>
            </w:r>
          </w:p>
        </w:tc>
        <w:tc>
          <w:tcPr>
            <w:tcW w:w="625" w:type="pct"/>
            <w:shd w:val="clear" w:color="auto" w:fill="auto"/>
            <w:vAlign w:val="center"/>
          </w:tcPr>
          <w:p>
            <w:pPr>
              <w:pStyle w:val="84"/>
              <w:bidi w:val="0"/>
              <w:rPr>
                <w:rFonts w:hint="default" w:eastAsia="仿宋_GB2312"/>
                <w:color w:val="auto"/>
                <w:highlight w:val="none"/>
                <w:lang w:val="en-US" w:eastAsia="zh-CN"/>
              </w:rPr>
            </w:pPr>
            <w:r>
              <w:rPr>
                <w:rFonts w:hint="eastAsia"/>
                <w:color w:val="auto"/>
                <w:highlight w:val="none"/>
                <w:lang w:val="en-US" w:eastAsia="zh-CN"/>
              </w:rPr>
              <w:t>0.00</w:t>
            </w:r>
          </w:p>
        </w:tc>
        <w:tc>
          <w:tcPr>
            <w:tcW w:w="625" w:type="pct"/>
            <w:shd w:val="clear" w:color="auto" w:fill="auto"/>
            <w:vAlign w:val="center"/>
          </w:tcPr>
          <w:p>
            <w:pPr>
              <w:pStyle w:val="84"/>
              <w:bidi w:val="0"/>
              <w:rPr>
                <w:rFonts w:hint="default" w:eastAsia="仿宋_GB2312"/>
                <w:color w:val="auto"/>
                <w:highlight w:val="none"/>
                <w:lang w:val="en-US" w:eastAsia="zh-CN"/>
              </w:rPr>
            </w:pPr>
            <w:r>
              <w:rPr>
                <w:color w:val="auto"/>
                <w:highlight w:val="none"/>
              </w:rPr>
              <w:t>1.</w:t>
            </w:r>
            <w:r>
              <w:rPr>
                <w:rFonts w:hint="eastAsia"/>
                <w:color w:val="auto"/>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7" w:hRule="atLeast"/>
        </w:trPr>
        <w:tc>
          <w:tcPr>
            <w:tcW w:w="5000" w:type="pct"/>
            <w:gridSpan w:val="8"/>
            <w:shd w:val="clear" w:color="auto" w:fill="auto"/>
            <w:vAlign w:val="center"/>
          </w:tcPr>
          <w:p>
            <w:pPr>
              <w:pStyle w:val="84"/>
              <w:bidi w:val="0"/>
              <w:rPr>
                <w:color w:val="auto"/>
                <w:highlight w:val="none"/>
              </w:rPr>
            </w:pPr>
            <w:r>
              <w:rPr>
                <w:color w:val="auto"/>
                <w:highlight w:val="none"/>
              </w:rPr>
              <w:t>备注：1、项目区永久建筑物及硬化面积与工程措施面积重复部分只计列永久建筑物及硬化面积，计算水土保持措施面积时植物措施面积与工程措施面积重复部分已扣除。</w:t>
            </w:r>
          </w:p>
          <w:p>
            <w:pPr>
              <w:pStyle w:val="84"/>
              <w:bidi w:val="0"/>
              <w:rPr>
                <w:color w:val="auto"/>
                <w:highlight w:val="none"/>
              </w:rPr>
            </w:pPr>
            <w:r>
              <w:rPr>
                <w:color w:val="auto"/>
                <w:highlight w:val="none"/>
              </w:rPr>
              <w:t>2、“（）”表示重复占地。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trPr>
        <w:tc>
          <w:tcPr>
            <w:tcW w:w="1874" w:type="pct"/>
            <w:gridSpan w:val="3"/>
            <w:shd w:val="clear" w:color="auto" w:fill="auto"/>
            <w:vAlign w:val="center"/>
          </w:tcPr>
          <w:p>
            <w:pPr>
              <w:pStyle w:val="84"/>
              <w:bidi w:val="0"/>
              <w:rPr>
                <w:color w:val="auto"/>
                <w:highlight w:val="none"/>
              </w:rPr>
            </w:pPr>
            <w:r>
              <w:rPr>
                <w:color w:val="auto"/>
                <w:highlight w:val="none"/>
              </w:rPr>
              <w:t>计算公式</w:t>
            </w:r>
          </w:p>
        </w:tc>
        <w:tc>
          <w:tcPr>
            <w:tcW w:w="1250" w:type="pct"/>
            <w:gridSpan w:val="2"/>
            <w:shd w:val="clear" w:color="auto" w:fill="auto"/>
            <w:vAlign w:val="center"/>
          </w:tcPr>
          <w:p>
            <w:pPr>
              <w:pStyle w:val="84"/>
              <w:bidi w:val="0"/>
              <w:rPr>
                <w:color w:val="auto"/>
                <w:highlight w:val="none"/>
              </w:rPr>
            </w:pPr>
            <w:r>
              <w:rPr>
                <w:color w:val="auto"/>
                <w:highlight w:val="none"/>
              </w:rPr>
              <w:t>计算</w:t>
            </w:r>
          </w:p>
        </w:tc>
        <w:tc>
          <w:tcPr>
            <w:tcW w:w="625" w:type="pct"/>
            <w:shd w:val="clear" w:color="auto" w:fill="auto"/>
            <w:vAlign w:val="center"/>
          </w:tcPr>
          <w:p>
            <w:pPr>
              <w:pStyle w:val="84"/>
              <w:bidi w:val="0"/>
              <w:rPr>
                <w:color w:val="auto"/>
                <w:highlight w:val="none"/>
              </w:rPr>
            </w:pPr>
            <w:r>
              <w:rPr>
                <w:color w:val="auto"/>
                <w:highlight w:val="none"/>
              </w:rPr>
              <w:t>目标值</w:t>
            </w:r>
          </w:p>
        </w:tc>
        <w:tc>
          <w:tcPr>
            <w:tcW w:w="625" w:type="pct"/>
            <w:shd w:val="clear" w:color="auto" w:fill="auto"/>
            <w:vAlign w:val="center"/>
          </w:tcPr>
          <w:p>
            <w:pPr>
              <w:pStyle w:val="84"/>
              <w:bidi w:val="0"/>
              <w:rPr>
                <w:color w:val="auto"/>
                <w:highlight w:val="none"/>
              </w:rPr>
            </w:pPr>
            <w:r>
              <w:rPr>
                <w:color w:val="auto"/>
                <w:highlight w:val="none"/>
              </w:rPr>
              <w:t>实际值</w:t>
            </w:r>
          </w:p>
        </w:tc>
        <w:tc>
          <w:tcPr>
            <w:tcW w:w="625" w:type="pct"/>
            <w:shd w:val="clear" w:color="auto" w:fill="auto"/>
            <w:vAlign w:val="center"/>
          </w:tcPr>
          <w:p>
            <w:pPr>
              <w:pStyle w:val="84"/>
              <w:bidi w:val="0"/>
              <w:rPr>
                <w:color w:val="auto"/>
                <w:highlight w:val="none"/>
              </w:rPr>
            </w:pPr>
            <w:r>
              <w:rPr>
                <w:color w:val="auto"/>
                <w:highlight w:val="none"/>
              </w:rPr>
              <w:t>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8" w:hRule="atLeast"/>
        </w:trPr>
        <w:tc>
          <w:tcPr>
            <w:tcW w:w="1874" w:type="pct"/>
            <w:gridSpan w:val="3"/>
            <w:shd w:val="clear" w:color="auto" w:fill="auto"/>
            <w:vAlign w:val="center"/>
          </w:tcPr>
          <w:p>
            <w:pPr>
              <w:pStyle w:val="84"/>
              <w:bidi w:val="0"/>
              <w:rPr>
                <w:color w:val="auto"/>
                <w:highlight w:val="none"/>
              </w:rPr>
            </w:pPr>
            <w:r>
              <w:rPr>
                <w:color w:val="auto"/>
                <w:highlight w:val="none"/>
              </w:rPr>
              <w:t>水土流失治理度（％）：（水土保持措施面积+永久建筑物及硬化面积）/（项目建设区总面积）×100％</w:t>
            </w:r>
          </w:p>
        </w:tc>
        <w:tc>
          <w:tcPr>
            <w:tcW w:w="1250" w:type="pct"/>
            <w:gridSpan w:val="2"/>
            <w:shd w:val="clear" w:color="auto" w:fill="auto"/>
            <w:vAlign w:val="center"/>
          </w:tcPr>
          <w:p>
            <w:pPr>
              <w:pStyle w:val="84"/>
              <w:bidi w:val="0"/>
              <w:rPr>
                <w:color w:val="auto"/>
                <w:highlight w:val="none"/>
              </w:rPr>
            </w:pPr>
            <w:r>
              <w:rPr>
                <w:color w:val="auto"/>
                <w:highlight w:val="none"/>
              </w:rPr>
              <w:t>（1.</w:t>
            </w:r>
            <w:r>
              <w:rPr>
                <w:rFonts w:hint="eastAsia"/>
                <w:color w:val="auto"/>
                <w:highlight w:val="none"/>
                <w:lang w:val="en-US" w:eastAsia="zh-CN"/>
              </w:rPr>
              <w:t>20</w:t>
            </w:r>
            <w:r>
              <w:rPr>
                <w:color w:val="auto"/>
                <w:highlight w:val="none"/>
              </w:rPr>
              <w:t>+1.7</w:t>
            </w:r>
            <w:r>
              <w:rPr>
                <w:rFonts w:hint="eastAsia"/>
                <w:color w:val="auto"/>
                <w:highlight w:val="none"/>
                <w:lang w:val="en-US" w:eastAsia="zh-CN"/>
              </w:rPr>
              <w:t>5</w:t>
            </w:r>
            <w:r>
              <w:rPr>
                <w:color w:val="auto"/>
                <w:highlight w:val="none"/>
              </w:rPr>
              <w:t>）/</w:t>
            </w:r>
            <w:r>
              <w:rPr>
                <w:rFonts w:hint="eastAsia"/>
                <w:color w:val="auto"/>
                <w:highlight w:val="none"/>
                <w:lang w:val="en-US" w:eastAsia="zh-CN"/>
              </w:rPr>
              <w:t>2.96</w:t>
            </w:r>
            <w:r>
              <w:rPr>
                <w:color w:val="auto"/>
                <w:highlight w:val="none"/>
              </w:rPr>
              <w:t>×100%</w:t>
            </w:r>
          </w:p>
        </w:tc>
        <w:tc>
          <w:tcPr>
            <w:tcW w:w="625" w:type="pct"/>
            <w:shd w:val="clear" w:color="auto" w:fill="auto"/>
            <w:vAlign w:val="center"/>
          </w:tcPr>
          <w:p>
            <w:pPr>
              <w:pStyle w:val="84"/>
              <w:bidi w:val="0"/>
              <w:rPr>
                <w:color w:val="auto"/>
                <w:highlight w:val="none"/>
              </w:rPr>
            </w:pPr>
            <w:r>
              <w:rPr>
                <w:color w:val="auto"/>
                <w:highlight w:val="none"/>
              </w:rPr>
              <w:t xml:space="preserve">85 </w:t>
            </w:r>
          </w:p>
        </w:tc>
        <w:tc>
          <w:tcPr>
            <w:tcW w:w="625" w:type="pct"/>
            <w:shd w:val="clear" w:color="auto" w:fill="auto"/>
            <w:vAlign w:val="center"/>
          </w:tcPr>
          <w:p>
            <w:pPr>
              <w:pStyle w:val="84"/>
              <w:bidi w:val="0"/>
              <w:rPr>
                <w:rFonts w:hint="default" w:eastAsia="仿宋_GB2312"/>
                <w:color w:val="auto"/>
                <w:highlight w:val="none"/>
                <w:lang w:val="en-US" w:eastAsia="zh-CN"/>
              </w:rPr>
            </w:pPr>
            <w:r>
              <w:rPr>
                <w:color w:val="auto"/>
                <w:highlight w:val="none"/>
              </w:rPr>
              <w:t>9</w:t>
            </w:r>
            <w:r>
              <w:rPr>
                <w:rFonts w:hint="eastAsia"/>
                <w:color w:val="auto"/>
                <w:highlight w:val="none"/>
                <w:lang w:val="en-US" w:eastAsia="zh-CN"/>
              </w:rPr>
              <w:t>9.66</w:t>
            </w:r>
          </w:p>
        </w:tc>
        <w:tc>
          <w:tcPr>
            <w:tcW w:w="625" w:type="pct"/>
            <w:shd w:val="clear" w:color="auto" w:fill="auto"/>
            <w:vAlign w:val="center"/>
          </w:tcPr>
          <w:p>
            <w:pPr>
              <w:pStyle w:val="84"/>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0" w:hRule="atLeast"/>
        </w:trPr>
        <w:tc>
          <w:tcPr>
            <w:tcW w:w="1874" w:type="pct"/>
            <w:gridSpan w:val="3"/>
            <w:shd w:val="clear" w:color="auto" w:fill="auto"/>
            <w:vAlign w:val="center"/>
          </w:tcPr>
          <w:p>
            <w:pPr>
              <w:pStyle w:val="84"/>
              <w:bidi w:val="0"/>
              <w:rPr>
                <w:color w:val="auto"/>
                <w:highlight w:val="none"/>
              </w:rPr>
            </w:pPr>
            <w:r>
              <w:rPr>
                <w:color w:val="auto"/>
                <w:highlight w:val="none"/>
              </w:rPr>
              <w:t>土壤流失控制比：项目区容许土壤流失量/方案实施后每平方公里年平均土壤侵蚀强度</w:t>
            </w:r>
          </w:p>
        </w:tc>
        <w:tc>
          <w:tcPr>
            <w:tcW w:w="1250" w:type="pct"/>
            <w:gridSpan w:val="2"/>
            <w:shd w:val="clear" w:color="auto" w:fill="auto"/>
            <w:vAlign w:val="center"/>
          </w:tcPr>
          <w:p>
            <w:pPr>
              <w:pStyle w:val="84"/>
              <w:bidi w:val="0"/>
              <w:rPr>
                <w:color w:val="auto"/>
                <w:highlight w:val="none"/>
              </w:rPr>
            </w:pPr>
            <w:r>
              <w:rPr>
                <w:color w:val="auto"/>
                <w:highlight w:val="none"/>
              </w:rPr>
              <w:t>1000/1000</w:t>
            </w:r>
          </w:p>
        </w:tc>
        <w:tc>
          <w:tcPr>
            <w:tcW w:w="625" w:type="pct"/>
            <w:shd w:val="clear" w:color="auto" w:fill="auto"/>
            <w:vAlign w:val="center"/>
          </w:tcPr>
          <w:p>
            <w:pPr>
              <w:pStyle w:val="84"/>
              <w:bidi w:val="0"/>
              <w:rPr>
                <w:color w:val="auto"/>
                <w:highlight w:val="none"/>
              </w:rPr>
            </w:pPr>
            <w:r>
              <w:rPr>
                <w:color w:val="auto"/>
                <w:highlight w:val="none"/>
              </w:rPr>
              <w:t xml:space="preserve">1 </w:t>
            </w:r>
          </w:p>
        </w:tc>
        <w:tc>
          <w:tcPr>
            <w:tcW w:w="625" w:type="pct"/>
            <w:shd w:val="clear" w:color="auto" w:fill="auto"/>
            <w:vAlign w:val="center"/>
          </w:tcPr>
          <w:p>
            <w:pPr>
              <w:pStyle w:val="84"/>
              <w:bidi w:val="0"/>
              <w:rPr>
                <w:color w:val="auto"/>
                <w:highlight w:val="none"/>
              </w:rPr>
            </w:pPr>
            <w:r>
              <w:rPr>
                <w:color w:val="auto"/>
                <w:highlight w:val="none"/>
              </w:rPr>
              <w:t xml:space="preserve">1.00 </w:t>
            </w:r>
          </w:p>
        </w:tc>
        <w:tc>
          <w:tcPr>
            <w:tcW w:w="625" w:type="pct"/>
            <w:shd w:val="clear" w:color="auto" w:fill="auto"/>
            <w:vAlign w:val="center"/>
          </w:tcPr>
          <w:p>
            <w:pPr>
              <w:pStyle w:val="84"/>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6" w:hRule="atLeast"/>
        </w:trPr>
        <w:tc>
          <w:tcPr>
            <w:tcW w:w="1874" w:type="pct"/>
            <w:gridSpan w:val="3"/>
            <w:shd w:val="clear" w:color="auto" w:fill="auto"/>
            <w:vAlign w:val="center"/>
          </w:tcPr>
          <w:p>
            <w:pPr>
              <w:pStyle w:val="84"/>
              <w:bidi w:val="0"/>
              <w:rPr>
                <w:color w:val="auto"/>
                <w:highlight w:val="none"/>
              </w:rPr>
            </w:pPr>
            <w:r>
              <w:rPr>
                <w:color w:val="auto"/>
                <w:highlight w:val="none"/>
              </w:rPr>
              <w:t>渣土防护率：（采取措施实际挡护的永久弃渣、临时堆土数量）/总弃渣量×100％</w:t>
            </w:r>
          </w:p>
        </w:tc>
        <w:tc>
          <w:tcPr>
            <w:tcW w:w="1250" w:type="pct"/>
            <w:gridSpan w:val="2"/>
            <w:shd w:val="clear" w:color="auto" w:fill="auto"/>
            <w:vAlign w:val="center"/>
          </w:tcPr>
          <w:p>
            <w:pPr>
              <w:pStyle w:val="84"/>
              <w:bidi w:val="0"/>
              <w:rPr>
                <w:color w:val="auto"/>
                <w:highlight w:val="none"/>
              </w:rPr>
            </w:pPr>
            <w:r>
              <w:rPr>
                <w:rFonts w:hint="eastAsia"/>
                <w:color w:val="auto"/>
                <w:highlight w:val="none"/>
                <w:lang w:val="en-US" w:eastAsia="zh-CN"/>
              </w:rPr>
              <w:t>1.97</w:t>
            </w:r>
            <w:r>
              <w:rPr>
                <w:color w:val="auto"/>
                <w:highlight w:val="none"/>
              </w:rPr>
              <w:t>/2.</w:t>
            </w:r>
            <w:r>
              <w:rPr>
                <w:rFonts w:hint="eastAsia"/>
                <w:color w:val="auto"/>
                <w:highlight w:val="none"/>
                <w:lang w:val="en-US" w:eastAsia="zh-CN"/>
              </w:rPr>
              <w:t>18</w:t>
            </w:r>
            <w:r>
              <w:rPr>
                <w:color w:val="auto"/>
                <w:highlight w:val="none"/>
              </w:rPr>
              <w:t>×100%</w:t>
            </w:r>
          </w:p>
        </w:tc>
        <w:tc>
          <w:tcPr>
            <w:tcW w:w="625" w:type="pct"/>
            <w:shd w:val="clear" w:color="auto" w:fill="auto"/>
            <w:vAlign w:val="center"/>
          </w:tcPr>
          <w:p>
            <w:pPr>
              <w:pStyle w:val="84"/>
              <w:bidi w:val="0"/>
              <w:rPr>
                <w:color w:val="auto"/>
                <w:highlight w:val="none"/>
              </w:rPr>
            </w:pPr>
            <w:r>
              <w:rPr>
                <w:color w:val="auto"/>
                <w:highlight w:val="none"/>
              </w:rPr>
              <w:t xml:space="preserve">89 </w:t>
            </w:r>
          </w:p>
        </w:tc>
        <w:tc>
          <w:tcPr>
            <w:tcW w:w="625" w:type="pct"/>
            <w:shd w:val="clear" w:color="auto" w:fill="auto"/>
            <w:vAlign w:val="center"/>
          </w:tcPr>
          <w:p>
            <w:pPr>
              <w:pStyle w:val="84"/>
              <w:bidi w:val="0"/>
              <w:rPr>
                <w:color w:val="auto"/>
                <w:highlight w:val="none"/>
              </w:rPr>
            </w:pPr>
            <w:r>
              <w:rPr>
                <w:rFonts w:hint="eastAsia"/>
                <w:color w:val="auto"/>
                <w:highlight w:val="none"/>
                <w:lang w:val="en-US" w:eastAsia="zh-CN"/>
              </w:rPr>
              <w:t>90.20</w:t>
            </w:r>
            <w:r>
              <w:rPr>
                <w:color w:val="auto"/>
                <w:highlight w:val="none"/>
              </w:rPr>
              <w:t xml:space="preserve"> </w:t>
            </w:r>
          </w:p>
        </w:tc>
        <w:tc>
          <w:tcPr>
            <w:tcW w:w="625" w:type="pct"/>
            <w:shd w:val="clear" w:color="auto" w:fill="auto"/>
            <w:vAlign w:val="center"/>
          </w:tcPr>
          <w:p>
            <w:pPr>
              <w:pStyle w:val="84"/>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874" w:type="pct"/>
            <w:gridSpan w:val="3"/>
            <w:shd w:val="clear" w:color="auto" w:fill="auto"/>
            <w:vAlign w:val="center"/>
          </w:tcPr>
          <w:p>
            <w:pPr>
              <w:pStyle w:val="84"/>
              <w:bidi w:val="0"/>
              <w:rPr>
                <w:color w:val="auto"/>
                <w:highlight w:val="none"/>
              </w:rPr>
            </w:pPr>
            <w:r>
              <w:rPr>
                <w:color w:val="auto"/>
                <w:highlight w:val="none"/>
              </w:rPr>
              <w:t>表土保护率：保护的表土数量/可剥离表土总量×100％</w:t>
            </w:r>
          </w:p>
        </w:tc>
        <w:tc>
          <w:tcPr>
            <w:tcW w:w="1250" w:type="pct"/>
            <w:gridSpan w:val="2"/>
            <w:shd w:val="clear" w:color="auto" w:fill="auto"/>
            <w:vAlign w:val="center"/>
          </w:tcPr>
          <w:p>
            <w:pPr>
              <w:pStyle w:val="84"/>
              <w:bidi w:val="0"/>
              <w:rPr>
                <w:color w:val="auto"/>
                <w:highlight w:val="none"/>
              </w:rPr>
            </w:pPr>
            <w:r>
              <w:rPr>
                <w:color w:val="auto"/>
                <w:highlight w:val="none"/>
              </w:rPr>
              <w:t>/</w:t>
            </w:r>
          </w:p>
        </w:tc>
        <w:tc>
          <w:tcPr>
            <w:tcW w:w="625" w:type="pct"/>
            <w:shd w:val="clear" w:color="auto" w:fill="auto"/>
            <w:vAlign w:val="center"/>
          </w:tcPr>
          <w:p>
            <w:pPr>
              <w:pStyle w:val="84"/>
              <w:bidi w:val="0"/>
              <w:rPr>
                <w:color w:val="auto"/>
                <w:highlight w:val="none"/>
              </w:rPr>
            </w:pPr>
            <w:r>
              <w:rPr>
                <w:color w:val="auto"/>
                <w:highlight w:val="none"/>
              </w:rPr>
              <w:t>*</w:t>
            </w:r>
          </w:p>
        </w:tc>
        <w:tc>
          <w:tcPr>
            <w:tcW w:w="625" w:type="pct"/>
            <w:shd w:val="clear" w:color="auto" w:fill="auto"/>
            <w:vAlign w:val="center"/>
          </w:tcPr>
          <w:p>
            <w:pPr>
              <w:pStyle w:val="84"/>
              <w:bidi w:val="0"/>
              <w:rPr>
                <w:color w:val="auto"/>
                <w:highlight w:val="none"/>
              </w:rPr>
            </w:pPr>
            <w:r>
              <w:rPr>
                <w:color w:val="auto"/>
                <w:highlight w:val="none"/>
              </w:rPr>
              <w:t>*</w:t>
            </w:r>
          </w:p>
        </w:tc>
        <w:tc>
          <w:tcPr>
            <w:tcW w:w="625" w:type="pct"/>
            <w:shd w:val="clear" w:color="auto" w:fill="auto"/>
            <w:vAlign w:val="center"/>
          </w:tcPr>
          <w:p>
            <w:pPr>
              <w:pStyle w:val="84"/>
              <w:bidi w:val="0"/>
              <w:rPr>
                <w:color w:val="auto"/>
                <w:highlight w:val="none"/>
              </w:rPr>
            </w:pPr>
            <w:r>
              <w:rPr>
                <w:color w:val="auto"/>
                <w:highlight w:val="none"/>
              </w:rPr>
              <w:t>不做要求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874" w:type="pct"/>
            <w:gridSpan w:val="3"/>
            <w:shd w:val="clear" w:color="auto" w:fill="auto"/>
            <w:vAlign w:val="center"/>
          </w:tcPr>
          <w:p>
            <w:pPr>
              <w:pStyle w:val="84"/>
              <w:bidi w:val="0"/>
              <w:rPr>
                <w:color w:val="auto"/>
                <w:highlight w:val="none"/>
              </w:rPr>
            </w:pPr>
            <w:r>
              <w:rPr>
                <w:color w:val="auto"/>
                <w:highlight w:val="none"/>
              </w:rPr>
              <w:t>林草植被恢复率：（林草类植被面积/可绿化面积）×100％</w:t>
            </w:r>
          </w:p>
        </w:tc>
        <w:tc>
          <w:tcPr>
            <w:tcW w:w="1250" w:type="pct"/>
            <w:gridSpan w:val="2"/>
            <w:shd w:val="clear" w:color="auto" w:fill="auto"/>
            <w:vAlign w:val="center"/>
          </w:tcPr>
          <w:p>
            <w:pPr>
              <w:pStyle w:val="84"/>
              <w:bidi w:val="0"/>
              <w:rPr>
                <w:color w:val="auto"/>
                <w:highlight w:val="none"/>
              </w:rPr>
            </w:pPr>
            <w:r>
              <w:rPr>
                <w:rFonts w:hint="eastAsia"/>
                <w:color w:val="auto"/>
                <w:highlight w:val="none"/>
                <w:lang w:val="en-US" w:eastAsia="zh-CN"/>
              </w:rPr>
              <w:t>1.20</w:t>
            </w:r>
            <w:r>
              <w:rPr>
                <w:color w:val="auto"/>
                <w:highlight w:val="none"/>
              </w:rPr>
              <w:t>/</w:t>
            </w:r>
            <w:r>
              <w:rPr>
                <w:rFonts w:hint="eastAsia"/>
                <w:color w:val="auto"/>
                <w:highlight w:val="none"/>
                <w:lang w:val="en-US" w:eastAsia="zh-CN"/>
              </w:rPr>
              <w:t>1.21</w:t>
            </w:r>
            <w:r>
              <w:rPr>
                <w:color w:val="auto"/>
                <w:highlight w:val="none"/>
              </w:rPr>
              <w:t>×100%</w:t>
            </w:r>
          </w:p>
        </w:tc>
        <w:tc>
          <w:tcPr>
            <w:tcW w:w="625" w:type="pct"/>
            <w:shd w:val="clear" w:color="auto" w:fill="auto"/>
            <w:vAlign w:val="center"/>
          </w:tcPr>
          <w:p>
            <w:pPr>
              <w:pStyle w:val="84"/>
              <w:bidi w:val="0"/>
              <w:rPr>
                <w:color w:val="auto"/>
                <w:highlight w:val="none"/>
              </w:rPr>
            </w:pPr>
            <w:r>
              <w:rPr>
                <w:color w:val="auto"/>
                <w:highlight w:val="none"/>
              </w:rPr>
              <w:t xml:space="preserve">93 </w:t>
            </w:r>
          </w:p>
        </w:tc>
        <w:tc>
          <w:tcPr>
            <w:tcW w:w="625" w:type="pct"/>
            <w:shd w:val="clear" w:color="auto" w:fill="auto"/>
            <w:vAlign w:val="center"/>
          </w:tcPr>
          <w:p>
            <w:pPr>
              <w:pStyle w:val="84"/>
              <w:bidi w:val="0"/>
              <w:rPr>
                <w:color w:val="auto"/>
                <w:highlight w:val="none"/>
              </w:rPr>
            </w:pPr>
            <w:r>
              <w:rPr>
                <w:color w:val="auto"/>
                <w:highlight w:val="none"/>
              </w:rPr>
              <w:t>9</w:t>
            </w:r>
            <w:r>
              <w:rPr>
                <w:rFonts w:hint="eastAsia"/>
                <w:color w:val="auto"/>
                <w:highlight w:val="none"/>
                <w:lang w:val="en-US" w:eastAsia="zh-CN"/>
              </w:rPr>
              <w:t>9.17</w:t>
            </w:r>
            <w:r>
              <w:rPr>
                <w:color w:val="auto"/>
                <w:highlight w:val="none"/>
              </w:rPr>
              <w:t xml:space="preserve"> </w:t>
            </w:r>
          </w:p>
        </w:tc>
        <w:tc>
          <w:tcPr>
            <w:tcW w:w="625" w:type="pct"/>
            <w:shd w:val="clear" w:color="auto" w:fill="auto"/>
            <w:vAlign w:val="center"/>
          </w:tcPr>
          <w:p>
            <w:pPr>
              <w:pStyle w:val="84"/>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1874" w:type="pct"/>
            <w:gridSpan w:val="3"/>
            <w:shd w:val="clear" w:color="auto" w:fill="auto"/>
            <w:vAlign w:val="center"/>
          </w:tcPr>
          <w:p>
            <w:pPr>
              <w:pStyle w:val="84"/>
              <w:bidi w:val="0"/>
              <w:rPr>
                <w:color w:val="auto"/>
                <w:highlight w:val="none"/>
              </w:rPr>
            </w:pPr>
            <w:r>
              <w:rPr>
                <w:color w:val="auto"/>
                <w:highlight w:val="none"/>
              </w:rPr>
              <w:t>林草植被覆盖率：（林草类植被面积/项目建设区总面积）×100％</w:t>
            </w:r>
          </w:p>
        </w:tc>
        <w:tc>
          <w:tcPr>
            <w:tcW w:w="1250" w:type="pct"/>
            <w:gridSpan w:val="2"/>
            <w:shd w:val="clear" w:color="auto" w:fill="auto"/>
            <w:vAlign w:val="center"/>
          </w:tcPr>
          <w:p>
            <w:pPr>
              <w:pStyle w:val="84"/>
              <w:bidi w:val="0"/>
              <w:rPr>
                <w:color w:val="auto"/>
                <w:highlight w:val="none"/>
              </w:rPr>
            </w:pPr>
            <w:r>
              <w:rPr>
                <w:rFonts w:hint="eastAsia"/>
                <w:color w:val="auto"/>
                <w:highlight w:val="none"/>
                <w:lang w:val="en-US" w:eastAsia="zh-CN"/>
              </w:rPr>
              <w:t>1.21</w:t>
            </w:r>
            <w:r>
              <w:rPr>
                <w:color w:val="auto"/>
                <w:highlight w:val="none"/>
              </w:rPr>
              <w:t>/</w:t>
            </w:r>
            <w:r>
              <w:rPr>
                <w:rFonts w:hint="eastAsia"/>
                <w:color w:val="auto"/>
                <w:highlight w:val="none"/>
                <w:lang w:val="en-US" w:eastAsia="zh-CN"/>
              </w:rPr>
              <w:t>2.96</w:t>
            </w:r>
            <w:r>
              <w:rPr>
                <w:color w:val="auto"/>
                <w:highlight w:val="none"/>
              </w:rPr>
              <w:t>×100%</w:t>
            </w:r>
          </w:p>
        </w:tc>
        <w:tc>
          <w:tcPr>
            <w:tcW w:w="625" w:type="pct"/>
            <w:shd w:val="clear" w:color="auto" w:fill="auto"/>
            <w:vAlign w:val="center"/>
          </w:tcPr>
          <w:p>
            <w:pPr>
              <w:pStyle w:val="84"/>
              <w:bidi w:val="0"/>
              <w:rPr>
                <w:color w:val="auto"/>
                <w:highlight w:val="none"/>
              </w:rPr>
            </w:pPr>
            <w:r>
              <w:rPr>
                <w:color w:val="auto"/>
                <w:highlight w:val="none"/>
              </w:rPr>
              <w:t>2</w:t>
            </w:r>
            <w:r>
              <w:rPr>
                <w:rFonts w:hint="eastAsia"/>
                <w:color w:val="auto"/>
                <w:highlight w:val="none"/>
                <w:lang w:val="en-US" w:eastAsia="zh-CN"/>
              </w:rPr>
              <w:t>2</w:t>
            </w:r>
            <w:r>
              <w:rPr>
                <w:color w:val="auto"/>
                <w:highlight w:val="none"/>
              </w:rPr>
              <w:t xml:space="preserve"> </w:t>
            </w:r>
          </w:p>
        </w:tc>
        <w:tc>
          <w:tcPr>
            <w:tcW w:w="625" w:type="pct"/>
            <w:shd w:val="clear" w:color="auto" w:fill="auto"/>
            <w:vAlign w:val="center"/>
          </w:tcPr>
          <w:p>
            <w:pPr>
              <w:pStyle w:val="84"/>
              <w:bidi w:val="0"/>
              <w:rPr>
                <w:color w:val="auto"/>
                <w:highlight w:val="none"/>
              </w:rPr>
            </w:pPr>
            <w:r>
              <w:rPr>
                <w:rFonts w:hint="eastAsia"/>
                <w:color w:val="auto"/>
                <w:highlight w:val="none"/>
                <w:lang w:val="en-US" w:eastAsia="zh-CN"/>
              </w:rPr>
              <w:t>40.54</w:t>
            </w:r>
            <w:r>
              <w:rPr>
                <w:color w:val="auto"/>
                <w:highlight w:val="none"/>
              </w:rPr>
              <w:t xml:space="preserve"> </w:t>
            </w:r>
          </w:p>
        </w:tc>
        <w:tc>
          <w:tcPr>
            <w:tcW w:w="625" w:type="pct"/>
            <w:shd w:val="clear" w:color="auto" w:fill="auto"/>
            <w:vAlign w:val="center"/>
          </w:tcPr>
          <w:p>
            <w:pPr>
              <w:pStyle w:val="84"/>
              <w:bidi w:val="0"/>
              <w:rPr>
                <w:color w:val="auto"/>
                <w:highlight w:val="none"/>
              </w:rPr>
            </w:pPr>
            <w:r>
              <w:rPr>
                <w:color w:val="auto"/>
                <w:highlight w:val="none"/>
              </w:rPr>
              <w:t>达标</w:t>
            </w:r>
          </w:p>
        </w:tc>
      </w:tr>
    </w:tbl>
    <w:p>
      <w:pPr>
        <w:pStyle w:val="69"/>
        <w:rPr>
          <w:color w:val="auto"/>
          <w:highlight w:val="none"/>
        </w:rPr>
      </w:pPr>
      <w:r>
        <w:rPr>
          <w:color w:val="auto"/>
          <w:highlight w:val="none"/>
        </w:rPr>
        <w:t>7.2.4 综合效益分析</w:t>
      </w:r>
    </w:p>
    <w:p>
      <w:pPr>
        <w:pStyle w:val="56"/>
        <w:ind w:firstLine="480"/>
        <w:rPr>
          <w:color w:val="auto"/>
          <w:highlight w:val="none"/>
        </w:rPr>
      </w:pPr>
      <w:r>
        <w:rPr>
          <w:color w:val="auto"/>
          <w:highlight w:val="none"/>
        </w:rPr>
        <w:t>本水土保持方案对水土保持综合治理措施的计算与评价的方法是：在实地调查的基础上采用中华人民共和国国家标准《《生产建设项目水土保持技术标准》(GB 50433-2018)进行分析计算。</w:t>
      </w:r>
    </w:p>
    <w:p>
      <w:pPr>
        <w:pStyle w:val="56"/>
        <w:ind w:firstLine="480"/>
        <w:rPr>
          <w:color w:val="auto"/>
          <w:highlight w:val="none"/>
        </w:rPr>
      </w:pPr>
      <w:r>
        <w:rPr>
          <w:color w:val="auto"/>
          <w:highlight w:val="none"/>
        </w:rPr>
        <w:t>（1）水土保持效益</w:t>
      </w:r>
    </w:p>
    <w:p>
      <w:pPr>
        <w:pStyle w:val="56"/>
        <w:ind w:firstLine="480"/>
        <w:rPr>
          <w:color w:val="auto"/>
          <w:highlight w:val="none"/>
        </w:rPr>
      </w:pPr>
      <w:r>
        <w:rPr>
          <w:color w:val="auto"/>
          <w:highlight w:val="none"/>
        </w:rPr>
        <w:t>通过主体设计的水土保持措施及方案新增水土保持措得到落实后，工程建设区内水土流失可以得到基本治理，其中水土流失治理度达到</w:t>
      </w:r>
      <w:r>
        <w:rPr>
          <w:rFonts w:hint="eastAsia"/>
          <w:color w:val="auto"/>
          <w:highlight w:val="none"/>
          <w:lang w:eastAsia="zh-CN"/>
        </w:rPr>
        <w:t>99.66</w:t>
      </w:r>
      <w:r>
        <w:rPr>
          <w:color w:val="auto"/>
          <w:highlight w:val="none"/>
        </w:rPr>
        <w:t>%，土壤流失控制比达到1.0，渣土防护率达到</w:t>
      </w:r>
      <w:r>
        <w:rPr>
          <w:rFonts w:hint="eastAsia"/>
          <w:color w:val="auto"/>
          <w:highlight w:val="none"/>
          <w:lang w:eastAsia="zh-CN"/>
        </w:rPr>
        <w:t>90.20</w:t>
      </w:r>
      <w:r>
        <w:rPr>
          <w:color w:val="auto"/>
          <w:highlight w:val="none"/>
        </w:rPr>
        <w:t>%，林草植被恢复率达到</w:t>
      </w:r>
      <w:r>
        <w:rPr>
          <w:rFonts w:hint="eastAsia"/>
          <w:color w:val="auto"/>
          <w:highlight w:val="none"/>
          <w:lang w:eastAsia="zh-CN"/>
        </w:rPr>
        <w:t>99.17</w:t>
      </w:r>
      <w:r>
        <w:rPr>
          <w:color w:val="auto"/>
          <w:highlight w:val="none"/>
        </w:rPr>
        <w:t>%，林草覆盖率达到</w:t>
      </w:r>
      <w:r>
        <w:rPr>
          <w:rFonts w:hint="eastAsia"/>
          <w:color w:val="auto"/>
          <w:highlight w:val="none"/>
          <w:lang w:eastAsia="zh-CN"/>
        </w:rPr>
        <w:t>40.54</w:t>
      </w:r>
      <w:r>
        <w:rPr>
          <w:color w:val="auto"/>
          <w:highlight w:val="none"/>
        </w:rPr>
        <w:t>%。除表土保护率不做要求外，其余各项指标均达到目标值。项目建设造成的新增水土流失得到有效控制，水土流失得到治理。</w:t>
      </w:r>
    </w:p>
    <w:p>
      <w:pPr>
        <w:pStyle w:val="56"/>
        <w:ind w:firstLine="480"/>
        <w:rPr>
          <w:color w:val="auto"/>
          <w:highlight w:val="none"/>
        </w:rPr>
      </w:pPr>
      <w:r>
        <w:rPr>
          <w:color w:val="auto"/>
          <w:highlight w:val="none"/>
        </w:rPr>
        <w:t>（2）生态效益</w:t>
      </w:r>
    </w:p>
    <w:p>
      <w:pPr>
        <w:pStyle w:val="56"/>
        <w:ind w:firstLine="480"/>
        <w:rPr>
          <w:color w:val="auto"/>
          <w:highlight w:val="none"/>
        </w:rPr>
      </w:pPr>
      <w:r>
        <w:rPr>
          <w:color w:val="auto"/>
          <w:highlight w:val="none"/>
        </w:rPr>
        <w:t>经预测分析表明，水土保持措施实施后，防治责任范围内易发生水土流失的区域得到治理，原有水土流失程度得到有效控制，因工程建设而产生的弃渣也将得到有效防护，减轻因工程建设等人为活动对自然环境的破坏，为恢复和改善区域生态环境创造有利条件。</w:t>
      </w:r>
      <w:r>
        <w:rPr>
          <w:rFonts w:hint="default" w:ascii="Times New Roman" w:hAnsi="Times New Roman" w:eastAsia="仿宋_GB2312" w:cs="Times New Roman"/>
          <w:color w:val="auto"/>
          <w:highlight w:val="none"/>
        </w:rPr>
        <w:t>通过方案新增及主体已列的各项措施，减少水土流失量能够达到60%以上，预计减少水土流失</w:t>
      </w:r>
      <w:r>
        <w:rPr>
          <w:rFonts w:hint="eastAsia" w:cs="Times New Roman"/>
          <w:color w:val="auto"/>
          <w:highlight w:val="none"/>
          <w:lang w:val="en-US" w:eastAsia="zh-CN"/>
        </w:rPr>
        <w:t>246</w:t>
      </w:r>
      <w:r>
        <w:rPr>
          <w:rFonts w:hint="default" w:ascii="Times New Roman" w:hAnsi="Times New Roman" w:eastAsia="仿宋_GB2312" w:cs="Times New Roman"/>
          <w:color w:val="auto"/>
          <w:highlight w:val="none"/>
        </w:rPr>
        <w:t>t左右。</w:t>
      </w:r>
    </w:p>
    <w:p>
      <w:pPr>
        <w:pStyle w:val="56"/>
        <w:ind w:firstLine="480"/>
        <w:rPr>
          <w:color w:val="auto"/>
          <w:highlight w:val="none"/>
        </w:rPr>
      </w:pPr>
      <w:r>
        <w:rPr>
          <w:color w:val="auto"/>
          <w:highlight w:val="none"/>
        </w:rPr>
        <w:t>（3）社会效益</w:t>
      </w:r>
    </w:p>
    <w:p>
      <w:pPr>
        <w:pStyle w:val="56"/>
        <w:ind w:firstLine="480"/>
        <w:rPr>
          <w:color w:val="auto"/>
          <w:highlight w:val="none"/>
        </w:rPr>
      </w:pPr>
      <w:r>
        <w:rPr>
          <w:color w:val="auto"/>
          <w:highlight w:val="none"/>
        </w:rPr>
        <w:t>随着本项目水土保持措施的全方位实施，不仅使项目区内的水土流失得到有效控制，项目区生态环境得到改善，本项目绿化措施的实施有利于改善区域环境，美化人居环境。</w:t>
      </w:r>
    </w:p>
    <w:p>
      <w:pPr>
        <w:pStyle w:val="56"/>
        <w:ind w:firstLine="480"/>
        <w:rPr>
          <w:color w:val="auto"/>
          <w:highlight w:val="none"/>
        </w:rPr>
      </w:pPr>
    </w:p>
    <w:p>
      <w:pPr>
        <w:pStyle w:val="56"/>
        <w:ind w:firstLine="480"/>
        <w:rPr>
          <w:bCs/>
          <w:color w:val="auto"/>
          <w:highlight w:val="none"/>
        </w:rPr>
        <w:sectPr>
          <w:headerReference r:id="rId24"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65"/>
        <w:rPr>
          <w:color w:val="auto"/>
          <w:highlight w:val="none"/>
        </w:rPr>
      </w:pPr>
      <w:bookmarkStart w:id="141" w:name="_Toc15360"/>
      <w:bookmarkStart w:id="148" w:name="_GoBack"/>
      <w:bookmarkEnd w:id="148"/>
      <w:r>
        <w:rPr>
          <w:color w:val="auto"/>
          <w:highlight w:val="none"/>
        </w:rPr>
        <w:t>8 水土保持管理</w:t>
      </w:r>
      <w:bookmarkEnd w:id="141"/>
    </w:p>
    <w:p>
      <w:pPr>
        <w:pStyle w:val="66"/>
        <w:rPr>
          <w:color w:val="auto"/>
          <w:highlight w:val="none"/>
        </w:rPr>
      </w:pPr>
      <w:bookmarkStart w:id="142" w:name="_Toc17066"/>
      <w:r>
        <w:rPr>
          <w:color w:val="auto"/>
          <w:highlight w:val="none"/>
        </w:rPr>
        <w:t>8.1 组织管理</w:t>
      </w:r>
      <w:bookmarkEnd w:id="142"/>
    </w:p>
    <w:p>
      <w:pPr>
        <w:pStyle w:val="56"/>
        <w:ind w:firstLine="480"/>
        <w:rPr>
          <w:color w:val="auto"/>
          <w:highlight w:val="none"/>
        </w:rPr>
      </w:pPr>
      <w:r>
        <w:rPr>
          <w:color w:val="auto"/>
          <w:highlight w:val="none"/>
        </w:rPr>
        <w:t>为确保</w:t>
      </w:r>
      <w:r>
        <w:rPr>
          <w:rFonts w:hint="eastAsia"/>
          <w:color w:val="auto"/>
          <w:highlight w:val="none"/>
          <w:lang w:eastAsia="zh-CN"/>
        </w:rPr>
        <w:t>伊宁县书香·雅居</w:t>
      </w:r>
      <w:r>
        <w:rPr>
          <w:color w:val="auto"/>
          <w:highlight w:val="none"/>
        </w:rPr>
        <w:t>建设项目水土保持工作的顺利实施，充分发挥其效益，建立和健全领导管理体系十分必要。因此，建设单位应组织有水土保持项目建设管理人员与机构，负责落实主体设计以及方案新增的水土保持措施的管理与维护工作。水土保持实施管理机构主要工作职责如下：</w:t>
      </w:r>
    </w:p>
    <w:p>
      <w:pPr>
        <w:pStyle w:val="56"/>
        <w:numPr>
          <w:ilvl w:val="0"/>
          <w:numId w:val="10"/>
        </w:numPr>
        <w:ind w:firstLineChars="0"/>
        <w:rPr>
          <w:color w:val="auto"/>
          <w:highlight w:val="none"/>
        </w:rPr>
      </w:pPr>
      <w:r>
        <w:rPr>
          <w:color w:val="auto"/>
          <w:highlight w:val="none"/>
        </w:rPr>
        <w:t>将本项目开工信息报备地方水行政主管部门备案。</w:t>
      </w:r>
    </w:p>
    <w:p>
      <w:pPr>
        <w:pStyle w:val="56"/>
        <w:numPr>
          <w:ilvl w:val="0"/>
          <w:numId w:val="10"/>
        </w:numPr>
        <w:ind w:firstLineChars="0"/>
        <w:rPr>
          <w:color w:val="auto"/>
          <w:highlight w:val="none"/>
        </w:rPr>
      </w:pPr>
      <w:r>
        <w:rPr>
          <w:color w:val="auto"/>
          <w:highlight w:val="none"/>
        </w:rPr>
        <w:t>在维护管理中，贯彻执行水土保持法律法规和有关标准；</w:t>
      </w:r>
    </w:p>
    <w:p>
      <w:pPr>
        <w:pStyle w:val="56"/>
        <w:numPr>
          <w:ilvl w:val="0"/>
          <w:numId w:val="10"/>
        </w:numPr>
        <w:ind w:firstLineChars="0"/>
        <w:rPr>
          <w:color w:val="auto"/>
          <w:highlight w:val="none"/>
        </w:rPr>
      </w:pPr>
      <w:r>
        <w:rPr>
          <w:color w:val="auto"/>
          <w:highlight w:val="none"/>
        </w:rPr>
        <w:t>建设项目运行期间，建设单位</w:t>
      </w:r>
      <w:r>
        <w:rPr>
          <w:rFonts w:hint="eastAsia"/>
          <w:color w:val="auto"/>
          <w:highlight w:val="none"/>
          <w:lang w:eastAsia="zh-CN"/>
        </w:rPr>
        <w:t>伊宁县城市保障性住房投资建设管理有限公司</w:t>
      </w:r>
      <w:r>
        <w:rPr>
          <w:color w:val="auto"/>
          <w:highlight w:val="none"/>
        </w:rPr>
        <w:t>应制定水土保持管理的规章制度，并监督执行情况；</w:t>
      </w:r>
    </w:p>
    <w:p>
      <w:pPr>
        <w:pStyle w:val="56"/>
        <w:numPr>
          <w:ilvl w:val="0"/>
          <w:numId w:val="10"/>
        </w:numPr>
        <w:ind w:firstLineChars="0"/>
        <w:rPr>
          <w:color w:val="auto"/>
          <w:highlight w:val="none"/>
        </w:rPr>
      </w:pPr>
      <w:r>
        <w:rPr>
          <w:color w:val="auto"/>
          <w:highlight w:val="none"/>
        </w:rPr>
        <w:t>必要时，还应对管理人员实施水土保持专业技术培训，提高人员素质和管理水平；</w:t>
      </w:r>
    </w:p>
    <w:p>
      <w:pPr>
        <w:pStyle w:val="56"/>
        <w:numPr>
          <w:ilvl w:val="0"/>
          <w:numId w:val="10"/>
        </w:numPr>
        <w:ind w:firstLineChars="0"/>
        <w:rPr>
          <w:color w:val="auto"/>
          <w:highlight w:val="none"/>
        </w:rPr>
      </w:pPr>
      <w:r>
        <w:rPr>
          <w:color w:val="auto"/>
          <w:highlight w:val="none"/>
        </w:rPr>
        <w:t>定期总结并向水行政主管部门汇报水土保持工程维护管理的工作情况。</w:t>
      </w:r>
    </w:p>
    <w:p>
      <w:pPr>
        <w:pStyle w:val="56"/>
        <w:ind w:firstLine="480"/>
        <w:rPr>
          <w:color w:val="auto"/>
          <w:highlight w:val="none"/>
        </w:rPr>
      </w:pPr>
      <w:r>
        <w:rPr>
          <w:color w:val="auto"/>
          <w:highlight w:val="none"/>
        </w:rPr>
        <w:t>建设单位应当制定详细的、可操作的水土保持管理制度和奖惩办法，认真落实和组织实施水土保持方案，加强对施工单位的管理约束；认真组织学习和宣传水土保持有关法律法规，提高管理者和建设者的水土保持意识；经常深入现场组织监督和检查，发现问题及时处理。</w:t>
      </w:r>
    </w:p>
    <w:p>
      <w:pPr>
        <w:pStyle w:val="56"/>
        <w:ind w:firstLine="480"/>
        <w:rPr>
          <w:color w:val="auto"/>
          <w:highlight w:val="none"/>
        </w:rPr>
      </w:pPr>
      <w:r>
        <w:rPr>
          <w:color w:val="auto"/>
          <w:highlight w:val="none"/>
        </w:rPr>
        <w:t>在方案实施过程中，建设单位应当积极主动地与水行政主管部门加强合作，自觉接受水行政主管部门的监督管理，并认真落实监督检查的意见和建议，定期向当地水行政主管部门报告水土保持工作进展情况，包括方案落实计划、进度安排、资金落实、监理监测开展情况等。</w:t>
      </w:r>
    </w:p>
    <w:p>
      <w:pPr>
        <w:pStyle w:val="66"/>
        <w:rPr>
          <w:color w:val="auto"/>
          <w:highlight w:val="none"/>
        </w:rPr>
      </w:pPr>
      <w:bookmarkStart w:id="143" w:name="_Toc9512"/>
      <w:r>
        <w:rPr>
          <w:color w:val="auto"/>
          <w:highlight w:val="none"/>
        </w:rPr>
        <w:t>8.2 后续设计</w:t>
      </w:r>
      <w:bookmarkEnd w:id="143"/>
    </w:p>
    <w:p>
      <w:pPr>
        <w:pStyle w:val="56"/>
        <w:ind w:firstLine="480"/>
        <w:rPr>
          <w:color w:val="auto"/>
          <w:highlight w:val="none"/>
        </w:rPr>
      </w:pPr>
      <w:r>
        <w:rPr>
          <w:color w:val="auto"/>
          <w:highlight w:val="none"/>
        </w:rPr>
        <w:t>本项目水土保持方案属补报项目，项目于2020年</w:t>
      </w:r>
      <w:r>
        <w:rPr>
          <w:rFonts w:hint="eastAsia"/>
          <w:color w:val="auto"/>
          <w:highlight w:val="none"/>
          <w:lang w:val="en-US" w:eastAsia="zh-CN"/>
        </w:rPr>
        <w:t>4</w:t>
      </w:r>
      <w:r>
        <w:rPr>
          <w:color w:val="auto"/>
          <w:highlight w:val="none"/>
        </w:rPr>
        <w:t>月开工建设，计划2021年</w:t>
      </w:r>
      <w:r>
        <w:rPr>
          <w:rFonts w:hint="eastAsia"/>
          <w:color w:val="auto"/>
          <w:highlight w:val="none"/>
          <w:lang w:val="en-US" w:eastAsia="zh-CN"/>
        </w:rPr>
        <w:t>10</w:t>
      </w:r>
      <w:r>
        <w:rPr>
          <w:color w:val="auto"/>
          <w:highlight w:val="none"/>
        </w:rPr>
        <w:t>月建设完成，主体计划实施部分措施，同时本方案针对其不足，补充新增部分措施。</w:t>
      </w:r>
    </w:p>
    <w:p>
      <w:pPr>
        <w:pStyle w:val="56"/>
        <w:ind w:firstLine="480"/>
        <w:rPr>
          <w:color w:val="auto"/>
          <w:highlight w:val="none"/>
        </w:rPr>
      </w:pPr>
      <w:r>
        <w:rPr>
          <w:color w:val="auto"/>
          <w:highlight w:val="none"/>
        </w:rPr>
        <w:t>水土保持方案经水行政主管部门批复后，建设单位应委托设计单位做好后续设计工作，在施工图设计中补充水土保持方案新增各项措施，对设计变更实施严格的管理审批制度，在制定本工程的施工技术要求和操作规范时，应有专门的水土保持内容。</w:t>
      </w:r>
    </w:p>
    <w:p>
      <w:pPr>
        <w:pStyle w:val="56"/>
        <w:ind w:firstLine="480"/>
        <w:rPr>
          <w:color w:val="auto"/>
          <w:highlight w:val="none"/>
        </w:rPr>
      </w:pPr>
      <w:r>
        <w:rPr>
          <w:color w:val="auto"/>
          <w:highlight w:val="none"/>
        </w:rPr>
        <w:t>水土保持方案经批准后，在项目建设过程中，若出现因主体工程施工布置、施工工艺以及施工占地面积等变化而导致水土保持措施数量、类型等发生较大变化的情况，建设单位需进行该项目水土保持设施变更报告书，并上报原水土保持方案报告书审批机关进行审查。</w:t>
      </w:r>
    </w:p>
    <w:p>
      <w:pPr>
        <w:pStyle w:val="66"/>
        <w:rPr>
          <w:color w:val="auto"/>
          <w:highlight w:val="none"/>
        </w:rPr>
      </w:pPr>
      <w:bookmarkStart w:id="144" w:name="_Toc15336"/>
      <w:r>
        <w:rPr>
          <w:color w:val="auto"/>
          <w:highlight w:val="none"/>
        </w:rPr>
        <w:t>8.3 水土保持监测</w:t>
      </w:r>
      <w:bookmarkEnd w:id="144"/>
    </w:p>
    <w:p>
      <w:pPr>
        <w:pStyle w:val="56"/>
        <w:ind w:firstLine="480"/>
        <w:rPr>
          <w:color w:val="auto"/>
          <w:highlight w:val="none"/>
        </w:rPr>
      </w:pPr>
      <w:r>
        <w:rPr>
          <w:color w:val="auto"/>
          <w:highlight w:val="none"/>
        </w:rPr>
        <w:t>根据《新疆维吾尔自治区实施&lt;中华人民共和国水土保持法&gt;办法》和《新疆维吾尔自治区生产建设项目水土保持方案管理办法》，</w:t>
      </w:r>
      <w:r>
        <w:rPr>
          <w:rFonts w:hint="eastAsia"/>
          <w:color w:val="auto"/>
          <w:highlight w:val="none"/>
          <w:lang w:eastAsia="zh-CN"/>
        </w:rPr>
        <w:t>伊宁县书香·雅居</w:t>
      </w:r>
      <w:r>
        <w:rPr>
          <w:color w:val="auto"/>
          <w:highlight w:val="none"/>
        </w:rPr>
        <w:t>建设项目水土保持方案报告表对水土保持监测不做具体要求。</w:t>
      </w:r>
    </w:p>
    <w:p>
      <w:pPr>
        <w:pStyle w:val="66"/>
        <w:rPr>
          <w:color w:val="auto"/>
          <w:highlight w:val="none"/>
        </w:rPr>
      </w:pPr>
      <w:bookmarkStart w:id="145" w:name="_Toc6122"/>
      <w:r>
        <w:rPr>
          <w:color w:val="auto"/>
          <w:highlight w:val="none"/>
        </w:rPr>
        <w:t>8.4 水土保持监理</w:t>
      </w:r>
      <w:bookmarkEnd w:id="145"/>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水保〔2019〕160号《水利部关于进一步深化“放管服”改革全面加强水土保持监管的意见》的要求，凡主体工程开展监理工作的项目，应当按照水土保持监理标准和规范开展水土保持工程施工监理。建设单位在项目开工前应委托监理单位承担本项目的水土保持监理工作，形成以项目法人（业主）、承包商、监理工程师三方相互制约，以监理工程师为依托的合同管理模式，以期达到降低造价，保证进度，提高水土保持工程的施工质量。</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监理单位在具体监理工作中，一要对水土保持工程建设的全过程实行投资控制、质量控制、进度控制；二要及时了解、掌握水土保持工程建设的各类信息，并对其进行管理；三要在工程实施过程中，对建设单位与施工单位发生的矛盾和纠纷组织协调。</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监理人员在日常工作中应及时整理、归档有关的水土保持资料，定期向水土保持监理单位和建设单位报告现场水土保持工作情况，负责编写水土保持工程监理报告，监理报告应报送建设单位和当地水行政主管部门备案。</w:t>
      </w:r>
    </w:p>
    <w:p>
      <w:pPr>
        <w:pStyle w:val="66"/>
        <w:rPr>
          <w:color w:val="auto"/>
          <w:highlight w:val="none"/>
        </w:rPr>
      </w:pPr>
      <w:bookmarkStart w:id="146" w:name="_Toc21071"/>
      <w:r>
        <w:rPr>
          <w:color w:val="auto"/>
          <w:highlight w:val="none"/>
        </w:rPr>
        <w:t>8.5 水土保持施工</w:t>
      </w:r>
      <w:bookmarkEnd w:id="146"/>
    </w:p>
    <w:p>
      <w:pPr>
        <w:pStyle w:val="56"/>
        <w:ind w:firstLine="480"/>
        <w:rPr>
          <w:color w:val="auto"/>
          <w:highlight w:val="none"/>
        </w:rPr>
      </w:pPr>
      <w:r>
        <w:rPr>
          <w:color w:val="auto"/>
          <w:highlight w:val="none"/>
        </w:rPr>
        <w:t>（1）招标管理：水土保持方案在实施过程中应实行项目管理制、工程招投标制和工程监理制，以保证水土保持方案的顺利实施，并达到预期目标。</w:t>
      </w:r>
    </w:p>
    <w:p>
      <w:pPr>
        <w:pStyle w:val="56"/>
        <w:ind w:firstLine="480"/>
        <w:rPr>
          <w:color w:val="auto"/>
          <w:highlight w:val="none"/>
        </w:rPr>
      </w:pPr>
      <w:r>
        <w:rPr>
          <w:color w:val="auto"/>
          <w:highlight w:val="none"/>
        </w:rPr>
        <w:t>（2）工程开工建设时应向各级水行政主管部门备案，在招标文件中明确建设单位在施工招标条款中应对水土保持监测设施提出保护的要求，以保证防护效果。</w:t>
      </w:r>
    </w:p>
    <w:p>
      <w:pPr>
        <w:pStyle w:val="56"/>
        <w:ind w:firstLine="480"/>
        <w:rPr>
          <w:color w:val="auto"/>
          <w:highlight w:val="none"/>
        </w:rPr>
      </w:pPr>
      <w:r>
        <w:rPr>
          <w:color w:val="auto"/>
          <w:highlight w:val="none"/>
        </w:rPr>
        <w:t>（3）在主体工程施工中，中标的施工单位必须按照水土保持方案设计实施水土保持措施，以保证水土保持效益的充分发挥。施工单位在实施本方案时，如确需对设计内容进行变更，应会同设计单位按有关规定向本方案批复单位实施报批程序。</w:t>
      </w:r>
    </w:p>
    <w:p>
      <w:pPr>
        <w:pStyle w:val="66"/>
        <w:rPr>
          <w:color w:val="auto"/>
          <w:highlight w:val="none"/>
        </w:rPr>
      </w:pPr>
      <w:bookmarkStart w:id="147" w:name="_Toc27217"/>
      <w:r>
        <w:rPr>
          <w:color w:val="auto"/>
          <w:highlight w:val="none"/>
        </w:rPr>
        <w:t>8.6 水土保持设施验收</w:t>
      </w:r>
      <w:bookmarkEnd w:id="147"/>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根据《中华人民共和国水土保持法》、《水利部关于加强事中事后监管规范生产</w:t>
      </w:r>
    </w:p>
    <w:p>
      <w:pPr>
        <w:pStyle w:val="56"/>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建设项目水土保持设施自主验收的通知》（水保[2017]365号）、</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rPr>
        <w:t>水利部办公厅关于印发生产建设项目水土保持监督管理办法的通知</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rPr>
        <w:t>（办水保〔2019〕172号）</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rPr>
        <w:t>《新疆维吾尔自治区水利厅关于加强事中事后监管规范生产建设项目水土保持设施自主验收实施意见的通知》（新水办水保[2017]121号）和水利部关于进一步深化“放管服”改革，全面加强水土保持监管的意见（水保〔2019〕160号）及新疆维吾尔自治区水利厅文件转发水利部关于进一步深化“放管服”改革，全面加强水土保持监管意见的通知（新水水保〔2019〕29号）的有关规定，本工程投产使用前，建设单位应当按照水土保持法律法规、标准规范、水土保持方案及审批决定、水土保持后续设计等，组织水土保持设施验收工作，形成水土保持设施验收鉴定书，明确水土保持设施验收合格的结论。</w:t>
      </w:r>
    </w:p>
    <w:p>
      <w:pPr>
        <w:pStyle w:val="56"/>
        <w:ind w:firstLine="480"/>
        <w:rPr>
          <w:color w:val="auto"/>
          <w:highlight w:val="none"/>
        </w:rPr>
      </w:pPr>
      <w:r>
        <w:rPr>
          <w:rFonts w:hint="default" w:ascii="Times New Roman" w:hAnsi="Times New Roman" w:eastAsia="仿宋_GB2312" w:cs="Times New Roman"/>
          <w:color w:val="auto"/>
          <w:highlight w:val="none"/>
        </w:rPr>
        <w:t>建设单位应当在水土保持设施验收合格后，通过其官方网站或者其他便于公众熟知的方式向社会公开水土保持设施验收鉴定书。对于公众反映的主要问题和意见，建设单位应当及时给予处理或者回应。建设单位应在向社会公开水土保持设施验收材料后、项目投产使用前，向水土保持方案审批机关报备水土保持设施验收材料，报备材料包括水土保持设施验收鉴定书。</w:t>
      </w:r>
    </w:p>
    <w:p>
      <w:pPr>
        <w:pStyle w:val="56"/>
        <w:ind w:firstLine="480"/>
        <w:rPr>
          <w:color w:val="auto"/>
          <w:highlight w:val="none"/>
        </w:rPr>
      </w:pPr>
    </w:p>
    <w:p>
      <w:pPr>
        <w:pStyle w:val="56"/>
        <w:ind w:firstLine="480"/>
        <w:rPr>
          <w:color w:val="auto"/>
          <w:highlight w:val="none"/>
        </w:rPr>
      </w:pPr>
    </w:p>
    <w:sectPr>
      <w:headerReference r:id="rId25"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roman"/>
    <w:pitch w:val="default"/>
    <w:sig w:usb0="FFFFFFFF" w:usb1="E9FFFFFF" w:usb2="0000003F" w:usb3="00000000" w:csb0="603F01FF" w:csb1="FFFF0000"/>
  </w:font>
  <w:font w:name="华文楷体">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TimesNewRomanPSMT">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647"/>
      </w:tabs>
      <w:ind w:firstLine="420"/>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jc w:val="center"/>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rPr>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spacing w:line="480" w:lineRule="auto"/>
      <w:ind w:firstLine="0" w:firstLineChars="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4" w:space="1"/>
      </w:pBdr>
      <w:spacing w:line="480" w:lineRule="auto"/>
      <w:ind w:firstLine="0" w:firstLineChars="0"/>
      <w:rPr>
        <w:rFonts w:ascii="仿宋_GB2312" w:eastAsia="仿宋_GB2312"/>
      </w:rPr>
    </w:pPr>
    <w:r>
      <w:rPr>
        <w:rFonts w:hint="eastAsia" w:ascii="仿宋_GB2312" w:eastAsia="仿宋_GB2312"/>
      </w:rPr>
      <w:t>新疆万汇工程项目管理有限公司</w:t>
    </w:r>
    <w:r>
      <w:rPr>
        <w:rFonts w:ascii="仿宋_GB2312" w:eastAsia="仿宋_GB2312"/>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pacing w:line="240" w:lineRule="auto"/>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75</w:t>
                          </w:r>
                          <w:r>
                            <w:rPr>
                              <w:rFonts w:hint="eastAsia"/>
                              <w:sz w:val="18"/>
                            </w:rPr>
                            <w:fldChar w:fldCharType="end"/>
                          </w:r>
                        </w:p>
                      </w:txbxContent>
                    </wps:txbx>
                    <wps:bodyPr wrap="none" lIns="0" tIns="0" rIns="0" bIns="0" upright="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Ytvt8oBAACbAwAADgAAAGRycy9lMm9Eb2MueG1srVNLbtswEN0XyB0I&#10;7mPKXhSqYDlIYKQIELQF0h6ApiiLAH/g0JZ8gfYGXXXTfc/lc3RISU6bbrLohhrODN+8NzNa3wxG&#10;k6MMoJyt6XJRUCKtcI2y+5p++Xx/XVICkduGa2dlTU8S6M3m6s2695Vcuc7pRgaCIBaq3te0i9FX&#10;jIHopOGwcF5aDLYuGB7xGvasCbxHdKPZqijest6FxgcnJAB6t2OQTojhNYCubZWQWycORto4ogap&#10;eURJ0CkPdJPZtq0U8WPbgoxE1xSVxnxiEbR36WSbNa/2gftOiYkCfw2FF5oMVxaLXqC2PHJyCOof&#10;KKNEcODauBDOsFFI7giqWBYvevPUcS+zFmw1+EvT4f/Big/HT4GoBjfhHSWWG5z4+fu3849f559f&#10;ybJMDeo9VJj35DEzDnduwOTZD+hMuoc2mPRFRQTj2N7Tpb1yiESkR+WqLAsMCYzNF8Rnz899gPhe&#10;OkOSUdOA88tt5cdHiGPqnJKqWXevtM4z1PYvB2ImD0vcR47JisNumATtXHNCPT2OvqYWN50S/WCx&#10;s2lLZiPMxm42Dj6ofYfUlpkX+NtDRBKZW6owwk6FcWZZ3bRfaSn+vOes539q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Ytvt8oBAACbAwAADgAAAAAAAAABACAAAAAeAQAAZHJzL2Uyb0Rv&#10;Yy54bWxQSwUGAAAAAAYABgBZAQAAWgUAAAAA&#10;">
              <v:fill on="f" focussize="0,0"/>
              <v:stroke on="f"/>
              <v:imagedata o:title=""/>
              <o:lock v:ext="edit" aspectratio="f"/>
              <v:textbox inset="0mm,0mm,0mm,0mm" style="mso-fit-shape-to-text:t;">
                <w:txbxContent>
                  <w:p>
                    <w:pPr>
                      <w:spacing w:line="240" w:lineRule="auto"/>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75</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rPr>
      <w:t>3</w:t>
    </w:r>
    <w:r>
      <w:rPr>
        <w:rFonts w:hint="eastAsia" w:ascii="仿宋_GB2312" w:eastAsia="仿宋_GB2312"/>
      </w:rPr>
      <w:t xml:space="preserve"> 项目水土保持评价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rPr>
      <w:t xml:space="preserve">4 </w:t>
    </w:r>
    <w:r>
      <w:rPr>
        <w:rFonts w:hint="eastAsia" w:ascii="仿宋_GB2312" w:eastAsia="仿宋_GB2312"/>
      </w:rPr>
      <w:t>水土流失分析与预测</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rPr>
      <w:t xml:space="preserve">5 </w:t>
    </w:r>
    <w:r>
      <w:rPr>
        <w:rFonts w:hint="eastAsia" w:ascii="仿宋_GB2312" w:eastAsia="仿宋_GB2312"/>
      </w:rPr>
      <w:t>水土保持措施</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rPr>
      <w:t>6</w:t>
    </w:r>
    <w:r>
      <w:t xml:space="preserve"> </w:t>
    </w:r>
    <w:r>
      <w:rPr>
        <w:rFonts w:hint="eastAsia" w:ascii="仿宋_GB2312" w:eastAsia="仿宋_GB2312"/>
      </w:rPr>
      <w:t>水土保持监测</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eastAsia="仿宋_GB2312"/>
      </w:rPr>
    </w:pPr>
    <w:r>
      <w:rPr>
        <w:rFonts w:hint="eastAsia" w:ascii="仿宋_GB2312" w:eastAsia="仿宋_GB2312"/>
      </w:rPr>
      <w:t>7</w:t>
    </w:r>
    <w:r>
      <w:rPr>
        <w:rFonts w:ascii="仿宋_GB2312" w:eastAsia="仿宋_GB2312"/>
      </w:rPr>
      <w:t xml:space="preserve"> </w:t>
    </w:r>
    <w:r>
      <w:rPr>
        <w:rFonts w:hint="eastAsia" w:ascii="仿宋_GB2312" w:eastAsia="仿宋_GB2312"/>
      </w:rPr>
      <w:t>水土保持投资估算及效益分析</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eastAsia="仿宋_GB2312"/>
      </w:rPr>
    </w:pPr>
    <w:r>
      <w:rPr>
        <w:rFonts w:hint="eastAsia" w:ascii="仿宋_GB2312" w:eastAsia="仿宋_GB2312"/>
      </w:rPr>
      <w:t>8 水土保持管理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1"/>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ascii="仿宋_GB2312" w:eastAsia="仿宋_GB2312"/>
      </w:rPr>
      <w:t>1 综合说明</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ascii="仿宋_GB2312" w:eastAsia="仿宋_GB2312"/>
      </w:rPr>
      <w:t>2 项目概况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CAF1C34"/>
    <w:multiLevelType w:val="singleLevel"/>
    <w:tmpl w:val="FCAF1C34"/>
    <w:lvl w:ilvl="0" w:tentative="0">
      <w:start w:val="1"/>
      <w:numFmt w:val="decimal"/>
      <w:suff w:val="nothing"/>
      <w:lvlText w:val="（%1）"/>
      <w:lvlJc w:val="left"/>
    </w:lvl>
  </w:abstractNum>
  <w:abstractNum w:abstractNumId="1">
    <w:nsid w:val="14122750"/>
    <w:multiLevelType w:val="multilevel"/>
    <w:tmpl w:val="14122750"/>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4EA0E3B"/>
    <w:multiLevelType w:val="multilevel"/>
    <w:tmpl w:val="14EA0E3B"/>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36F7706D"/>
    <w:multiLevelType w:val="multilevel"/>
    <w:tmpl w:val="36F7706D"/>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FA54F6C"/>
    <w:multiLevelType w:val="singleLevel"/>
    <w:tmpl w:val="3FA54F6C"/>
    <w:lvl w:ilvl="0" w:tentative="0">
      <w:start w:val="1"/>
      <w:numFmt w:val="decimal"/>
      <w:suff w:val="nothing"/>
      <w:lvlText w:val="（%1）"/>
      <w:lvlJc w:val="left"/>
    </w:lvl>
  </w:abstractNum>
  <w:abstractNum w:abstractNumId="5">
    <w:nsid w:val="4DE45857"/>
    <w:multiLevelType w:val="multilevel"/>
    <w:tmpl w:val="4DE45857"/>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638B1C81"/>
    <w:multiLevelType w:val="multilevel"/>
    <w:tmpl w:val="638B1C81"/>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6C3039C5"/>
    <w:multiLevelType w:val="multilevel"/>
    <w:tmpl w:val="6C3039C5"/>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75686115"/>
    <w:multiLevelType w:val="multilevel"/>
    <w:tmpl w:val="75686115"/>
    <w:lvl w:ilvl="0" w:tentative="0">
      <w:start w:val="1"/>
      <w:numFmt w:val="decimal"/>
      <w:suff w:val="space"/>
      <w:lvlText w:val="（%1）"/>
      <w:lvlJc w:val="left"/>
      <w:pPr>
        <w:ind w:left="0" w:firstLine="176"/>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7B92645D"/>
    <w:multiLevelType w:val="multilevel"/>
    <w:tmpl w:val="7B92645D"/>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5"/>
  </w:num>
  <w:num w:numId="3">
    <w:abstractNumId w:val="3"/>
  </w:num>
  <w:num w:numId="4">
    <w:abstractNumId w:val="6"/>
  </w:num>
  <w:num w:numId="5">
    <w:abstractNumId w:val="7"/>
  </w:num>
  <w:num w:numId="6">
    <w:abstractNumId w:val="0"/>
  </w:num>
  <w:num w:numId="7">
    <w:abstractNumId w:val="4"/>
  </w:num>
  <w:num w:numId="8">
    <w:abstractNumId w:val="1"/>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CEA"/>
    <w:rsid w:val="0000018F"/>
    <w:rsid w:val="00001940"/>
    <w:rsid w:val="00002A41"/>
    <w:rsid w:val="0000337F"/>
    <w:rsid w:val="000034EB"/>
    <w:rsid w:val="00003F49"/>
    <w:rsid w:val="00005208"/>
    <w:rsid w:val="0000764C"/>
    <w:rsid w:val="00010282"/>
    <w:rsid w:val="00010734"/>
    <w:rsid w:val="00010FF0"/>
    <w:rsid w:val="0001167E"/>
    <w:rsid w:val="00011FAC"/>
    <w:rsid w:val="00013384"/>
    <w:rsid w:val="0001431D"/>
    <w:rsid w:val="00015668"/>
    <w:rsid w:val="0001580E"/>
    <w:rsid w:val="00015DB8"/>
    <w:rsid w:val="00015F91"/>
    <w:rsid w:val="00016EED"/>
    <w:rsid w:val="00017DA7"/>
    <w:rsid w:val="00017EE8"/>
    <w:rsid w:val="000218A5"/>
    <w:rsid w:val="00023426"/>
    <w:rsid w:val="0002356C"/>
    <w:rsid w:val="00023979"/>
    <w:rsid w:val="00023EE7"/>
    <w:rsid w:val="0002436F"/>
    <w:rsid w:val="000255A8"/>
    <w:rsid w:val="00025EB6"/>
    <w:rsid w:val="00026496"/>
    <w:rsid w:val="00027777"/>
    <w:rsid w:val="000301A6"/>
    <w:rsid w:val="000302F5"/>
    <w:rsid w:val="00031B95"/>
    <w:rsid w:val="00031EC9"/>
    <w:rsid w:val="00033A87"/>
    <w:rsid w:val="0003596C"/>
    <w:rsid w:val="00035B4A"/>
    <w:rsid w:val="000366BD"/>
    <w:rsid w:val="00036E28"/>
    <w:rsid w:val="000371BF"/>
    <w:rsid w:val="0004072D"/>
    <w:rsid w:val="00040A28"/>
    <w:rsid w:val="00041358"/>
    <w:rsid w:val="0004182F"/>
    <w:rsid w:val="000418C0"/>
    <w:rsid w:val="00041A91"/>
    <w:rsid w:val="00042421"/>
    <w:rsid w:val="000434D9"/>
    <w:rsid w:val="0004422F"/>
    <w:rsid w:val="000457C1"/>
    <w:rsid w:val="00045C2C"/>
    <w:rsid w:val="00046F26"/>
    <w:rsid w:val="00047804"/>
    <w:rsid w:val="00050CEC"/>
    <w:rsid w:val="00052993"/>
    <w:rsid w:val="00053746"/>
    <w:rsid w:val="00053775"/>
    <w:rsid w:val="000544FE"/>
    <w:rsid w:val="0005533E"/>
    <w:rsid w:val="00055AEB"/>
    <w:rsid w:val="00056D57"/>
    <w:rsid w:val="000573C7"/>
    <w:rsid w:val="00057981"/>
    <w:rsid w:val="00057C95"/>
    <w:rsid w:val="00060635"/>
    <w:rsid w:val="00060B9B"/>
    <w:rsid w:val="00060F63"/>
    <w:rsid w:val="00060F88"/>
    <w:rsid w:val="0006149C"/>
    <w:rsid w:val="00063734"/>
    <w:rsid w:val="00063A61"/>
    <w:rsid w:val="00063FEB"/>
    <w:rsid w:val="00064000"/>
    <w:rsid w:val="00064091"/>
    <w:rsid w:val="00064567"/>
    <w:rsid w:val="00065A11"/>
    <w:rsid w:val="00065E20"/>
    <w:rsid w:val="00066AC6"/>
    <w:rsid w:val="00070A2F"/>
    <w:rsid w:val="00071A89"/>
    <w:rsid w:val="00071CD1"/>
    <w:rsid w:val="0007267F"/>
    <w:rsid w:val="00073501"/>
    <w:rsid w:val="00075B01"/>
    <w:rsid w:val="00075D58"/>
    <w:rsid w:val="00075EA7"/>
    <w:rsid w:val="00076BF6"/>
    <w:rsid w:val="00077EE8"/>
    <w:rsid w:val="00077FE3"/>
    <w:rsid w:val="000806F0"/>
    <w:rsid w:val="00082B9D"/>
    <w:rsid w:val="00084057"/>
    <w:rsid w:val="0008420C"/>
    <w:rsid w:val="00084967"/>
    <w:rsid w:val="00084F07"/>
    <w:rsid w:val="000858DE"/>
    <w:rsid w:val="000862A8"/>
    <w:rsid w:val="00086BBD"/>
    <w:rsid w:val="0008782E"/>
    <w:rsid w:val="0009178D"/>
    <w:rsid w:val="00091EA2"/>
    <w:rsid w:val="00092CBC"/>
    <w:rsid w:val="0009414A"/>
    <w:rsid w:val="00097800"/>
    <w:rsid w:val="00097BA4"/>
    <w:rsid w:val="000A14F1"/>
    <w:rsid w:val="000A1F82"/>
    <w:rsid w:val="000A33AD"/>
    <w:rsid w:val="000A53CC"/>
    <w:rsid w:val="000A58A2"/>
    <w:rsid w:val="000A6234"/>
    <w:rsid w:val="000A6AF8"/>
    <w:rsid w:val="000A7626"/>
    <w:rsid w:val="000A7670"/>
    <w:rsid w:val="000A7758"/>
    <w:rsid w:val="000B0628"/>
    <w:rsid w:val="000B0D70"/>
    <w:rsid w:val="000B13F5"/>
    <w:rsid w:val="000B49E1"/>
    <w:rsid w:val="000B4A63"/>
    <w:rsid w:val="000B5631"/>
    <w:rsid w:val="000B615C"/>
    <w:rsid w:val="000B63D9"/>
    <w:rsid w:val="000B672B"/>
    <w:rsid w:val="000B6BC8"/>
    <w:rsid w:val="000B6C64"/>
    <w:rsid w:val="000B7FED"/>
    <w:rsid w:val="000C01CF"/>
    <w:rsid w:val="000C1832"/>
    <w:rsid w:val="000C235F"/>
    <w:rsid w:val="000C28C7"/>
    <w:rsid w:val="000C3679"/>
    <w:rsid w:val="000C3AFB"/>
    <w:rsid w:val="000C3DF3"/>
    <w:rsid w:val="000C4271"/>
    <w:rsid w:val="000C4CC4"/>
    <w:rsid w:val="000C588D"/>
    <w:rsid w:val="000C5C43"/>
    <w:rsid w:val="000C6B80"/>
    <w:rsid w:val="000D01C9"/>
    <w:rsid w:val="000D1B2F"/>
    <w:rsid w:val="000D208F"/>
    <w:rsid w:val="000D2161"/>
    <w:rsid w:val="000D2E5F"/>
    <w:rsid w:val="000D3326"/>
    <w:rsid w:val="000D3CB2"/>
    <w:rsid w:val="000D45E1"/>
    <w:rsid w:val="000D4979"/>
    <w:rsid w:val="000D5391"/>
    <w:rsid w:val="000D64FD"/>
    <w:rsid w:val="000D6A91"/>
    <w:rsid w:val="000D75B2"/>
    <w:rsid w:val="000E0530"/>
    <w:rsid w:val="000E0ECD"/>
    <w:rsid w:val="000E25A6"/>
    <w:rsid w:val="000E4024"/>
    <w:rsid w:val="000E5E4D"/>
    <w:rsid w:val="000F0922"/>
    <w:rsid w:val="000F181C"/>
    <w:rsid w:val="000F1A61"/>
    <w:rsid w:val="000F1D19"/>
    <w:rsid w:val="000F26E5"/>
    <w:rsid w:val="000F2C20"/>
    <w:rsid w:val="000F2D8D"/>
    <w:rsid w:val="000F41B1"/>
    <w:rsid w:val="000F59D4"/>
    <w:rsid w:val="000F6A2E"/>
    <w:rsid w:val="000F6E92"/>
    <w:rsid w:val="000F790F"/>
    <w:rsid w:val="00100800"/>
    <w:rsid w:val="001029F8"/>
    <w:rsid w:val="00102DC8"/>
    <w:rsid w:val="00103CD3"/>
    <w:rsid w:val="00104067"/>
    <w:rsid w:val="0010458F"/>
    <w:rsid w:val="00105076"/>
    <w:rsid w:val="00105EDC"/>
    <w:rsid w:val="001075FB"/>
    <w:rsid w:val="0011001A"/>
    <w:rsid w:val="001111A9"/>
    <w:rsid w:val="001120BB"/>
    <w:rsid w:val="001125D2"/>
    <w:rsid w:val="00112C33"/>
    <w:rsid w:val="001136F2"/>
    <w:rsid w:val="001139D2"/>
    <w:rsid w:val="001147F3"/>
    <w:rsid w:val="001148CF"/>
    <w:rsid w:val="001163FC"/>
    <w:rsid w:val="001165A4"/>
    <w:rsid w:val="001172C8"/>
    <w:rsid w:val="00120359"/>
    <w:rsid w:val="00120F53"/>
    <w:rsid w:val="00121284"/>
    <w:rsid w:val="00121324"/>
    <w:rsid w:val="00121FDC"/>
    <w:rsid w:val="0012220D"/>
    <w:rsid w:val="00124207"/>
    <w:rsid w:val="00124F89"/>
    <w:rsid w:val="001259D3"/>
    <w:rsid w:val="00125B92"/>
    <w:rsid w:val="00125DF0"/>
    <w:rsid w:val="00126F45"/>
    <w:rsid w:val="001301C6"/>
    <w:rsid w:val="00130E1B"/>
    <w:rsid w:val="001318CC"/>
    <w:rsid w:val="00132396"/>
    <w:rsid w:val="001323DB"/>
    <w:rsid w:val="00133CFE"/>
    <w:rsid w:val="00134178"/>
    <w:rsid w:val="001346CC"/>
    <w:rsid w:val="00134E24"/>
    <w:rsid w:val="001359E8"/>
    <w:rsid w:val="00136B40"/>
    <w:rsid w:val="00136D12"/>
    <w:rsid w:val="0013720C"/>
    <w:rsid w:val="0014158E"/>
    <w:rsid w:val="00141E6A"/>
    <w:rsid w:val="00141E9A"/>
    <w:rsid w:val="00142EBB"/>
    <w:rsid w:val="001433AB"/>
    <w:rsid w:val="00143B30"/>
    <w:rsid w:val="001442D4"/>
    <w:rsid w:val="00144C37"/>
    <w:rsid w:val="00144E53"/>
    <w:rsid w:val="00144F66"/>
    <w:rsid w:val="001454B8"/>
    <w:rsid w:val="00147748"/>
    <w:rsid w:val="00152714"/>
    <w:rsid w:val="00152B1B"/>
    <w:rsid w:val="0015347E"/>
    <w:rsid w:val="00153CF8"/>
    <w:rsid w:val="0015437C"/>
    <w:rsid w:val="0015481E"/>
    <w:rsid w:val="00154BE5"/>
    <w:rsid w:val="0015511B"/>
    <w:rsid w:val="00155880"/>
    <w:rsid w:val="00155973"/>
    <w:rsid w:val="00157CD7"/>
    <w:rsid w:val="00160D23"/>
    <w:rsid w:val="00160DEB"/>
    <w:rsid w:val="00161E43"/>
    <w:rsid w:val="001630D8"/>
    <w:rsid w:val="0016394F"/>
    <w:rsid w:val="001642EB"/>
    <w:rsid w:val="0016437E"/>
    <w:rsid w:val="001643F4"/>
    <w:rsid w:val="00164FBB"/>
    <w:rsid w:val="001667AD"/>
    <w:rsid w:val="00166FE2"/>
    <w:rsid w:val="00170985"/>
    <w:rsid w:val="0017117C"/>
    <w:rsid w:val="00171CFD"/>
    <w:rsid w:val="00171DCB"/>
    <w:rsid w:val="00171FC7"/>
    <w:rsid w:val="00172BFA"/>
    <w:rsid w:val="001739C0"/>
    <w:rsid w:val="001751D9"/>
    <w:rsid w:val="00175A2D"/>
    <w:rsid w:val="00177CB3"/>
    <w:rsid w:val="00180849"/>
    <w:rsid w:val="001816CF"/>
    <w:rsid w:val="00182AA9"/>
    <w:rsid w:val="00183C9A"/>
    <w:rsid w:val="0018482B"/>
    <w:rsid w:val="00185252"/>
    <w:rsid w:val="00185B00"/>
    <w:rsid w:val="00185C91"/>
    <w:rsid w:val="00187452"/>
    <w:rsid w:val="00187675"/>
    <w:rsid w:val="0019092A"/>
    <w:rsid w:val="00190B6E"/>
    <w:rsid w:val="00190E44"/>
    <w:rsid w:val="0019203F"/>
    <w:rsid w:val="0019532A"/>
    <w:rsid w:val="0019611E"/>
    <w:rsid w:val="001A04A5"/>
    <w:rsid w:val="001A0ACF"/>
    <w:rsid w:val="001A0C79"/>
    <w:rsid w:val="001A4569"/>
    <w:rsid w:val="001A5059"/>
    <w:rsid w:val="001A536C"/>
    <w:rsid w:val="001A56D7"/>
    <w:rsid w:val="001A787F"/>
    <w:rsid w:val="001B096F"/>
    <w:rsid w:val="001B0AB0"/>
    <w:rsid w:val="001B0AC5"/>
    <w:rsid w:val="001B0EC7"/>
    <w:rsid w:val="001B1198"/>
    <w:rsid w:val="001B1830"/>
    <w:rsid w:val="001B272D"/>
    <w:rsid w:val="001B3373"/>
    <w:rsid w:val="001B42F6"/>
    <w:rsid w:val="001B4AB6"/>
    <w:rsid w:val="001B4B33"/>
    <w:rsid w:val="001B587B"/>
    <w:rsid w:val="001B58E5"/>
    <w:rsid w:val="001C03E4"/>
    <w:rsid w:val="001C1845"/>
    <w:rsid w:val="001C1C22"/>
    <w:rsid w:val="001C23EB"/>
    <w:rsid w:val="001C290C"/>
    <w:rsid w:val="001C2B64"/>
    <w:rsid w:val="001C327A"/>
    <w:rsid w:val="001C34AD"/>
    <w:rsid w:val="001C3C81"/>
    <w:rsid w:val="001C47BD"/>
    <w:rsid w:val="001C4873"/>
    <w:rsid w:val="001C5B92"/>
    <w:rsid w:val="001C7021"/>
    <w:rsid w:val="001C73B2"/>
    <w:rsid w:val="001C7E3F"/>
    <w:rsid w:val="001D07FC"/>
    <w:rsid w:val="001D1209"/>
    <w:rsid w:val="001D1D71"/>
    <w:rsid w:val="001D20F8"/>
    <w:rsid w:val="001D269C"/>
    <w:rsid w:val="001D2A0E"/>
    <w:rsid w:val="001D3002"/>
    <w:rsid w:val="001D406B"/>
    <w:rsid w:val="001D4305"/>
    <w:rsid w:val="001D451B"/>
    <w:rsid w:val="001D57B2"/>
    <w:rsid w:val="001D585C"/>
    <w:rsid w:val="001D5A75"/>
    <w:rsid w:val="001D7FE5"/>
    <w:rsid w:val="001E0B59"/>
    <w:rsid w:val="001E0E1F"/>
    <w:rsid w:val="001E15DB"/>
    <w:rsid w:val="001E15EA"/>
    <w:rsid w:val="001E38A6"/>
    <w:rsid w:val="001E3E81"/>
    <w:rsid w:val="001E452C"/>
    <w:rsid w:val="001E4C72"/>
    <w:rsid w:val="001E5CD6"/>
    <w:rsid w:val="001E64DC"/>
    <w:rsid w:val="001E7043"/>
    <w:rsid w:val="001E712F"/>
    <w:rsid w:val="001E7F90"/>
    <w:rsid w:val="001F0154"/>
    <w:rsid w:val="001F08A9"/>
    <w:rsid w:val="001F1298"/>
    <w:rsid w:val="001F17C2"/>
    <w:rsid w:val="001F1CCF"/>
    <w:rsid w:val="001F28E2"/>
    <w:rsid w:val="001F3CBD"/>
    <w:rsid w:val="001F45BB"/>
    <w:rsid w:val="001F5E52"/>
    <w:rsid w:val="001F73BF"/>
    <w:rsid w:val="001F77CA"/>
    <w:rsid w:val="001F79A2"/>
    <w:rsid w:val="0020129A"/>
    <w:rsid w:val="00201C52"/>
    <w:rsid w:val="00201D0B"/>
    <w:rsid w:val="00202215"/>
    <w:rsid w:val="00202F1E"/>
    <w:rsid w:val="002030F8"/>
    <w:rsid w:val="0020389E"/>
    <w:rsid w:val="002050D7"/>
    <w:rsid w:val="0020533F"/>
    <w:rsid w:val="00205B1E"/>
    <w:rsid w:val="00206139"/>
    <w:rsid w:val="00207FDE"/>
    <w:rsid w:val="002109E8"/>
    <w:rsid w:val="00211184"/>
    <w:rsid w:val="002134C6"/>
    <w:rsid w:val="00213D16"/>
    <w:rsid w:val="00214AB4"/>
    <w:rsid w:val="00214E09"/>
    <w:rsid w:val="00215883"/>
    <w:rsid w:val="00216832"/>
    <w:rsid w:val="00222228"/>
    <w:rsid w:val="00222D0F"/>
    <w:rsid w:val="00222DE3"/>
    <w:rsid w:val="00222EAC"/>
    <w:rsid w:val="00222F31"/>
    <w:rsid w:val="0022382B"/>
    <w:rsid w:val="00223A2B"/>
    <w:rsid w:val="00224650"/>
    <w:rsid w:val="00224AC9"/>
    <w:rsid w:val="00225B2A"/>
    <w:rsid w:val="00226863"/>
    <w:rsid w:val="0022774B"/>
    <w:rsid w:val="00231988"/>
    <w:rsid w:val="0023213A"/>
    <w:rsid w:val="00232206"/>
    <w:rsid w:val="00232E54"/>
    <w:rsid w:val="00232FDB"/>
    <w:rsid w:val="002331FE"/>
    <w:rsid w:val="00233BA6"/>
    <w:rsid w:val="00233F00"/>
    <w:rsid w:val="00234944"/>
    <w:rsid w:val="002349D9"/>
    <w:rsid w:val="00234EB3"/>
    <w:rsid w:val="00237200"/>
    <w:rsid w:val="002376F2"/>
    <w:rsid w:val="00237CCE"/>
    <w:rsid w:val="00237ED4"/>
    <w:rsid w:val="0024046D"/>
    <w:rsid w:val="002406EF"/>
    <w:rsid w:val="00240982"/>
    <w:rsid w:val="00240A45"/>
    <w:rsid w:val="00241BB2"/>
    <w:rsid w:val="00241F74"/>
    <w:rsid w:val="00242AEF"/>
    <w:rsid w:val="00244E39"/>
    <w:rsid w:val="00245CCC"/>
    <w:rsid w:val="00246050"/>
    <w:rsid w:val="0024613B"/>
    <w:rsid w:val="002467A8"/>
    <w:rsid w:val="0025014A"/>
    <w:rsid w:val="002503EF"/>
    <w:rsid w:val="002505A7"/>
    <w:rsid w:val="00252524"/>
    <w:rsid w:val="0025275E"/>
    <w:rsid w:val="002527F0"/>
    <w:rsid w:val="00252837"/>
    <w:rsid w:val="0025385F"/>
    <w:rsid w:val="00253BD2"/>
    <w:rsid w:val="00254CF3"/>
    <w:rsid w:val="0025570F"/>
    <w:rsid w:val="00255FDC"/>
    <w:rsid w:val="002569BB"/>
    <w:rsid w:val="002602A5"/>
    <w:rsid w:val="002604CA"/>
    <w:rsid w:val="00260964"/>
    <w:rsid w:val="0026198F"/>
    <w:rsid w:val="00263B30"/>
    <w:rsid w:val="00265500"/>
    <w:rsid w:val="00266191"/>
    <w:rsid w:val="002666BD"/>
    <w:rsid w:val="002669B8"/>
    <w:rsid w:val="00266F90"/>
    <w:rsid w:val="0026776C"/>
    <w:rsid w:val="00270077"/>
    <w:rsid w:val="002704F3"/>
    <w:rsid w:val="00270C22"/>
    <w:rsid w:val="002712CE"/>
    <w:rsid w:val="00273752"/>
    <w:rsid w:val="002767C8"/>
    <w:rsid w:val="00277288"/>
    <w:rsid w:val="0028067C"/>
    <w:rsid w:val="00280B11"/>
    <w:rsid w:val="00280C0B"/>
    <w:rsid w:val="00280D06"/>
    <w:rsid w:val="00280DB6"/>
    <w:rsid w:val="00281734"/>
    <w:rsid w:val="00281AF3"/>
    <w:rsid w:val="002824AE"/>
    <w:rsid w:val="002825E6"/>
    <w:rsid w:val="00282B5F"/>
    <w:rsid w:val="00283986"/>
    <w:rsid w:val="00284C7D"/>
    <w:rsid w:val="00286406"/>
    <w:rsid w:val="002879A5"/>
    <w:rsid w:val="00287EAA"/>
    <w:rsid w:val="0029091A"/>
    <w:rsid w:val="00290A4A"/>
    <w:rsid w:val="00292772"/>
    <w:rsid w:val="00293BD8"/>
    <w:rsid w:val="002953E6"/>
    <w:rsid w:val="00295D08"/>
    <w:rsid w:val="0029679E"/>
    <w:rsid w:val="00296BEF"/>
    <w:rsid w:val="00297180"/>
    <w:rsid w:val="002A1CCB"/>
    <w:rsid w:val="002A1D2B"/>
    <w:rsid w:val="002A3482"/>
    <w:rsid w:val="002A3D60"/>
    <w:rsid w:val="002A4A6E"/>
    <w:rsid w:val="002A4DB5"/>
    <w:rsid w:val="002A521D"/>
    <w:rsid w:val="002A5C2E"/>
    <w:rsid w:val="002A6888"/>
    <w:rsid w:val="002B0C9E"/>
    <w:rsid w:val="002B25FB"/>
    <w:rsid w:val="002B2C32"/>
    <w:rsid w:val="002B3051"/>
    <w:rsid w:val="002B378A"/>
    <w:rsid w:val="002B5A87"/>
    <w:rsid w:val="002B6500"/>
    <w:rsid w:val="002B668C"/>
    <w:rsid w:val="002B7D15"/>
    <w:rsid w:val="002C0324"/>
    <w:rsid w:val="002C0A56"/>
    <w:rsid w:val="002C12F6"/>
    <w:rsid w:val="002C243E"/>
    <w:rsid w:val="002C3483"/>
    <w:rsid w:val="002C357F"/>
    <w:rsid w:val="002C4138"/>
    <w:rsid w:val="002C5E48"/>
    <w:rsid w:val="002C7EFA"/>
    <w:rsid w:val="002C7FCA"/>
    <w:rsid w:val="002D0A57"/>
    <w:rsid w:val="002D21AA"/>
    <w:rsid w:val="002D2526"/>
    <w:rsid w:val="002D25E1"/>
    <w:rsid w:val="002D3782"/>
    <w:rsid w:val="002D3D62"/>
    <w:rsid w:val="002D3EFD"/>
    <w:rsid w:val="002D4FC7"/>
    <w:rsid w:val="002D53F2"/>
    <w:rsid w:val="002D688D"/>
    <w:rsid w:val="002D71B2"/>
    <w:rsid w:val="002E0EFC"/>
    <w:rsid w:val="002E1984"/>
    <w:rsid w:val="002E1D23"/>
    <w:rsid w:val="002E2151"/>
    <w:rsid w:val="002E3436"/>
    <w:rsid w:val="002E3BA9"/>
    <w:rsid w:val="002E4475"/>
    <w:rsid w:val="002E571D"/>
    <w:rsid w:val="002E5FC4"/>
    <w:rsid w:val="002E6942"/>
    <w:rsid w:val="002E6DF4"/>
    <w:rsid w:val="002F0241"/>
    <w:rsid w:val="002F03DF"/>
    <w:rsid w:val="002F074A"/>
    <w:rsid w:val="002F0F13"/>
    <w:rsid w:val="002F1BF4"/>
    <w:rsid w:val="002F1E7E"/>
    <w:rsid w:val="002F2442"/>
    <w:rsid w:val="002F42B2"/>
    <w:rsid w:val="002F4D3E"/>
    <w:rsid w:val="002F4F96"/>
    <w:rsid w:val="002F5120"/>
    <w:rsid w:val="002F58F5"/>
    <w:rsid w:val="002F5940"/>
    <w:rsid w:val="002F5CDE"/>
    <w:rsid w:val="002F6653"/>
    <w:rsid w:val="002F6741"/>
    <w:rsid w:val="002F6819"/>
    <w:rsid w:val="002F69D2"/>
    <w:rsid w:val="002F6D7E"/>
    <w:rsid w:val="002F74EA"/>
    <w:rsid w:val="002F78C8"/>
    <w:rsid w:val="00300D5D"/>
    <w:rsid w:val="00301C2C"/>
    <w:rsid w:val="00302379"/>
    <w:rsid w:val="00302A63"/>
    <w:rsid w:val="00302CA9"/>
    <w:rsid w:val="00302D5B"/>
    <w:rsid w:val="00302D7E"/>
    <w:rsid w:val="003039E9"/>
    <w:rsid w:val="00303EEB"/>
    <w:rsid w:val="0030619E"/>
    <w:rsid w:val="00306426"/>
    <w:rsid w:val="0030676D"/>
    <w:rsid w:val="0031060A"/>
    <w:rsid w:val="00310ADA"/>
    <w:rsid w:val="00310FB8"/>
    <w:rsid w:val="00311643"/>
    <w:rsid w:val="0031171B"/>
    <w:rsid w:val="00311F7A"/>
    <w:rsid w:val="003131AE"/>
    <w:rsid w:val="003134F4"/>
    <w:rsid w:val="003135CA"/>
    <w:rsid w:val="0031381E"/>
    <w:rsid w:val="0031382E"/>
    <w:rsid w:val="00313B75"/>
    <w:rsid w:val="00316783"/>
    <w:rsid w:val="00316974"/>
    <w:rsid w:val="003176B4"/>
    <w:rsid w:val="00317E41"/>
    <w:rsid w:val="0032023C"/>
    <w:rsid w:val="003220E9"/>
    <w:rsid w:val="0032407E"/>
    <w:rsid w:val="003242B4"/>
    <w:rsid w:val="00325543"/>
    <w:rsid w:val="003258BD"/>
    <w:rsid w:val="003262F7"/>
    <w:rsid w:val="00326954"/>
    <w:rsid w:val="0032749D"/>
    <w:rsid w:val="00327669"/>
    <w:rsid w:val="00327C2C"/>
    <w:rsid w:val="00332FE8"/>
    <w:rsid w:val="00333489"/>
    <w:rsid w:val="00333DC1"/>
    <w:rsid w:val="003349C5"/>
    <w:rsid w:val="00337311"/>
    <w:rsid w:val="003374B7"/>
    <w:rsid w:val="00341667"/>
    <w:rsid w:val="00341A0A"/>
    <w:rsid w:val="003421AE"/>
    <w:rsid w:val="00342B61"/>
    <w:rsid w:val="0034449E"/>
    <w:rsid w:val="00344509"/>
    <w:rsid w:val="00344E44"/>
    <w:rsid w:val="00344F07"/>
    <w:rsid w:val="0034565F"/>
    <w:rsid w:val="00345D03"/>
    <w:rsid w:val="003466AD"/>
    <w:rsid w:val="0034713B"/>
    <w:rsid w:val="00347449"/>
    <w:rsid w:val="00350E8F"/>
    <w:rsid w:val="00351B7F"/>
    <w:rsid w:val="00351B8C"/>
    <w:rsid w:val="003540C8"/>
    <w:rsid w:val="00354268"/>
    <w:rsid w:val="00355516"/>
    <w:rsid w:val="00355655"/>
    <w:rsid w:val="00355E99"/>
    <w:rsid w:val="00356546"/>
    <w:rsid w:val="003566D1"/>
    <w:rsid w:val="00356E16"/>
    <w:rsid w:val="00356F25"/>
    <w:rsid w:val="003571E3"/>
    <w:rsid w:val="00357C6D"/>
    <w:rsid w:val="003604F1"/>
    <w:rsid w:val="00360717"/>
    <w:rsid w:val="003625D5"/>
    <w:rsid w:val="0036268B"/>
    <w:rsid w:val="00363BF9"/>
    <w:rsid w:val="00365BD4"/>
    <w:rsid w:val="00365F7A"/>
    <w:rsid w:val="00365FDB"/>
    <w:rsid w:val="00367759"/>
    <w:rsid w:val="00367A93"/>
    <w:rsid w:val="00367C3C"/>
    <w:rsid w:val="00367E69"/>
    <w:rsid w:val="0037053B"/>
    <w:rsid w:val="003716B7"/>
    <w:rsid w:val="00371AB1"/>
    <w:rsid w:val="00372547"/>
    <w:rsid w:val="003730D8"/>
    <w:rsid w:val="003734FE"/>
    <w:rsid w:val="003739ED"/>
    <w:rsid w:val="00374EA2"/>
    <w:rsid w:val="00375910"/>
    <w:rsid w:val="00376439"/>
    <w:rsid w:val="00376613"/>
    <w:rsid w:val="003766B6"/>
    <w:rsid w:val="00376C3F"/>
    <w:rsid w:val="00377027"/>
    <w:rsid w:val="003771DE"/>
    <w:rsid w:val="00377C61"/>
    <w:rsid w:val="00380D68"/>
    <w:rsid w:val="003817F8"/>
    <w:rsid w:val="00381D1D"/>
    <w:rsid w:val="003822D1"/>
    <w:rsid w:val="00384264"/>
    <w:rsid w:val="00384BA5"/>
    <w:rsid w:val="00384C2E"/>
    <w:rsid w:val="0038585F"/>
    <w:rsid w:val="0038632D"/>
    <w:rsid w:val="003865DC"/>
    <w:rsid w:val="00386B9F"/>
    <w:rsid w:val="0038718A"/>
    <w:rsid w:val="00387542"/>
    <w:rsid w:val="003875A4"/>
    <w:rsid w:val="00387882"/>
    <w:rsid w:val="00387E7B"/>
    <w:rsid w:val="00387EA4"/>
    <w:rsid w:val="00387FAF"/>
    <w:rsid w:val="00387FB4"/>
    <w:rsid w:val="003911F7"/>
    <w:rsid w:val="0039174C"/>
    <w:rsid w:val="00393284"/>
    <w:rsid w:val="00393B12"/>
    <w:rsid w:val="00393E67"/>
    <w:rsid w:val="00394304"/>
    <w:rsid w:val="00395AF8"/>
    <w:rsid w:val="00396105"/>
    <w:rsid w:val="00396E56"/>
    <w:rsid w:val="00396EA2"/>
    <w:rsid w:val="003A03C7"/>
    <w:rsid w:val="003A0987"/>
    <w:rsid w:val="003A0F79"/>
    <w:rsid w:val="003A1329"/>
    <w:rsid w:val="003A1C76"/>
    <w:rsid w:val="003A2582"/>
    <w:rsid w:val="003A2695"/>
    <w:rsid w:val="003A2899"/>
    <w:rsid w:val="003A3505"/>
    <w:rsid w:val="003A6434"/>
    <w:rsid w:val="003A669D"/>
    <w:rsid w:val="003A75B3"/>
    <w:rsid w:val="003A784F"/>
    <w:rsid w:val="003A7877"/>
    <w:rsid w:val="003B0166"/>
    <w:rsid w:val="003B0634"/>
    <w:rsid w:val="003B1293"/>
    <w:rsid w:val="003B1ED2"/>
    <w:rsid w:val="003B2234"/>
    <w:rsid w:val="003B3642"/>
    <w:rsid w:val="003B37E0"/>
    <w:rsid w:val="003B39A8"/>
    <w:rsid w:val="003B42CA"/>
    <w:rsid w:val="003B519F"/>
    <w:rsid w:val="003B57E2"/>
    <w:rsid w:val="003B6CF8"/>
    <w:rsid w:val="003B6D49"/>
    <w:rsid w:val="003B7387"/>
    <w:rsid w:val="003B78D1"/>
    <w:rsid w:val="003C078D"/>
    <w:rsid w:val="003C0C4B"/>
    <w:rsid w:val="003C1329"/>
    <w:rsid w:val="003C2A20"/>
    <w:rsid w:val="003C305B"/>
    <w:rsid w:val="003C5A56"/>
    <w:rsid w:val="003C5ED6"/>
    <w:rsid w:val="003C6478"/>
    <w:rsid w:val="003C6C9D"/>
    <w:rsid w:val="003C767A"/>
    <w:rsid w:val="003D00C0"/>
    <w:rsid w:val="003D0CC8"/>
    <w:rsid w:val="003D1689"/>
    <w:rsid w:val="003D1DEB"/>
    <w:rsid w:val="003D27E4"/>
    <w:rsid w:val="003D34CC"/>
    <w:rsid w:val="003D45EB"/>
    <w:rsid w:val="003D55AF"/>
    <w:rsid w:val="003D7ED1"/>
    <w:rsid w:val="003E0441"/>
    <w:rsid w:val="003E04DD"/>
    <w:rsid w:val="003E2F61"/>
    <w:rsid w:val="003E319B"/>
    <w:rsid w:val="003E5BB0"/>
    <w:rsid w:val="003E6D48"/>
    <w:rsid w:val="003E79CA"/>
    <w:rsid w:val="003F0235"/>
    <w:rsid w:val="003F1923"/>
    <w:rsid w:val="003F1995"/>
    <w:rsid w:val="003F1F3B"/>
    <w:rsid w:val="003F36A7"/>
    <w:rsid w:val="003F4272"/>
    <w:rsid w:val="003F6BE5"/>
    <w:rsid w:val="003F7E35"/>
    <w:rsid w:val="00401DDD"/>
    <w:rsid w:val="00401F13"/>
    <w:rsid w:val="00401F66"/>
    <w:rsid w:val="00402040"/>
    <w:rsid w:val="00403518"/>
    <w:rsid w:val="004035C3"/>
    <w:rsid w:val="004044BA"/>
    <w:rsid w:val="00405F5D"/>
    <w:rsid w:val="004068BA"/>
    <w:rsid w:val="00407D1D"/>
    <w:rsid w:val="00407D2C"/>
    <w:rsid w:val="00411D8C"/>
    <w:rsid w:val="004139EC"/>
    <w:rsid w:val="00415647"/>
    <w:rsid w:val="0041565A"/>
    <w:rsid w:val="00415CD3"/>
    <w:rsid w:val="004164E5"/>
    <w:rsid w:val="004176BD"/>
    <w:rsid w:val="00417C8D"/>
    <w:rsid w:val="00420A86"/>
    <w:rsid w:val="00421231"/>
    <w:rsid w:val="00423831"/>
    <w:rsid w:val="00423BBB"/>
    <w:rsid w:val="00423D85"/>
    <w:rsid w:val="00425843"/>
    <w:rsid w:val="00427625"/>
    <w:rsid w:val="004276C0"/>
    <w:rsid w:val="00427EDF"/>
    <w:rsid w:val="00430622"/>
    <w:rsid w:val="00430A04"/>
    <w:rsid w:val="0043159C"/>
    <w:rsid w:val="00431AA4"/>
    <w:rsid w:val="00431E56"/>
    <w:rsid w:val="00433F33"/>
    <w:rsid w:val="004341AF"/>
    <w:rsid w:val="0043421F"/>
    <w:rsid w:val="004364BA"/>
    <w:rsid w:val="00436CD9"/>
    <w:rsid w:val="004406B6"/>
    <w:rsid w:val="004413BE"/>
    <w:rsid w:val="0044162D"/>
    <w:rsid w:val="00443567"/>
    <w:rsid w:val="00443697"/>
    <w:rsid w:val="00444C8F"/>
    <w:rsid w:val="004459A8"/>
    <w:rsid w:val="00446E78"/>
    <w:rsid w:val="00447753"/>
    <w:rsid w:val="00451E43"/>
    <w:rsid w:val="004540E8"/>
    <w:rsid w:val="0045418D"/>
    <w:rsid w:val="00454949"/>
    <w:rsid w:val="004555AE"/>
    <w:rsid w:val="0045561C"/>
    <w:rsid w:val="00455A96"/>
    <w:rsid w:val="0045610C"/>
    <w:rsid w:val="00456210"/>
    <w:rsid w:val="004573EA"/>
    <w:rsid w:val="00460D75"/>
    <w:rsid w:val="00460F5F"/>
    <w:rsid w:val="00461601"/>
    <w:rsid w:val="00461A7F"/>
    <w:rsid w:val="00461A8D"/>
    <w:rsid w:val="00461DE1"/>
    <w:rsid w:val="00461DE4"/>
    <w:rsid w:val="00462B15"/>
    <w:rsid w:val="00462B48"/>
    <w:rsid w:val="00462D76"/>
    <w:rsid w:val="00462E41"/>
    <w:rsid w:val="00465336"/>
    <w:rsid w:val="00465757"/>
    <w:rsid w:val="00465A25"/>
    <w:rsid w:val="004673A9"/>
    <w:rsid w:val="00470003"/>
    <w:rsid w:val="00470E90"/>
    <w:rsid w:val="0047150C"/>
    <w:rsid w:val="00471A3A"/>
    <w:rsid w:val="00473424"/>
    <w:rsid w:val="004740EC"/>
    <w:rsid w:val="00475CCA"/>
    <w:rsid w:val="00475EF6"/>
    <w:rsid w:val="004760F0"/>
    <w:rsid w:val="00476FC5"/>
    <w:rsid w:val="00477D83"/>
    <w:rsid w:val="004800DE"/>
    <w:rsid w:val="004825F5"/>
    <w:rsid w:val="0048393C"/>
    <w:rsid w:val="004840ED"/>
    <w:rsid w:val="004849BF"/>
    <w:rsid w:val="00484A89"/>
    <w:rsid w:val="00485083"/>
    <w:rsid w:val="004852B2"/>
    <w:rsid w:val="0048646B"/>
    <w:rsid w:val="00486F06"/>
    <w:rsid w:val="0048767B"/>
    <w:rsid w:val="004876A7"/>
    <w:rsid w:val="00487B9C"/>
    <w:rsid w:val="0049040B"/>
    <w:rsid w:val="004908A1"/>
    <w:rsid w:val="004910A1"/>
    <w:rsid w:val="00492413"/>
    <w:rsid w:val="00492704"/>
    <w:rsid w:val="004933E1"/>
    <w:rsid w:val="00493691"/>
    <w:rsid w:val="00493BB7"/>
    <w:rsid w:val="00493FF0"/>
    <w:rsid w:val="004949BE"/>
    <w:rsid w:val="00495CC5"/>
    <w:rsid w:val="004969CD"/>
    <w:rsid w:val="00497255"/>
    <w:rsid w:val="004976D5"/>
    <w:rsid w:val="004A10EC"/>
    <w:rsid w:val="004A1AC6"/>
    <w:rsid w:val="004A36E6"/>
    <w:rsid w:val="004A37AD"/>
    <w:rsid w:val="004A4EB7"/>
    <w:rsid w:val="004A5435"/>
    <w:rsid w:val="004A55CC"/>
    <w:rsid w:val="004A600F"/>
    <w:rsid w:val="004A626D"/>
    <w:rsid w:val="004A7977"/>
    <w:rsid w:val="004A7E68"/>
    <w:rsid w:val="004B0552"/>
    <w:rsid w:val="004B0B9C"/>
    <w:rsid w:val="004B0F15"/>
    <w:rsid w:val="004B1DFE"/>
    <w:rsid w:val="004B2360"/>
    <w:rsid w:val="004B258E"/>
    <w:rsid w:val="004B2897"/>
    <w:rsid w:val="004B3D3D"/>
    <w:rsid w:val="004B4B3C"/>
    <w:rsid w:val="004B4E23"/>
    <w:rsid w:val="004B4E54"/>
    <w:rsid w:val="004B637A"/>
    <w:rsid w:val="004B6713"/>
    <w:rsid w:val="004B77CC"/>
    <w:rsid w:val="004B7A72"/>
    <w:rsid w:val="004C1374"/>
    <w:rsid w:val="004C1601"/>
    <w:rsid w:val="004C1DA8"/>
    <w:rsid w:val="004C315D"/>
    <w:rsid w:val="004C50A6"/>
    <w:rsid w:val="004C53B2"/>
    <w:rsid w:val="004C578B"/>
    <w:rsid w:val="004C7368"/>
    <w:rsid w:val="004D02ED"/>
    <w:rsid w:val="004D0B18"/>
    <w:rsid w:val="004D2155"/>
    <w:rsid w:val="004D22F3"/>
    <w:rsid w:val="004D4275"/>
    <w:rsid w:val="004D4A5B"/>
    <w:rsid w:val="004D644A"/>
    <w:rsid w:val="004D67F7"/>
    <w:rsid w:val="004D6823"/>
    <w:rsid w:val="004D6955"/>
    <w:rsid w:val="004E0F90"/>
    <w:rsid w:val="004E1252"/>
    <w:rsid w:val="004E28F4"/>
    <w:rsid w:val="004E3CEF"/>
    <w:rsid w:val="004E406B"/>
    <w:rsid w:val="004E4537"/>
    <w:rsid w:val="004E483C"/>
    <w:rsid w:val="004E5012"/>
    <w:rsid w:val="004F01AF"/>
    <w:rsid w:val="004F01FE"/>
    <w:rsid w:val="004F08AE"/>
    <w:rsid w:val="004F09ED"/>
    <w:rsid w:val="004F1979"/>
    <w:rsid w:val="004F1A33"/>
    <w:rsid w:val="004F1CB6"/>
    <w:rsid w:val="004F2FF2"/>
    <w:rsid w:val="004F3471"/>
    <w:rsid w:val="004F4590"/>
    <w:rsid w:val="004F6AFA"/>
    <w:rsid w:val="004F6BBB"/>
    <w:rsid w:val="004F73D1"/>
    <w:rsid w:val="005013DB"/>
    <w:rsid w:val="00501701"/>
    <w:rsid w:val="00502730"/>
    <w:rsid w:val="0050318B"/>
    <w:rsid w:val="00504852"/>
    <w:rsid w:val="00504925"/>
    <w:rsid w:val="00505547"/>
    <w:rsid w:val="005055EB"/>
    <w:rsid w:val="00506939"/>
    <w:rsid w:val="00507B2D"/>
    <w:rsid w:val="00507CEA"/>
    <w:rsid w:val="00510043"/>
    <w:rsid w:val="005107B1"/>
    <w:rsid w:val="00510EB1"/>
    <w:rsid w:val="005117F0"/>
    <w:rsid w:val="00512D26"/>
    <w:rsid w:val="0051315F"/>
    <w:rsid w:val="0051381F"/>
    <w:rsid w:val="00514C66"/>
    <w:rsid w:val="00517A1C"/>
    <w:rsid w:val="00517A89"/>
    <w:rsid w:val="00517D7E"/>
    <w:rsid w:val="00520184"/>
    <w:rsid w:val="005205C1"/>
    <w:rsid w:val="005208FD"/>
    <w:rsid w:val="00521363"/>
    <w:rsid w:val="0052162B"/>
    <w:rsid w:val="00521DE0"/>
    <w:rsid w:val="0052259B"/>
    <w:rsid w:val="005232CC"/>
    <w:rsid w:val="005238AD"/>
    <w:rsid w:val="00523FDA"/>
    <w:rsid w:val="005252CA"/>
    <w:rsid w:val="005270B3"/>
    <w:rsid w:val="00527323"/>
    <w:rsid w:val="005279A2"/>
    <w:rsid w:val="00527A73"/>
    <w:rsid w:val="00527E07"/>
    <w:rsid w:val="00530492"/>
    <w:rsid w:val="0053049A"/>
    <w:rsid w:val="00530A5F"/>
    <w:rsid w:val="00530E50"/>
    <w:rsid w:val="0053103D"/>
    <w:rsid w:val="00531DE9"/>
    <w:rsid w:val="00532160"/>
    <w:rsid w:val="00532DC7"/>
    <w:rsid w:val="0053388A"/>
    <w:rsid w:val="005340A5"/>
    <w:rsid w:val="005347B7"/>
    <w:rsid w:val="00535C39"/>
    <w:rsid w:val="005367C1"/>
    <w:rsid w:val="00537459"/>
    <w:rsid w:val="005379AD"/>
    <w:rsid w:val="00540407"/>
    <w:rsid w:val="0054054E"/>
    <w:rsid w:val="00540BE2"/>
    <w:rsid w:val="00540E73"/>
    <w:rsid w:val="0054143D"/>
    <w:rsid w:val="00541C01"/>
    <w:rsid w:val="00541C6B"/>
    <w:rsid w:val="00541EE9"/>
    <w:rsid w:val="005420F2"/>
    <w:rsid w:val="00542147"/>
    <w:rsid w:val="0054286C"/>
    <w:rsid w:val="005431B0"/>
    <w:rsid w:val="00543791"/>
    <w:rsid w:val="00543CDE"/>
    <w:rsid w:val="00544319"/>
    <w:rsid w:val="00544685"/>
    <w:rsid w:val="00544E99"/>
    <w:rsid w:val="00545A71"/>
    <w:rsid w:val="00545F07"/>
    <w:rsid w:val="00546BBA"/>
    <w:rsid w:val="00546C99"/>
    <w:rsid w:val="005508E1"/>
    <w:rsid w:val="005519B2"/>
    <w:rsid w:val="00552181"/>
    <w:rsid w:val="005525DF"/>
    <w:rsid w:val="005527CC"/>
    <w:rsid w:val="00553D78"/>
    <w:rsid w:val="00554131"/>
    <w:rsid w:val="0055454E"/>
    <w:rsid w:val="005546A8"/>
    <w:rsid w:val="005549A4"/>
    <w:rsid w:val="00560170"/>
    <w:rsid w:val="0056068D"/>
    <w:rsid w:val="00560B8C"/>
    <w:rsid w:val="00561C42"/>
    <w:rsid w:val="005620C9"/>
    <w:rsid w:val="00562377"/>
    <w:rsid w:val="0056304D"/>
    <w:rsid w:val="00563A93"/>
    <w:rsid w:val="0056652F"/>
    <w:rsid w:val="005705D1"/>
    <w:rsid w:val="005707A2"/>
    <w:rsid w:val="00570983"/>
    <w:rsid w:val="00571844"/>
    <w:rsid w:val="00571865"/>
    <w:rsid w:val="00571F66"/>
    <w:rsid w:val="00572458"/>
    <w:rsid w:val="005731C4"/>
    <w:rsid w:val="00574861"/>
    <w:rsid w:val="0057497E"/>
    <w:rsid w:val="00574B59"/>
    <w:rsid w:val="00575815"/>
    <w:rsid w:val="00575DFD"/>
    <w:rsid w:val="00575E40"/>
    <w:rsid w:val="00576133"/>
    <w:rsid w:val="00577663"/>
    <w:rsid w:val="00580368"/>
    <w:rsid w:val="00580A16"/>
    <w:rsid w:val="005816E3"/>
    <w:rsid w:val="005820C4"/>
    <w:rsid w:val="005835A1"/>
    <w:rsid w:val="005836E6"/>
    <w:rsid w:val="00583763"/>
    <w:rsid w:val="00583CA6"/>
    <w:rsid w:val="00584776"/>
    <w:rsid w:val="0058487B"/>
    <w:rsid w:val="00584BEB"/>
    <w:rsid w:val="00586461"/>
    <w:rsid w:val="00586656"/>
    <w:rsid w:val="005868A1"/>
    <w:rsid w:val="005874E3"/>
    <w:rsid w:val="0058774A"/>
    <w:rsid w:val="0058790B"/>
    <w:rsid w:val="005901F2"/>
    <w:rsid w:val="00590668"/>
    <w:rsid w:val="0059151C"/>
    <w:rsid w:val="005917D6"/>
    <w:rsid w:val="005929F7"/>
    <w:rsid w:val="00593060"/>
    <w:rsid w:val="00595833"/>
    <w:rsid w:val="005969AF"/>
    <w:rsid w:val="00597B97"/>
    <w:rsid w:val="00597E44"/>
    <w:rsid w:val="005A057E"/>
    <w:rsid w:val="005A0DA1"/>
    <w:rsid w:val="005A14A0"/>
    <w:rsid w:val="005A1812"/>
    <w:rsid w:val="005A19FB"/>
    <w:rsid w:val="005A21EB"/>
    <w:rsid w:val="005A2400"/>
    <w:rsid w:val="005A256F"/>
    <w:rsid w:val="005A261D"/>
    <w:rsid w:val="005A671D"/>
    <w:rsid w:val="005A7241"/>
    <w:rsid w:val="005A7557"/>
    <w:rsid w:val="005B188D"/>
    <w:rsid w:val="005B1E75"/>
    <w:rsid w:val="005B2A5B"/>
    <w:rsid w:val="005B2E4E"/>
    <w:rsid w:val="005B2F2D"/>
    <w:rsid w:val="005B2FB6"/>
    <w:rsid w:val="005B3852"/>
    <w:rsid w:val="005B3C02"/>
    <w:rsid w:val="005B3C49"/>
    <w:rsid w:val="005B405C"/>
    <w:rsid w:val="005B42D5"/>
    <w:rsid w:val="005B56F3"/>
    <w:rsid w:val="005B5902"/>
    <w:rsid w:val="005B68FB"/>
    <w:rsid w:val="005B6F25"/>
    <w:rsid w:val="005B7398"/>
    <w:rsid w:val="005B7EF0"/>
    <w:rsid w:val="005C0996"/>
    <w:rsid w:val="005C1762"/>
    <w:rsid w:val="005C24FD"/>
    <w:rsid w:val="005C2E16"/>
    <w:rsid w:val="005C3651"/>
    <w:rsid w:val="005C5082"/>
    <w:rsid w:val="005C5FFC"/>
    <w:rsid w:val="005C6AB7"/>
    <w:rsid w:val="005C7002"/>
    <w:rsid w:val="005C7CD5"/>
    <w:rsid w:val="005D16A5"/>
    <w:rsid w:val="005D1978"/>
    <w:rsid w:val="005D272C"/>
    <w:rsid w:val="005D3E9A"/>
    <w:rsid w:val="005D3FC0"/>
    <w:rsid w:val="005D5EBE"/>
    <w:rsid w:val="005D6162"/>
    <w:rsid w:val="005D7764"/>
    <w:rsid w:val="005D776B"/>
    <w:rsid w:val="005D7B28"/>
    <w:rsid w:val="005E1483"/>
    <w:rsid w:val="005E172A"/>
    <w:rsid w:val="005E290D"/>
    <w:rsid w:val="005E4101"/>
    <w:rsid w:val="005E41A5"/>
    <w:rsid w:val="005E4957"/>
    <w:rsid w:val="005E50F4"/>
    <w:rsid w:val="005E705F"/>
    <w:rsid w:val="005F041E"/>
    <w:rsid w:val="005F0469"/>
    <w:rsid w:val="005F0483"/>
    <w:rsid w:val="005F100D"/>
    <w:rsid w:val="005F17FC"/>
    <w:rsid w:val="005F1AC2"/>
    <w:rsid w:val="005F1B96"/>
    <w:rsid w:val="005F1F06"/>
    <w:rsid w:val="005F2B34"/>
    <w:rsid w:val="005F493A"/>
    <w:rsid w:val="005F4B54"/>
    <w:rsid w:val="005F5387"/>
    <w:rsid w:val="005F6277"/>
    <w:rsid w:val="005F6A0D"/>
    <w:rsid w:val="005F6CF1"/>
    <w:rsid w:val="005F6E8F"/>
    <w:rsid w:val="005F70C9"/>
    <w:rsid w:val="005F77DD"/>
    <w:rsid w:val="00600E3C"/>
    <w:rsid w:val="006013D7"/>
    <w:rsid w:val="00601CEF"/>
    <w:rsid w:val="006020AB"/>
    <w:rsid w:val="006029B6"/>
    <w:rsid w:val="00603B61"/>
    <w:rsid w:val="00603D0C"/>
    <w:rsid w:val="00605C1F"/>
    <w:rsid w:val="006063C5"/>
    <w:rsid w:val="00606C2E"/>
    <w:rsid w:val="00606FF9"/>
    <w:rsid w:val="006104BD"/>
    <w:rsid w:val="00611205"/>
    <w:rsid w:val="0061147A"/>
    <w:rsid w:val="00611661"/>
    <w:rsid w:val="00612255"/>
    <w:rsid w:val="00614683"/>
    <w:rsid w:val="00614A17"/>
    <w:rsid w:val="00614EBB"/>
    <w:rsid w:val="00615AEC"/>
    <w:rsid w:val="00615D3D"/>
    <w:rsid w:val="00615E4C"/>
    <w:rsid w:val="006163D7"/>
    <w:rsid w:val="0061694D"/>
    <w:rsid w:val="00616CAA"/>
    <w:rsid w:val="00621701"/>
    <w:rsid w:val="00622917"/>
    <w:rsid w:val="00623358"/>
    <w:rsid w:val="00623785"/>
    <w:rsid w:val="00623871"/>
    <w:rsid w:val="006245F7"/>
    <w:rsid w:val="00625AF3"/>
    <w:rsid w:val="006301F6"/>
    <w:rsid w:val="00630EDC"/>
    <w:rsid w:val="00631B20"/>
    <w:rsid w:val="006339A6"/>
    <w:rsid w:val="006343DB"/>
    <w:rsid w:val="00634E89"/>
    <w:rsid w:val="00635358"/>
    <w:rsid w:val="00635B95"/>
    <w:rsid w:val="00636024"/>
    <w:rsid w:val="00636D16"/>
    <w:rsid w:val="0063703B"/>
    <w:rsid w:val="0063715A"/>
    <w:rsid w:val="00640421"/>
    <w:rsid w:val="0064097A"/>
    <w:rsid w:val="0064387E"/>
    <w:rsid w:val="00643A3A"/>
    <w:rsid w:val="00644B6F"/>
    <w:rsid w:val="00644CF0"/>
    <w:rsid w:val="006452AF"/>
    <w:rsid w:val="0064567F"/>
    <w:rsid w:val="00645A92"/>
    <w:rsid w:val="00646CD6"/>
    <w:rsid w:val="0064783A"/>
    <w:rsid w:val="006479C9"/>
    <w:rsid w:val="00652191"/>
    <w:rsid w:val="00652229"/>
    <w:rsid w:val="00654608"/>
    <w:rsid w:val="00655399"/>
    <w:rsid w:val="00655614"/>
    <w:rsid w:val="00655C3F"/>
    <w:rsid w:val="00657D78"/>
    <w:rsid w:val="00660CD9"/>
    <w:rsid w:val="006611BB"/>
    <w:rsid w:val="00661241"/>
    <w:rsid w:val="00661735"/>
    <w:rsid w:val="006618AF"/>
    <w:rsid w:val="00661C4D"/>
    <w:rsid w:val="00661D7A"/>
    <w:rsid w:val="0066259D"/>
    <w:rsid w:val="00663105"/>
    <w:rsid w:val="00665C0A"/>
    <w:rsid w:val="00666150"/>
    <w:rsid w:val="00666A36"/>
    <w:rsid w:val="00666CBA"/>
    <w:rsid w:val="00667D01"/>
    <w:rsid w:val="006705EA"/>
    <w:rsid w:val="00670F5C"/>
    <w:rsid w:val="00671260"/>
    <w:rsid w:val="00671E68"/>
    <w:rsid w:val="00672B3B"/>
    <w:rsid w:val="00672BAD"/>
    <w:rsid w:val="00673A88"/>
    <w:rsid w:val="00673C42"/>
    <w:rsid w:val="0067513F"/>
    <w:rsid w:val="00675D95"/>
    <w:rsid w:val="00676A73"/>
    <w:rsid w:val="0067771A"/>
    <w:rsid w:val="00677CC9"/>
    <w:rsid w:val="00681887"/>
    <w:rsid w:val="00681912"/>
    <w:rsid w:val="0068285E"/>
    <w:rsid w:val="00683A7C"/>
    <w:rsid w:val="00683D55"/>
    <w:rsid w:val="00683F3F"/>
    <w:rsid w:val="0068482F"/>
    <w:rsid w:val="00685315"/>
    <w:rsid w:val="00685A34"/>
    <w:rsid w:val="006861E2"/>
    <w:rsid w:val="006863D8"/>
    <w:rsid w:val="00686A30"/>
    <w:rsid w:val="006926B7"/>
    <w:rsid w:val="0069321F"/>
    <w:rsid w:val="00693435"/>
    <w:rsid w:val="00695A4E"/>
    <w:rsid w:val="00695F47"/>
    <w:rsid w:val="006967B9"/>
    <w:rsid w:val="006A00AE"/>
    <w:rsid w:val="006A0CE5"/>
    <w:rsid w:val="006A1124"/>
    <w:rsid w:val="006A30C3"/>
    <w:rsid w:val="006A33CD"/>
    <w:rsid w:val="006A34D6"/>
    <w:rsid w:val="006A3C6F"/>
    <w:rsid w:val="006A47E1"/>
    <w:rsid w:val="006A4869"/>
    <w:rsid w:val="006A5288"/>
    <w:rsid w:val="006A5A7F"/>
    <w:rsid w:val="006A6408"/>
    <w:rsid w:val="006A6654"/>
    <w:rsid w:val="006B03BB"/>
    <w:rsid w:val="006B052F"/>
    <w:rsid w:val="006B06D5"/>
    <w:rsid w:val="006B240E"/>
    <w:rsid w:val="006B2431"/>
    <w:rsid w:val="006B2526"/>
    <w:rsid w:val="006B2825"/>
    <w:rsid w:val="006B296C"/>
    <w:rsid w:val="006B2DC7"/>
    <w:rsid w:val="006B30AA"/>
    <w:rsid w:val="006B377A"/>
    <w:rsid w:val="006B37D1"/>
    <w:rsid w:val="006B3EC5"/>
    <w:rsid w:val="006B4BBE"/>
    <w:rsid w:val="006B4DB9"/>
    <w:rsid w:val="006B6B2C"/>
    <w:rsid w:val="006B739A"/>
    <w:rsid w:val="006C02FA"/>
    <w:rsid w:val="006C04BD"/>
    <w:rsid w:val="006C0E72"/>
    <w:rsid w:val="006C1AE7"/>
    <w:rsid w:val="006C20BA"/>
    <w:rsid w:val="006C3033"/>
    <w:rsid w:val="006C49E1"/>
    <w:rsid w:val="006C5802"/>
    <w:rsid w:val="006C59DE"/>
    <w:rsid w:val="006C5B52"/>
    <w:rsid w:val="006C7548"/>
    <w:rsid w:val="006C776F"/>
    <w:rsid w:val="006D0304"/>
    <w:rsid w:val="006D0F90"/>
    <w:rsid w:val="006D1B14"/>
    <w:rsid w:val="006D296E"/>
    <w:rsid w:val="006D3400"/>
    <w:rsid w:val="006D4024"/>
    <w:rsid w:val="006D45A5"/>
    <w:rsid w:val="006D531B"/>
    <w:rsid w:val="006D6055"/>
    <w:rsid w:val="006E1D18"/>
    <w:rsid w:val="006E2071"/>
    <w:rsid w:val="006E2B15"/>
    <w:rsid w:val="006E2C3D"/>
    <w:rsid w:val="006E2E4B"/>
    <w:rsid w:val="006E5550"/>
    <w:rsid w:val="006E56A7"/>
    <w:rsid w:val="006E5912"/>
    <w:rsid w:val="006E614C"/>
    <w:rsid w:val="006E616F"/>
    <w:rsid w:val="006E6979"/>
    <w:rsid w:val="006E6B32"/>
    <w:rsid w:val="006E6ECD"/>
    <w:rsid w:val="006E7587"/>
    <w:rsid w:val="006E7D9F"/>
    <w:rsid w:val="006F0428"/>
    <w:rsid w:val="006F0696"/>
    <w:rsid w:val="006F1431"/>
    <w:rsid w:val="006F1771"/>
    <w:rsid w:val="006F1CDF"/>
    <w:rsid w:val="006F1E53"/>
    <w:rsid w:val="006F1ED0"/>
    <w:rsid w:val="006F2042"/>
    <w:rsid w:val="006F2C6A"/>
    <w:rsid w:val="006F2FB3"/>
    <w:rsid w:val="006F30E6"/>
    <w:rsid w:val="006F3971"/>
    <w:rsid w:val="006F3C01"/>
    <w:rsid w:val="006F5B87"/>
    <w:rsid w:val="006F6EED"/>
    <w:rsid w:val="006F7046"/>
    <w:rsid w:val="006F7B15"/>
    <w:rsid w:val="006F7D29"/>
    <w:rsid w:val="006F7E9D"/>
    <w:rsid w:val="00700158"/>
    <w:rsid w:val="00700206"/>
    <w:rsid w:val="00700804"/>
    <w:rsid w:val="00700F81"/>
    <w:rsid w:val="00700FF6"/>
    <w:rsid w:val="0070163D"/>
    <w:rsid w:val="00701C4D"/>
    <w:rsid w:val="00702D0A"/>
    <w:rsid w:val="0070322E"/>
    <w:rsid w:val="0070680A"/>
    <w:rsid w:val="00706CF9"/>
    <w:rsid w:val="0070733B"/>
    <w:rsid w:val="00707622"/>
    <w:rsid w:val="00707B03"/>
    <w:rsid w:val="00710D0A"/>
    <w:rsid w:val="0071124F"/>
    <w:rsid w:val="0071181C"/>
    <w:rsid w:val="00712F23"/>
    <w:rsid w:val="00714343"/>
    <w:rsid w:val="00714C94"/>
    <w:rsid w:val="00714D0F"/>
    <w:rsid w:val="00715755"/>
    <w:rsid w:val="00715C44"/>
    <w:rsid w:val="00715E0C"/>
    <w:rsid w:val="00716F44"/>
    <w:rsid w:val="0071711F"/>
    <w:rsid w:val="007176FB"/>
    <w:rsid w:val="00720C54"/>
    <w:rsid w:val="00721103"/>
    <w:rsid w:val="007226CF"/>
    <w:rsid w:val="00723489"/>
    <w:rsid w:val="007236F0"/>
    <w:rsid w:val="0072530B"/>
    <w:rsid w:val="007254D8"/>
    <w:rsid w:val="00726DFD"/>
    <w:rsid w:val="007301D6"/>
    <w:rsid w:val="00730A52"/>
    <w:rsid w:val="00731B25"/>
    <w:rsid w:val="00731FD2"/>
    <w:rsid w:val="00732347"/>
    <w:rsid w:val="0073473A"/>
    <w:rsid w:val="00734929"/>
    <w:rsid w:val="00734B85"/>
    <w:rsid w:val="00737E8D"/>
    <w:rsid w:val="00740740"/>
    <w:rsid w:val="007408DF"/>
    <w:rsid w:val="00741515"/>
    <w:rsid w:val="007415F4"/>
    <w:rsid w:val="00741A4D"/>
    <w:rsid w:val="007426CE"/>
    <w:rsid w:val="00743382"/>
    <w:rsid w:val="0074486A"/>
    <w:rsid w:val="007456F8"/>
    <w:rsid w:val="007470C8"/>
    <w:rsid w:val="00751909"/>
    <w:rsid w:val="00752A83"/>
    <w:rsid w:val="007530C2"/>
    <w:rsid w:val="00753DAA"/>
    <w:rsid w:val="0075571B"/>
    <w:rsid w:val="00756DD5"/>
    <w:rsid w:val="00760AD6"/>
    <w:rsid w:val="00760DA9"/>
    <w:rsid w:val="007629A7"/>
    <w:rsid w:val="00763491"/>
    <w:rsid w:val="00763AA0"/>
    <w:rsid w:val="007646F1"/>
    <w:rsid w:val="00765287"/>
    <w:rsid w:val="00765B0B"/>
    <w:rsid w:val="0076606C"/>
    <w:rsid w:val="00766B6F"/>
    <w:rsid w:val="00766CDE"/>
    <w:rsid w:val="007700FF"/>
    <w:rsid w:val="00770AF8"/>
    <w:rsid w:val="007727BA"/>
    <w:rsid w:val="00773568"/>
    <w:rsid w:val="00773B9A"/>
    <w:rsid w:val="0077465A"/>
    <w:rsid w:val="00774939"/>
    <w:rsid w:val="00774E7A"/>
    <w:rsid w:val="007751AB"/>
    <w:rsid w:val="0077682A"/>
    <w:rsid w:val="00776CDF"/>
    <w:rsid w:val="00776EEA"/>
    <w:rsid w:val="007770BF"/>
    <w:rsid w:val="0077737D"/>
    <w:rsid w:val="00780E5B"/>
    <w:rsid w:val="007822C0"/>
    <w:rsid w:val="0078318A"/>
    <w:rsid w:val="00783221"/>
    <w:rsid w:val="0078394C"/>
    <w:rsid w:val="00785335"/>
    <w:rsid w:val="00785A95"/>
    <w:rsid w:val="00786E41"/>
    <w:rsid w:val="007871BB"/>
    <w:rsid w:val="00787A58"/>
    <w:rsid w:val="007900A1"/>
    <w:rsid w:val="0079053C"/>
    <w:rsid w:val="00790A0A"/>
    <w:rsid w:val="00792650"/>
    <w:rsid w:val="007947F9"/>
    <w:rsid w:val="007950CE"/>
    <w:rsid w:val="00796645"/>
    <w:rsid w:val="00797424"/>
    <w:rsid w:val="007A0D62"/>
    <w:rsid w:val="007A2A3B"/>
    <w:rsid w:val="007A2EF0"/>
    <w:rsid w:val="007A377A"/>
    <w:rsid w:val="007A38BF"/>
    <w:rsid w:val="007A5685"/>
    <w:rsid w:val="007A6C00"/>
    <w:rsid w:val="007A6CDA"/>
    <w:rsid w:val="007B0113"/>
    <w:rsid w:val="007B1093"/>
    <w:rsid w:val="007B18BB"/>
    <w:rsid w:val="007B19C1"/>
    <w:rsid w:val="007B1C90"/>
    <w:rsid w:val="007B2830"/>
    <w:rsid w:val="007B32C6"/>
    <w:rsid w:val="007B4739"/>
    <w:rsid w:val="007B7829"/>
    <w:rsid w:val="007B7BAC"/>
    <w:rsid w:val="007C0275"/>
    <w:rsid w:val="007C1EA6"/>
    <w:rsid w:val="007C318B"/>
    <w:rsid w:val="007C34DB"/>
    <w:rsid w:val="007C3FF4"/>
    <w:rsid w:val="007C41DE"/>
    <w:rsid w:val="007C42A4"/>
    <w:rsid w:val="007C48F6"/>
    <w:rsid w:val="007C5B7F"/>
    <w:rsid w:val="007C60D8"/>
    <w:rsid w:val="007C6EBA"/>
    <w:rsid w:val="007D09C5"/>
    <w:rsid w:val="007D0B63"/>
    <w:rsid w:val="007D2660"/>
    <w:rsid w:val="007D3944"/>
    <w:rsid w:val="007D4708"/>
    <w:rsid w:val="007D4A58"/>
    <w:rsid w:val="007D536E"/>
    <w:rsid w:val="007D6A51"/>
    <w:rsid w:val="007D6B51"/>
    <w:rsid w:val="007E027A"/>
    <w:rsid w:val="007E0C60"/>
    <w:rsid w:val="007E1B69"/>
    <w:rsid w:val="007E2F4F"/>
    <w:rsid w:val="007E4E8A"/>
    <w:rsid w:val="007E4EA7"/>
    <w:rsid w:val="007E6976"/>
    <w:rsid w:val="007E7104"/>
    <w:rsid w:val="007F00D7"/>
    <w:rsid w:val="007F01F7"/>
    <w:rsid w:val="007F0943"/>
    <w:rsid w:val="007F0D91"/>
    <w:rsid w:val="007F1EF8"/>
    <w:rsid w:val="007F307F"/>
    <w:rsid w:val="007F3B4C"/>
    <w:rsid w:val="007F3D54"/>
    <w:rsid w:val="007F4A49"/>
    <w:rsid w:val="007F4F4D"/>
    <w:rsid w:val="007F6955"/>
    <w:rsid w:val="007F730A"/>
    <w:rsid w:val="007F7885"/>
    <w:rsid w:val="007F7EA0"/>
    <w:rsid w:val="007F7F44"/>
    <w:rsid w:val="008002A9"/>
    <w:rsid w:val="0080101F"/>
    <w:rsid w:val="0080128E"/>
    <w:rsid w:val="00801336"/>
    <w:rsid w:val="0080144A"/>
    <w:rsid w:val="0080198F"/>
    <w:rsid w:val="00803098"/>
    <w:rsid w:val="00803388"/>
    <w:rsid w:val="00803932"/>
    <w:rsid w:val="008043CD"/>
    <w:rsid w:val="00805381"/>
    <w:rsid w:val="00805BEE"/>
    <w:rsid w:val="00805F95"/>
    <w:rsid w:val="0080604D"/>
    <w:rsid w:val="008065BF"/>
    <w:rsid w:val="008066D0"/>
    <w:rsid w:val="008068AE"/>
    <w:rsid w:val="00806A07"/>
    <w:rsid w:val="00806CAE"/>
    <w:rsid w:val="00807619"/>
    <w:rsid w:val="008078E4"/>
    <w:rsid w:val="008110CE"/>
    <w:rsid w:val="008119DB"/>
    <w:rsid w:val="00812002"/>
    <w:rsid w:val="00813011"/>
    <w:rsid w:val="008132DF"/>
    <w:rsid w:val="00814885"/>
    <w:rsid w:val="00814F94"/>
    <w:rsid w:val="0081502A"/>
    <w:rsid w:val="00815F32"/>
    <w:rsid w:val="00822474"/>
    <w:rsid w:val="00822DD6"/>
    <w:rsid w:val="0082349A"/>
    <w:rsid w:val="00826301"/>
    <w:rsid w:val="0082724D"/>
    <w:rsid w:val="00827B65"/>
    <w:rsid w:val="00830156"/>
    <w:rsid w:val="008301FD"/>
    <w:rsid w:val="0083020F"/>
    <w:rsid w:val="00830EB2"/>
    <w:rsid w:val="00831B7E"/>
    <w:rsid w:val="00831E43"/>
    <w:rsid w:val="008329B2"/>
    <w:rsid w:val="00833720"/>
    <w:rsid w:val="00833CD6"/>
    <w:rsid w:val="00833DC3"/>
    <w:rsid w:val="00834B6E"/>
    <w:rsid w:val="00836895"/>
    <w:rsid w:val="008376CC"/>
    <w:rsid w:val="0083784F"/>
    <w:rsid w:val="00837E7B"/>
    <w:rsid w:val="0084280A"/>
    <w:rsid w:val="0084297A"/>
    <w:rsid w:val="00842EB1"/>
    <w:rsid w:val="008430A2"/>
    <w:rsid w:val="00844179"/>
    <w:rsid w:val="00844692"/>
    <w:rsid w:val="00844A1D"/>
    <w:rsid w:val="00845B1B"/>
    <w:rsid w:val="00845CCF"/>
    <w:rsid w:val="00845F17"/>
    <w:rsid w:val="00846ECD"/>
    <w:rsid w:val="00850029"/>
    <w:rsid w:val="00850E88"/>
    <w:rsid w:val="008524E2"/>
    <w:rsid w:val="00852731"/>
    <w:rsid w:val="00852D72"/>
    <w:rsid w:val="0085320A"/>
    <w:rsid w:val="00856069"/>
    <w:rsid w:val="0086050D"/>
    <w:rsid w:val="00861054"/>
    <w:rsid w:val="0086117F"/>
    <w:rsid w:val="0086119C"/>
    <w:rsid w:val="00863652"/>
    <w:rsid w:val="0086401C"/>
    <w:rsid w:val="008641E2"/>
    <w:rsid w:val="00864979"/>
    <w:rsid w:val="00864AA8"/>
    <w:rsid w:val="00865198"/>
    <w:rsid w:val="00866B4C"/>
    <w:rsid w:val="00866EE3"/>
    <w:rsid w:val="0086713F"/>
    <w:rsid w:val="00867F01"/>
    <w:rsid w:val="008708AB"/>
    <w:rsid w:val="008709D6"/>
    <w:rsid w:val="0087158E"/>
    <w:rsid w:val="008719AF"/>
    <w:rsid w:val="008720F6"/>
    <w:rsid w:val="00872A9C"/>
    <w:rsid w:val="00872C41"/>
    <w:rsid w:val="0087397E"/>
    <w:rsid w:val="00873E10"/>
    <w:rsid w:val="00875518"/>
    <w:rsid w:val="00876531"/>
    <w:rsid w:val="0087658E"/>
    <w:rsid w:val="008770D9"/>
    <w:rsid w:val="00877201"/>
    <w:rsid w:val="00877E83"/>
    <w:rsid w:val="00880486"/>
    <w:rsid w:val="00881094"/>
    <w:rsid w:val="00882F86"/>
    <w:rsid w:val="008856B4"/>
    <w:rsid w:val="00890C04"/>
    <w:rsid w:val="00890C8A"/>
    <w:rsid w:val="0089123E"/>
    <w:rsid w:val="0089168D"/>
    <w:rsid w:val="00891AA8"/>
    <w:rsid w:val="00892077"/>
    <w:rsid w:val="008922A4"/>
    <w:rsid w:val="00893115"/>
    <w:rsid w:val="0089462C"/>
    <w:rsid w:val="00894835"/>
    <w:rsid w:val="00895668"/>
    <w:rsid w:val="00896DDF"/>
    <w:rsid w:val="008975AF"/>
    <w:rsid w:val="00897B24"/>
    <w:rsid w:val="008A03B8"/>
    <w:rsid w:val="008A10A2"/>
    <w:rsid w:val="008A119B"/>
    <w:rsid w:val="008A22DD"/>
    <w:rsid w:val="008A27F4"/>
    <w:rsid w:val="008A385C"/>
    <w:rsid w:val="008A38BA"/>
    <w:rsid w:val="008A3A79"/>
    <w:rsid w:val="008A4A75"/>
    <w:rsid w:val="008A4B7D"/>
    <w:rsid w:val="008A532E"/>
    <w:rsid w:val="008A581E"/>
    <w:rsid w:val="008A7DB6"/>
    <w:rsid w:val="008B1400"/>
    <w:rsid w:val="008B18BD"/>
    <w:rsid w:val="008B2450"/>
    <w:rsid w:val="008B2E86"/>
    <w:rsid w:val="008B3426"/>
    <w:rsid w:val="008B3713"/>
    <w:rsid w:val="008B3734"/>
    <w:rsid w:val="008B3949"/>
    <w:rsid w:val="008B44C7"/>
    <w:rsid w:val="008B5860"/>
    <w:rsid w:val="008B5AB8"/>
    <w:rsid w:val="008B627C"/>
    <w:rsid w:val="008B6E41"/>
    <w:rsid w:val="008B7822"/>
    <w:rsid w:val="008C09A1"/>
    <w:rsid w:val="008C1145"/>
    <w:rsid w:val="008C1750"/>
    <w:rsid w:val="008C17E9"/>
    <w:rsid w:val="008C2E44"/>
    <w:rsid w:val="008C2E53"/>
    <w:rsid w:val="008C3154"/>
    <w:rsid w:val="008C31BD"/>
    <w:rsid w:val="008C34F1"/>
    <w:rsid w:val="008C5E5F"/>
    <w:rsid w:val="008C65F9"/>
    <w:rsid w:val="008D0A83"/>
    <w:rsid w:val="008D0E94"/>
    <w:rsid w:val="008D1E9A"/>
    <w:rsid w:val="008D1E9F"/>
    <w:rsid w:val="008D263F"/>
    <w:rsid w:val="008D3ACE"/>
    <w:rsid w:val="008D41CA"/>
    <w:rsid w:val="008D4222"/>
    <w:rsid w:val="008D7436"/>
    <w:rsid w:val="008D770D"/>
    <w:rsid w:val="008D7A78"/>
    <w:rsid w:val="008E0702"/>
    <w:rsid w:val="008E13A1"/>
    <w:rsid w:val="008E19BC"/>
    <w:rsid w:val="008E3280"/>
    <w:rsid w:val="008E417C"/>
    <w:rsid w:val="008E4B36"/>
    <w:rsid w:val="008E500B"/>
    <w:rsid w:val="008E50DD"/>
    <w:rsid w:val="008E57CA"/>
    <w:rsid w:val="008E58D7"/>
    <w:rsid w:val="008E5965"/>
    <w:rsid w:val="008E61EF"/>
    <w:rsid w:val="008E73DD"/>
    <w:rsid w:val="008E7EB9"/>
    <w:rsid w:val="008F10A2"/>
    <w:rsid w:val="008F2F3F"/>
    <w:rsid w:val="008F3581"/>
    <w:rsid w:val="008F44EC"/>
    <w:rsid w:val="008F4FFB"/>
    <w:rsid w:val="008F5C92"/>
    <w:rsid w:val="008F5F06"/>
    <w:rsid w:val="008F661C"/>
    <w:rsid w:val="008F791D"/>
    <w:rsid w:val="008F79FA"/>
    <w:rsid w:val="008F7A93"/>
    <w:rsid w:val="009001CD"/>
    <w:rsid w:val="00901063"/>
    <w:rsid w:val="009013C4"/>
    <w:rsid w:val="00901660"/>
    <w:rsid w:val="00901C42"/>
    <w:rsid w:val="009032A5"/>
    <w:rsid w:val="00903E05"/>
    <w:rsid w:val="00903FA1"/>
    <w:rsid w:val="00904318"/>
    <w:rsid w:val="009058F7"/>
    <w:rsid w:val="00905F24"/>
    <w:rsid w:val="009064E9"/>
    <w:rsid w:val="00906C38"/>
    <w:rsid w:val="009073B9"/>
    <w:rsid w:val="00911913"/>
    <w:rsid w:val="00912229"/>
    <w:rsid w:val="00912902"/>
    <w:rsid w:val="00912CDC"/>
    <w:rsid w:val="00912DDB"/>
    <w:rsid w:val="00913B0A"/>
    <w:rsid w:val="009145DC"/>
    <w:rsid w:val="0091488E"/>
    <w:rsid w:val="00914EA0"/>
    <w:rsid w:val="00916062"/>
    <w:rsid w:val="0091628B"/>
    <w:rsid w:val="009164C0"/>
    <w:rsid w:val="0091668D"/>
    <w:rsid w:val="009175FC"/>
    <w:rsid w:val="009206A5"/>
    <w:rsid w:val="00920856"/>
    <w:rsid w:val="00921D5B"/>
    <w:rsid w:val="00923086"/>
    <w:rsid w:val="009241E9"/>
    <w:rsid w:val="009257D4"/>
    <w:rsid w:val="00926034"/>
    <w:rsid w:val="0092689C"/>
    <w:rsid w:val="00927FDD"/>
    <w:rsid w:val="0093029C"/>
    <w:rsid w:val="009307A5"/>
    <w:rsid w:val="00930D95"/>
    <w:rsid w:val="009345A2"/>
    <w:rsid w:val="0093468C"/>
    <w:rsid w:val="00936E37"/>
    <w:rsid w:val="009376C4"/>
    <w:rsid w:val="0094084E"/>
    <w:rsid w:val="00940B10"/>
    <w:rsid w:val="0094215F"/>
    <w:rsid w:val="0094290A"/>
    <w:rsid w:val="00942966"/>
    <w:rsid w:val="00944C3D"/>
    <w:rsid w:val="00944C43"/>
    <w:rsid w:val="00944DC2"/>
    <w:rsid w:val="00945EE1"/>
    <w:rsid w:val="00946DBF"/>
    <w:rsid w:val="0094745B"/>
    <w:rsid w:val="00950544"/>
    <w:rsid w:val="00951D3A"/>
    <w:rsid w:val="0095224F"/>
    <w:rsid w:val="009538A7"/>
    <w:rsid w:val="009538F6"/>
    <w:rsid w:val="0095463C"/>
    <w:rsid w:val="00955E33"/>
    <w:rsid w:val="0095606B"/>
    <w:rsid w:val="009561D1"/>
    <w:rsid w:val="00956670"/>
    <w:rsid w:val="00956CFF"/>
    <w:rsid w:val="00956F21"/>
    <w:rsid w:val="00956F57"/>
    <w:rsid w:val="0095795D"/>
    <w:rsid w:val="009606D8"/>
    <w:rsid w:val="0096155C"/>
    <w:rsid w:val="00962FDC"/>
    <w:rsid w:val="00963213"/>
    <w:rsid w:val="00963B2E"/>
    <w:rsid w:val="0096406D"/>
    <w:rsid w:val="00964092"/>
    <w:rsid w:val="00964431"/>
    <w:rsid w:val="009648F0"/>
    <w:rsid w:val="00964DF4"/>
    <w:rsid w:val="00964EB7"/>
    <w:rsid w:val="00965703"/>
    <w:rsid w:val="00965845"/>
    <w:rsid w:val="00966443"/>
    <w:rsid w:val="00966AFD"/>
    <w:rsid w:val="00966B31"/>
    <w:rsid w:val="009674D3"/>
    <w:rsid w:val="009704D1"/>
    <w:rsid w:val="00971B77"/>
    <w:rsid w:val="00971DAF"/>
    <w:rsid w:val="0097240E"/>
    <w:rsid w:val="00972482"/>
    <w:rsid w:val="00972FA8"/>
    <w:rsid w:val="0097337B"/>
    <w:rsid w:val="00973D6D"/>
    <w:rsid w:val="00973FC9"/>
    <w:rsid w:val="00974104"/>
    <w:rsid w:val="009743BF"/>
    <w:rsid w:val="009755E8"/>
    <w:rsid w:val="009756A4"/>
    <w:rsid w:val="00975845"/>
    <w:rsid w:val="00976B79"/>
    <w:rsid w:val="00977AE6"/>
    <w:rsid w:val="00980480"/>
    <w:rsid w:val="00980F78"/>
    <w:rsid w:val="00981943"/>
    <w:rsid w:val="00981E21"/>
    <w:rsid w:val="009837D5"/>
    <w:rsid w:val="009840CF"/>
    <w:rsid w:val="0098558D"/>
    <w:rsid w:val="00985D31"/>
    <w:rsid w:val="00986210"/>
    <w:rsid w:val="00987574"/>
    <w:rsid w:val="009878C8"/>
    <w:rsid w:val="00990008"/>
    <w:rsid w:val="00990188"/>
    <w:rsid w:val="00991179"/>
    <w:rsid w:val="00994D09"/>
    <w:rsid w:val="0099614C"/>
    <w:rsid w:val="00996151"/>
    <w:rsid w:val="009970F1"/>
    <w:rsid w:val="009978C7"/>
    <w:rsid w:val="009A0045"/>
    <w:rsid w:val="009A0346"/>
    <w:rsid w:val="009A12A9"/>
    <w:rsid w:val="009A22B3"/>
    <w:rsid w:val="009A2303"/>
    <w:rsid w:val="009A266A"/>
    <w:rsid w:val="009A359E"/>
    <w:rsid w:val="009A3F72"/>
    <w:rsid w:val="009A50FB"/>
    <w:rsid w:val="009A59AC"/>
    <w:rsid w:val="009A59E3"/>
    <w:rsid w:val="009A5B57"/>
    <w:rsid w:val="009A5D40"/>
    <w:rsid w:val="009A6859"/>
    <w:rsid w:val="009A6981"/>
    <w:rsid w:val="009A71DF"/>
    <w:rsid w:val="009A7266"/>
    <w:rsid w:val="009A7AE6"/>
    <w:rsid w:val="009A7D23"/>
    <w:rsid w:val="009B119B"/>
    <w:rsid w:val="009B1882"/>
    <w:rsid w:val="009B1DD0"/>
    <w:rsid w:val="009B221C"/>
    <w:rsid w:val="009B2594"/>
    <w:rsid w:val="009B3FC8"/>
    <w:rsid w:val="009B4E62"/>
    <w:rsid w:val="009B6564"/>
    <w:rsid w:val="009B6EE4"/>
    <w:rsid w:val="009B7FC6"/>
    <w:rsid w:val="009C0E9F"/>
    <w:rsid w:val="009C17BB"/>
    <w:rsid w:val="009C188F"/>
    <w:rsid w:val="009C1977"/>
    <w:rsid w:val="009C25F6"/>
    <w:rsid w:val="009C4AC2"/>
    <w:rsid w:val="009C4D36"/>
    <w:rsid w:val="009C5A0E"/>
    <w:rsid w:val="009C5ECE"/>
    <w:rsid w:val="009C5ED3"/>
    <w:rsid w:val="009C69B5"/>
    <w:rsid w:val="009D028A"/>
    <w:rsid w:val="009D0BE3"/>
    <w:rsid w:val="009D0D1D"/>
    <w:rsid w:val="009D18F1"/>
    <w:rsid w:val="009D2FB8"/>
    <w:rsid w:val="009D3752"/>
    <w:rsid w:val="009D402E"/>
    <w:rsid w:val="009D425A"/>
    <w:rsid w:val="009D4B51"/>
    <w:rsid w:val="009D57F2"/>
    <w:rsid w:val="009D5A76"/>
    <w:rsid w:val="009D611E"/>
    <w:rsid w:val="009D65A3"/>
    <w:rsid w:val="009E0069"/>
    <w:rsid w:val="009E0956"/>
    <w:rsid w:val="009E10C2"/>
    <w:rsid w:val="009E1D0C"/>
    <w:rsid w:val="009E2273"/>
    <w:rsid w:val="009E2FD1"/>
    <w:rsid w:val="009E5994"/>
    <w:rsid w:val="009E5B7D"/>
    <w:rsid w:val="009E5DD4"/>
    <w:rsid w:val="009E5DE4"/>
    <w:rsid w:val="009E63A4"/>
    <w:rsid w:val="009E697A"/>
    <w:rsid w:val="009F0710"/>
    <w:rsid w:val="009F170C"/>
    <w:rsid w:val="009F2383"/>
    <w:rsid w:val="009F2616"/>
    <w:rsid w:val="009F2644"/>
    <w:rsid w:val="009F2CE4"/>
    <w:rsid w:val="009F3677"/>
    <w:rsid w:val="009F43D1"/>
    <w:rsid w:val="009F4FCF"/>
    <w:rsid w:val="009F61FD"/>
    <w:rsid w:val="009F6D10"/>
    <w:rsid w:val="009F7020"/>
    <w:rsid w:val="009F7059"/>
    <w:rsid w:val="00A0018A"/>
    <w:rsid w:val="00A00AD0"/>
    <w:rsid w:val="00A00FA5"/>
    <w:rsid w:val="00A02262"/>
    <w:rsid w:val="00A02CB5"/>
    <w:rsid w:val="00A031F0"/>
    <w:rsid w:val="00A0499A"/>
    <w:rsid w:val="00A051E0"/>
    <w:rsid w:val="00A05D12"/>
    <w:rsid w:val="00A05DBA"/>
    <w:rsid w:val="00A07FF1"/>
    <w:rsid w:val="00A10230"/>
    <w:rsid w:val="00A10772"/>
    <w:rsid w:val="00A10C72"/>
    <w:rsid w:val="00A119E8"/>
    <w:rsid w:val="00A1602E"/>
    <w:rsid w:val="00A16321"/>
    <w:rsid w:val="00A169F0"/>
    <w:rsid w:val="00A17F44"/>
    <w:rsid w:val="00A204C0"/>
    <w:rsid w:val="00A21613"/>
    <w:rsid w:val="00A2229F"/>
    <w:rsid w:val="00A228E4"/>
    <w:rsid w:val="00A23212"/>
    <w:rsid w:val="00A234BD"/>
    <w:rsid w:val="00A23F03"/>
    <w:rsid w:val="00A253BF"/>
    <w:rsid w:val="00A257DB"/>
    <w:rsid w:val="00A25C5E"/>
    <w:rsid w:val="00A26CAD"/>
    <w:rsid w:val="00A27B8A"/>
    <w:rsid w:val="00A27C78"/>
    <w:rsid w:val="00A27E22"/>
    <w:rsid w:val="00A32120"/>
    <w:rsid w:val="00A32906"/>
    <w:rsid w:val="00A32A76"/>
    <w:rsid w:val="00A32EEA"/>
    <w:rsid w:val="00A33041"/>
    <w:rsid w:val="00A3326E"/>
    <w:rsid w:val="00A33F47"/>
    <w:rsid w:val="00A3435C"/>
    <w:rsid w:val="00A347BB"/>
    <w:rsid w:val="00A3594E"/>
    <w:rsid w:val="00A35F1D"/>
    <w:rsid w:val="00A36397"/>
    <w:rsid w:val="00A37772"/>
    <w:rsid w:val="00A37A0E"/>
    <w:rsid w:val="00A4061F"/>
    <w:rsid w:val="00A421A6"/>
    <w:rsid w:val="00A43B3A"/>
    <w:rsid w:val="00A45025"/>
    <w:rsid w:val="00A45096"/>
    <w:rsid w:val="00A46679"/>
    <w:rsid w:val="00A50194"/>
    <w:rsid w:val="00A50C75"/>
    <w:rsid w:val="00A51730"/>
    <w:rsid w:val="00A51CE0"/>
    <w:rsid w:val="00A52709"/>
    <w:rsid w:val="00A52A04"/>
    <w:rsid w:val="00A536CA"/>
    <w:rsid w:val="00A53BF7"/>
    <w:rsid w:val="00A53ED6"/>
    <w:rsid w:val="00A53EEE"/>
    <w:rsid w:val="00A542C8"/>
    <w:rsid w:val="00A5477A"/>
    <w:rsid w:val="00A54943"/>
    <w:rsid w:val="00A55A16"/>
    <w:rsid w:val="00A55A62"/>
    <w:rsid w:val="00A56046"/>
    <w:rsid w:val="00A618CF"/>
    <w:rsid w:val="00A62362"/>
    <w:rsid w:val="00A63EEC"/>
    <w:rsid w:val="00A6437F"/>
    <w:rsid w:val="00A6442C"/>
    <w:rsid w:val="00A64A5E"/>
    <w:rsid w:val="00A64C17"/>
    <w:rsid w:val="00A64F52"/>
    <w:rsid w:val="00A65E39"/>
    <w:rsid w:val="00A666DE"/>
    <w:rsid w:val="00A67498"/>
    <w:rsid w:val="00A7069D"/>
    <w:rsid w:val="00A70814"/>
    <w:rsid w:val="00A70AC1"/>
    <w:rsid w:val="00A70EAB"/>
    <w:rsid w:val="00A70F4D"/>
    <w:rsid w:val="00A716EC"/>
    <w:rsid w:val="00A71926"/>
    <w:rsid w:val="00A71C2C"/>
    <w:rsid w:val="00A723FB"/>
    <w:rsid w:val="00A745DF"/>
    <w:rsid w:val="00A7661F"/>
    <w:rsid w:val="00A776BC"/>
    <w:rsid w:val="00A77B1B"/>
    <w:rsid w:val="00A803F3"/>
    <w:rsid w:val="00A825A1"/>
    <w:rsid w:val="00A82D90"/>
    <w:rsid w:val="00A84DA6"/>
    <w:rsid w:val="00A853EA"/>
    <w:rsid w:val="00A86F71"/>
    <w:rsid w:val="00A87FFA"/>
    <w:rsid w:val="00A90848"/>
    <w:rsid w:val="00A92AB4"/>
    <w:rsid w:val="00A93B74"/>
    <w:rsid w:val="00A9442B"/>
    <w:rsid w:val="00A94D51"/>
    <w:rsid w:val="00A95B8A"/>
    <w:rsid w:val="00A95BC6"/>
    <w:rsid w:val="00A9733E"/>
    <w:rsid w:val="00A976CE"/>
    <w:rsid w:val="00AA136E"/>
    <w:rsid w:val="00AA272F"/>
    <w:rsid w:val="00AA2951"/>
    <w:rsid w:val="00AA4907"/>
    <w:rsid w:val="00AA6BF7"/>
    <w:rsid w:val="00AA73A2"/>
    <w:rsid w:val="00AA7925"/>
    <w:rsid w:val="00AB042D"/>
    <w:rsid w:val="00AB0B8F"/>
    <w:rsid w:val="00AB0CAF"/>
    <w:rsid w:val="00AB15AA"/>
    <w:rsid w:val="00AB1D3D"/>
    <w:rsid w:val="00AB2548"/>
    <w:rsid w:val="00AB2C13"/>
    <w:rsid w:val="00AB2C40"/>
    <w:rsid w:val="00AB3B1E"/>
    <w:rsid w:val="00AB4A61"/>
    <w:rsid w:val="00AB62B5"/>
    <w:rsid w:val="00AB6331"/>
    <w:rsid w:val="00AB6ACC"/>
    <w:rsid w:val="00AC0D08"/>
    <w:rsid w:val="00AC182F"/>
    <w:rsid w:val="00AC249B"/>
    <w:rsid w:val="00AC2ABC"/>
    <w:rsid w:val="00AC2BCC"/>
    <w:rsid w:val="00AC325E"/>
    <w:rsid w:val="00AC478F"/>
    <w:rsid w:val="00AC61F9"/>
    <w:rsid w:val="00AC64D6"/>
    <w:rsid w:val="00AC64D7"/>
    <w:rsid w:val="00AC64DC"/>
    <w:rsid w:val="00AC728B"/>
    <w:rsid w:val="00AC76B7"/>
    <w:rsid w:val="00AC7E7F"/>
    <w:rsid w:val="00AD09CF"/>
    <w:rsid w:val="00AD0AAC"/>
    <w:rsid w:val="00AD0D23"/>
    <w:rsid w:val="00AD0F76"/>
    <w:rsid w:val="00AD18C9"/>
    <w:rsid w:val="00AD21F9"/>
    <w:rsid w:val="00AD30CD"/>
    <w:rsid w:val="00AD37B1"/>
    <w:rsid w:val="00AD54B1"/>
    <w:rsid w:val="00AD557C"/>
    <w:rsid w:val="00AD57ED"/>
    <w:rsid w:val="00AD5BBB"/>
    <w:rsid w:val="00AD6D2B"/>
    <w:rsid w:val="00AD750D"/>
    <w:rsid w:val="00AD760F"/>
    <w:rsid w:val="00AE0045"/>
    <w:rsid w:val="00AE0ED9"/>
    <w:rsid w:val="00AE1358"/>
    <w:rsid w:val="00AE1579"/>
    <w:rsid w:val="00AE1CA8"/>
    <w:rsid w:val="00AE219A"/>
    <w:rsid w:val="00AE24AD"/>
    <w:rsid w:val="00AE3B38"/>
    <w:rsid w:val="00AE5877"/>
    <w:rsid w:val="00AE5B3B"/>
    <w:rsid w:val="00AE6076"/>
    <w:rsid w:val="00AE6324"/>
    <w:rsid w:val="00AE6B27"/>
    <w:rsid w:val="00AE7647"/>
    <w:rsid w:val="00AE7EBD"/>
    <w:rsid w:val="00AF0013"/>
    <w:rsid w:val="00AF018E"/>
    <w:rsid w:val="00AF14BA"/>
    <w:rsid w:val="00AF20C7"/>
    <w:rsid w:val="00AF2FB9"/>
    <w:rsid w:val="00AF361A"/>
    <w:rsid w:val="00AF3D2E"/>
    <w:rsid w:val="00AF3FC5"/>
    <w:rsid w:val="00AF51A5"/>
    <w:rsid w:val="00AF5D8E"/>
    <w:rsid w:val="00B003A0"/>
    <w:rsid w:val="00B00697"/>
    <w:rsid w:val="00B012BB"/>
    <w:rsid w:val="00B0175C"/>
    <w:rsid w:val="00B02F68"/>
    <w:rsid w:val="00B033F4"/>
    <w:rsid w:val="00B04262"/>
    <w:rsid w:val="00B049DC"/>
    <w:rsid w:val="00B04FAB"/>
    <w:rsid w:val="00B05E28"/>
    <w:rsid w:val="00B0654D"/>
    <w:rsid w:val="00B066DD"/>
    <w:rsid w:val="00B074C9"/>
    <w:rsid w:val="00B07883"/>
    <w:rsid w:val="00B0793F"/>
    <w:rsid w:val="00B079FA"/>
    <w:rsid w:val="00B07F67"/>
    <w:rsid w:val="00B10259"/>
    <w:rsid w:val="00B112C6"/>
    <w:rsid w:val="00B11838"/>
    <w:rsid w:val="00B11C0E"/>
    <w:rsid w:val="00B12205"/>
    <w:rsid w:val="00B133AD"/>
    <w:rsid w:val="00B1367D"/>
    <w:rsid w:val="00B1438E"/>
    <w:rsid w:val="00B14D6D"/>
    <w:rsid w:val="00B1556C"/>
    <w:rsid w:val="00B162E9"/>
    <w:rsid w:val="00B16A6D"/>
    <w:rsid w:val="00B17745"/>
    <w:rsid w:val="00B20838"/>
    <w:rsid w:val="00B22D91"/>
    <w:rsid w:val="00B2355C"/>
    <w:rsid w:val="00B23DF9"/>
    <w:rsid w:val="00B246F7"/>
    <w:rsid w:val="00B25A0D"/>
    <w:rsid w:val="00B26185"/>
    <w:rsid w:val="00B26688"/>
    <w:rsid w:val="00B27617"/>
    <w:rsid w:val="00B278AB"/>
    <w:rsid w:val="00B313B1"/>
    <w:rsid w:val="00B31785"/>
    <w:rsid w:val="00B317C2"/>
    <w:rsid w:val="00B31EE2"/>
    <w:rsid w:val="00B3262F"/>
    <w:rsid w:val="00B3364F"/>
    <w:rsid w:val="00B34897"/>
    <w:rsid w:val="00B41E39"/>
    <w:rsid w:val="00B41E6C"/>
    <w:rsid w:val="00B42E75"/>
    <w:rsid w:val="00B444FB"/>
    <w:rsid w:val="00B44A71"/>
    <w:rsid w:val="00B44CAB"/>
    <w:rsid w:val="00B45185"/>
    <w:rsid w:val="00B45248"/>
    <w:rsid w:val="00B465EA"/>
    <w:rsid w:val="00B470E1"/>
    <w:rsid w:val="00B4755D"/>
    <w:rsid w:val="00B4774C"/>
    <w:rsid w:val="00B47868"/>
    <w:rsid w:val="00B47BA4"/>
    <w:rsid w:val="00B47BF4"/>
    <w:rsid w:val="00B47D9D"/>
    <w:rsid w:val="00B50ACE"/>
    <w:rsid w:val="00B51887"/>
    <w:rsid w:val="00B51CCC"/>
    <w:rsid w:val="00B51E3D"/>
    <w:rsid w:val="00B51EE8"/>
    <w:rsid w:val="00B53968"/>
    <w:rsid w:val="00B53AC2"/>
    <w:rsid w:val="00B5432E"/>
    <w:rsid w:val="00B543F1"/>
    <w:rsid w:val="00B54F4A"/>
    <w:rsid w:val="00B5639E"/>
    <w:rsid w:val="00B565BB"/>
    <w:rsid w:val="00B56AE9"/>
    <w:rsid w:val="00B56DFE"/>
    <w:rsid w:val="00B56EAC"/>
    <w:rsid w:val="00B574B7"/>
    <w:rsid w:val="00B61137"/>
    <w:rsid w:val="00B6165E"/>
    <w:rsid w:val="00B6173A"/>
    <w:rsid w:val="00B6235C"/>
    <w:rsid w:val="00B62383"/>
    <w:rsid w:val="00B631AA"/>
    <w:rsid w:val="00B63766"/>
    <w:rsid w:val="00B63A84"/>
    <w:rsid w:val="00B64186"/>
    <w:rsid w:val="00B64F28"/>
    <w:rsid w:val="00B65041"/>
    <w:rsid w:val="00B667A3"/>
    <w:rsid w:val="00B6705B"/>
    <w:rsid w:val="00B6706E"/>
    <w:rsid w:val="00B67D2C"/>
    <w:rsid w:val="00B70399"/>
    <w:rsid w:val="00B70638"/>
    <w:rsid w:val="00B708C2"/>
    <w:rsid w:val="00B70F99"/>
    <w:rsid w:val="00B721F1"/>
    <w:rsid w:val="00B72205"/>
    <w:rsid w:val="00B7301D"/>
    <w:rsid w:val="00B73510"/>
    <w:rsid w:val="00B74C85"/>
    <w:rsid w:val="00B7624D"/>
    <w:rsid w:val="00B773AF"/>
    <w:rsid w:val="00B8184A"/>
    <w:rsid w:val="00B82927"/>
    <w:rsid w:val="00B84234"/>
    <w:rsid w:val="00B84836"/>
    <w:rsid w:val="00B85294"/>
    <w:rsid w:val="00B86892"/>
    <w:rsid w:val="00B868F6"/>
    <w:rsid w:val="00B86B1B"/>
    <w:rsid w:val="00B86BA8"/>
    <w:rsid w:val="00B87E11"/>
    <w:rsid w:val="00B90752"/>
    <w:rsid w:val="00B91B0B"/>
    <w:rsid w:val="00B93A22"/>
    <w:rsid w:val="00B93C52"/>
    <w:rsid w:val="00B94213"/>
    <w:rsid w:val="00B94329"/>
    <w:rsid w:val="00B9452B"/>
    <w:rsid w:val="00B95003"/>
    <w:rsid w:val="00B95676"/>
    <w:rsid w:val="00B96D6A"/>
    <w:rsid w:val="00B977A7"/>
    <w:rsid w:val="00B97B9D"/>
    <w:rsid w:val="00B97E88"/>
    <w:rsid w:val="00BA0662"/>
    <w:rsid w:val="00BA06EB"/>
    <w:rsid w:val="00BA0D8A"/>
    <w:rsid w:val="00BA1CBC"/>
    <w:rsid w:val="00BA2BD4"/>
    <w:rsid w:val="00BA2F9A"/>
    <w:rsid w:val="00BA3274"/>
    <w:rsid w:val="00BA51C9"/>
    <w:rsid w:val="00BA5671"/>
    <w:rsid w:val="00BA601F"/>
    <w:rsid w:val="00BA6ABC"/>
    <w:rsid w:val="00BA6D6A"/>
    <w:rsid w:val="00BB0328"/>
    <w:rsid w:val="00BB11E7"/>
    <w:rsid w:val="00BB411A"/>
    <w:rsid w:val="00BB4B9D"/>
    <w:rsid w:val="00BB4C7F"/>
    <w:rsid w:val="00BB4DD2"/>
    <w:rsid w:val="00BB53B6"/>
    <w:rsid w:val="00BB56B4"/>
    <w:rsid w:val="00BB59B9"/>
    <w:rsid w:val="00BB5D72"/>
    <w:rsid w:val="00BB61EF"/>
    <w:rsid w:val="00BB64A3"/>
    <w:rsid w:val="00BC130B"/>
    <w:rsid w:val="00BC1D53"/>
    <w:rsid w:val="00BC2C71"/>
    <w:rsid w:val="00BC32E3"/>
    <w:rsid w:val="00BC3487"/>
    <w:rsid w:val="00BC3D90"/>
    <w:rsid w:val="00BC5524"/>
    <w:rsid w:val="00BC672E"/>
    <w:rsid w:val="00BC7D05"/>
    <w:rsid w:val="00BD0E34"/>
    <w:rsid w:val="00BD1990"/>
    <w:rsid w:val="00BD1F28"/>
    <w:rsid w:val="00BD1F82"/>
    <w:rsid w:val="00BD2075"/>
    <w:rsid w:val="00BD2A4C"/>
    <w:rsid w:val="00BD2C5F"/>
    <w:rsid w:val="00BD2EB6"/>
    <w:rsid w:val="00BD33DC"/>
    <w:rsid w:val="00BD3B16"/>
    <w:rsid w:val="00BD5112"/>
    <w:rsid w:val="00BD51B7"/>
    <w:rsid w:val="00BD5A8C"/>
    <w:rsid w:val="00BD6407"/>
    <w:rsid w:val="00BD659F"/>
    <w:rsid w:val="00BD6610"/>
    <w:rsid w:val="00BE0072"/>
    <w:rsid w:val="00BE1796"/>
    <w:rsid w:val="00BE2AB6"/>
    <w:rsid w:val="00BE2EC0"/>
    <w:rsid w:val="00BE37AA"/>
    <w:rsid w:val="00BE3B96"/>
    <w:rsid w:val="00BE400E"/>
    <w:rsid w:val="00BE5557"/>
    <w:rsid w:val="00BE5F9B"/>
    <w:rsid w:val="00BE6BCD"/>
    <w:rsid w:val="00BE7067"/>
    <w:rsid w:val="00BE7AE4"/>
    <w:rsid w:val="00BF0FAC"/>
    <w:rsid w:val="00BF1696"/>
    <w:rsid w:val="00BF170B"/>
    <w:rsid w:val="00BF1902"/>
    <w:rsid w:val="00BF2041"/>
    <w:rsid w:val="00BF2C4E"/>
    <w:rsid w:val="00BF3774"/>
    <w:rsid w:val="00BF4927"/>
    <w:rsid w:val="00BF526C"/>
    <w:rsid w:val="00BF58FE"/>
    <w:rsid w:val="00BF6677"/>
    <w:rsid w:val="00BF7EAA"/>
    <w:rsid w:val="00C0078B"/>
    <w:rsid w:val="00C00D7E"/>
    <w:rsid w:val="00C02E1A"/>
    <w:rsid w:val="00C02F08"/>
    <w:rsid w:val="00C03AE7"/>
    <w:rsid w:val="00C05EA0"/>
    <w:rsid w:val="00C07F75"/>
    <w:rsid w:val="00C1041F"/>
    <w:rsid w:val="00C10813"/>
    <w:rsid w:val="00C10881"/>
    <w:rsid w:val="00C10DC2"/>
    <w:rsid w:val="00C116B9"/>
    <w:rsid w:val="00C11B64"/>
    <w:rsid w:val="00C11C2B"/>
    <w:rsid w:val="00C12A0D"/>
    <w:rsid w:val="00C13844"/>
    <w:rsid w:val="00C13AD0"/>
    <w:rsid w:val="00C13F6C"/>
    <w:rsid w:val="00C14020"/>
    <w:rsid w:val="00C14029"/>
    <w:rsid w:val="00C140EE"/>
    <w:rsid w:val="00C142D5"/>
    <w:rsid w:val="00C14E2F"/>
    <w:rsid w:val="00C16315"/>
    <w:rsid w:val="00C165CC"/>
    <w:rsid w:val="00C16793"/>
    <w:rsid w:val="00C16B20"/>
    <w:rsid w:val="00C16C5B"/>
    <w:rsid w:val="00C172B9"/>
    <w:rsid w:val="00C17395"/>
    <w:rsid w:val="00C20E16"/>
    <w:rsid w:val="00C22432"/>
    <w:rsid w:val="00C22DD7"/>
    <w:rsid w:val="00C23479"/>
    <w:rsid w:val="00C245EA"/>
    <w:rsid w:val="00C24765"/>
    <w:rsid w:val="00C24D55"/>
    <w:rsid w:val="00C25466"/>
    <w:rsid w:val="00C25A02"/>
    <w:rsid w:val="00C27662"/>
    <w:rsid w:val="00C30C46"/>
    <w:rsid w:val="00C31549"/>
    <w:rsid w:val="00C3264D"/>
    <w:rsid w:val="00C33431"/>
    <w:rsid w:val="00C33EDD"/>
    <w:rsid w:val="00C35770"/>
    <w:rsid w:val="00C3613B"/>
    <w:rsid w:val="00C3625D"/>
    <w:rsid w:val="00C3640E"/>
    <w:rsid w:val="00C36CF4"/>
    <w:rsid w:val="00C4085E"/>
    <w:rsid w:val="00C4286A"/>
    <w:rsid w:val="00C42CA5"/>
    <w:rsid w:val="00C42D10"/>
    <w:rsid w:val="00C42D22"/>
    <w:rsid w:val="00C43046"/>
    <w:rsid w:val="00C454E1"/>
    <w:rsid w:val="00C4557A"/>
    <w:rsid w:val="00C47459"/>
    <w:rsid w:val="00C47AC6"/>
    <w:rsid w:val="00C47ADC"/>
    <w:rsid w:val="00C5045E"/>
    <w:rsid w:val="00C505F5"/>
    <w:rsid w:val="00C50897"/>
    <w:rsid w:val="00C5138D"/>
    <w:rsid w:val="00C51579"/>
    <w:rsid w:val="00C51794"/>
    <w:rsid w:val="00C51BD6"/>
    <w:rsid w:val="00C540AA"/>
    <w:rsid w:val="00C54A89"/>
    <w:rsid w:val="00C55BF3"/>
    <w:rsid w:val="00C56164"/>
    <w:rsid w:val="00C57267"/>
    <w:rsid w:val="00C57809"/>
    <w:rsid w:val="00C602CD"/>
    <w:rsid w:val="00C617CF"/>
    <w:rsid w:val="00C61C7D"/>
    <w:rsid w:val="00C628E1"/>
    <w:rsid w:val="00C63C23"/>
    <w:rsid w:val="00C63C75"/>
    <w:rsid w:val="00C63D2B"/>
    <w:rsid w:val="00C63F8E"/>
    <w:rsid w:val="00C644C9"/>
    <w:rsid w:val="00C649CA"/>
    <w:rsid w:val="00C6553B"/>
    <w:rsid w:val="00C666C3"/>
    <w:rsid w:val="00C676DB"/>
    <w:rsid w:val="00C70313"/>
    <w:rsid w:val="00C712BB"/>
    <w:rsid w:val="00C71746"/>
    <w:rsid w:val="00C726A4"/>
    <w:rsid w:val="00C7288B"/>
    <w:rsid w:val="00C72FC9"/>
    <w:rsid w:val="00C73335"/>
    <w:rsid w:val="00C73403"/>
    <w:rsid w:val="00C736F0"/>
    <w:rsid w:val="00C745B5"/>
    <w:rsid w:val="00C74D9B"/>
    <w:rsid w:val="00C74DDB"/>
    <w:rsid w:val="00C76418"/>
    <w:rsid w:val="00C77ABE"/>
    <w:rsid w:val="00C77C25"/>
    <w:rsid w:val="00C80C58"/>
    <w:rsid w:val="00C812A5"/>
    <w:rsid w:val="00C8142D"/>
    <w:rsid w:val="00C81449"/>
    <w:rsid w:val="00C81A8A"/>
    <w:rsid w:val="00C82C76"/>
    <w:rsid w:val="00C83A14"/>
    <w:rsid w:val="00C83C41"/>
    <w:rsid w:val="00C8536B"/>
    <w:rsid w:val="00C8667B"/>
    <w:rsid w:val="00C870C7"/>
    <w:rsid w:val="00C874E5"/>
    <w:rsid w:val="00C87B2A"/>
    <w:rsid w:val="00C87F52"/>
    <w:rsid w:val="00C9076B"/>
    <w:rsid w:val="00C91568"/>
    <w:rsid w:val="00C91C2B"/>
    <w:rsid w:val="00C92AAC"/>
    <w:rsid w:val="00C92AC0"/>
    <w:rsid w:val="00C930BB"/>
    <w:rsid w:val="00C95CF0"/>
    <w:rsid w:val="00C97C05"/>
    <w:rsid w:val="00CA1CA8"/>
    <w:rsid w:val="00CA2DFE"/>
    <w:rsid w:val="00CA5FA9"/>
    <w:rsid w:val="00CA6CA1"/>
    <w:rsid w:val="00CA7020"/>
    <w:rsid w:val="00CA7734"/>
    <w:rsid w:val="00CA7FDD"/>
    <w:rsid w:val="00CB116F"/>
    <w:rsid w:val="00CB124A"/>
    <w:rsid w:val="00CB1614"/>
    <w:rsid w:val="00CB5EDE"/>
    <w:rsid w:val="00CB66E2"/>
    <w:rsid w:val="00CB68EA"/>
    <w:rsid w:val="00CC065C"/>
    <w:rsid w:val="00CC0E2D"/>
    <w:rsid w:val="00CC1C87"/>
    <w:rsid w:val="00CC25C9"/>
    <w:rsid w:val="00CC2AB0"/>
    <w:rsid w:val="00CC374F"/>
    <w:rsid w:val="00CC3B7C"/>
    <w:rsid w:val="00CC4BA3"/>
    <w:rsid w:val="00CC56F5"/>
    <w:rsid w:val="00CC5892"/>
    <w:rsid w:val="00CC6E24"/>
    <w:rsid w:val="00CC6ED0"/>
    <w:rsid w:val="00CC7A8C"/>
    <w:rsid w:val="00CD05F0"/>
    <w:rsid w:val="00CD1A8A"/>
    <w:rsid w:val="00CD20FB"/>
    <w:rsid w:val="00CD217E"/>
    <w:rsid w:val="00CD3A45"/>
    <w:rsid w:val="00CD3C4F"/>
    <w:rsid w:val="00CD45D3"/>
    <w:rsid w:val="00CD590E"/>
    <w:rsid w:val="00CD5EB4"/>
    <w:rsid w:val="00CD5EF3"/>
    <w:rsid w:val="00CD6069"/>
    <w:rsid w:val="00CD669A"/>
    <w:rsid w:val="00CD6925"/>
    <w:rsid w:val="00CD7E80"/>
    <w:rsid w:val="00CE1F13"/>
    <w:rsid w:val="00CE2346"/>
    <w:rsid w:val="00CE3482"/>
    <w:rsid w:val="00CE3555"/>
    <w:rsid w:val="00CE3937"/>
    <w:rsid w:val="00CE53AD"/>
    <w:rsid w:val="00CE5ABF"/>
    <w:rsid w:val="00CE7C17"/>
    <w:rsid w:val="00CE7E67"/>
    <w:rsid w:val="00CF0F67"/>
    <w:rsid w:val="00CF1152"/>
    <w:rsid w:val="00CF1CDE"/>
    <w:rsid w:val="00CF251B"/>
    <w:rsid w:val="00CF27A5"/>
    <w:rsid w:val="00CF29ED"/>
    <w:rsid w:val="00CF3451"/>
    <w:rsid w:val="00CF403F"/>
    <w:rsid w:val="00CF4A42"/>
    <w:rsid w:val="00CF4BD3"/>
    <w:rsid w:val="00CF4CC3"/>
    <w:rsid w:val="00CF4D26"/>
    <w:rsid w:val="00CF6150"/>
    <w:rsid w:val="00D011FB"/>
    <w:rsid w:val="00D0131B"/>
    <w:rsid w:val="00D01443"/>
    <w:rsid w:val="00D0195D"/>
    <w:rsid w:val="00D01D2F"/>
    <w:rsid w:val="00D02F68"/>
    <w:rsid w:val="00D038F7"/>
    <w:rsid w:val="00D0523B"/>
    <w:rsid w:val="00D05C7C"/>
    <w:rsid w:val="00D06297"/>
    <w:rsid w:val="00D1005B"/>
    <w:rsid w:val="00D10796"/>
    <w:rsid w:val="00D11241"/>
    <w:rsid w:val="00D1139E"/>
    <w:rsid w:val="00D11F39"/>
    <w:rsid w:val="00D129EA"/>
    <w:rsid w:val="00D12A25"/>
    <w:rsid w:val="00D12CCF"/>
    <w:rsid w:val="00D13425"/>
    <w:rsid w:val="00D1439A"/>
    <w:rsid w:val="00D149A8"/>
    <w:rsid w:val="00D14B3E"/>
    <w:rsid w:val="00D14E7E"/>
    <w:rsid w:val="00D161D4"/>
    <w:rsid w:val="00D17102"/>
    <w:rsid w:val="00D1771E"/>
    <w:rsid w:val="00D17F1D"/>
    <w:rsid w:val="00D205E1"/>
    <w:rsid w:val="00D20F3F"/>
    <w:rsid w:val="00D213D5"/>
    <w:rsid w:val="00D21C10"/>
    <w:rsid w:val="00D22300"/>
    <w:rsid w:val="00D2234F"/>
    <w:rsid w:val="00D22861"/>
    <w:rsid w:val="00D229C1"/>
    <w:rsid w:val="00D239B3"/>
    <w:rsid w:val="00D23FAD"/>
    <w:rsid w:val="00D2405E"/>
    <w:rsid w:val="00D24448"/>
    <w:rsid w:val="00D24777"/>
    <w:rsid w:val="00D248B0"/>
    <w:rsid w:val="00D24DCC"/>
    <w:rsid w:val="00D25B22"/>
    <w:rsid w:val="00D25BC4"/>
    <w:rsid w:val="00D26771"/>
    <w:rsid w:val="00D26A29"/>
    <w:rsid w:val="00D26D9F"/>
    <w:rsid w:val="00D3029A"/>
    <w:rsid w:val="00D31131"/>
    <w:rsid w:val="00D31D94"/>
    <w:rsid w:val="00D32CAD"/>
    <w:rsid w:val="00D334D5"/>
    <w:rsid w:val="00D33C60"/>
    <w:rsid w:val="00D34D63"/>
    <w:rsid w:val="00D35268"/>
    <w:rsid w:val="00D35556"/>
    <w:rsid w:val="00D35ED1"/>
    <w:rsid w:val="00D37BB1"/>
    <w:rsid w:val="00D37F5E"/>
    <w:rsid w:val="00D40349"/>
    <w:rsid w:val="00D40596"/>
    <w:rsid w:val="00D415F3"/>
    <w:rsid w:val="00D41FE0"/>
    <w:rsid w:val="00D4288A"/>
    <w:rsid w:val="00D439A4"/>
    <w:rsid w:val="00D43AD2"/>
    <w:rsid w:val="00D44F51"/>
    <w:rsid w:val="00D455EB"/>
    <w:rsid w:val="00D45949"/>
    <w:rsid w:val="00D45BB6"/>
    <w:rsid w:val="00D45E66"/>
    <w:rsid w:val="00D46388"/>
    <w:rsid w:val="00D4717A"/>
    <w:rsid w:val="00D47368"/>
    <w:rsid w:val="00D51517"/>
    <w:rsid w:val="00D5158D"/>
    <w:rsid w:val="00D517E3"/>
    <w:rsid w:val="00D51B3A"/>
    <w:rsid w:val="00D52CA0"/>
    <w:rsid w:val="00D52D36"/>
    <w:rsid w:val="00D54251"/>
    <w:rsid w:val="00D54403"/>
    <w:rsid w:val="00D54516"/>
    <w:rsid w:val="00D54FC8"/>
    <w:rsid w:val="00D5561C"/>
    <w:rsid w:val="00D5581F"/>
    <w:rsid w:val="00D55FBD"/>
    <w:rsid w:val="00D56E54"/>
    <w:rsid w:val="00D57352"/>
    <w:rsid w:val="00D5796C"/>
    <w:rsid w:val="00D57F20"/>
    <w:rsid w:val="00D60393"/>
    <w:rsid w:val="00D61A75"/>
    <w:rsid w:val="00D6225D"/>
    <w:rsid w:val="00D62BC3"/>
    <w:rsid w:val="00D62BFF"/>
    <w:rsid w:val="00D63FBF"/>
    <w:rsid w:val="00D64889"/>
    <w:rsid w:val="00D64AE3"/>
    <w:rsid w:val="00D65584"/>
    <w:rsid w:val="00D65C75"/>
    <w:rsid w:val="00D66AB5"/>
    <w:rsid w:val="00D66E09"/>
    <w:rsid w:val="00D67AC9"/>
    <w:rsid w:val="00D702C1"/>
    <w:rsid w:val="00D710E8"/>
    <w:rsid w:val="00D71B2B"/>
    <w:rsid w:val="00D724E5"/>
    <w:rsid w:val="00D74ADE"/>
    <w:rsid w:val="00D76816"/>
    <w:rsid w:val="00D7703E"/>
    <w:rsid w:val="00D77146"/>
    <w:rsid w:val="00D80F84"/>
    <w:rsid w:val="00D81B0B"/>
    <w:rsid w:val="00D83EE8"/>
    <w:rsid w:val="00D84869"/>
    <w:rsid w:val="00D85311"/>
    <w:rsid w:val="00D867F6"/>
    <w:rsid w:val="00D86CB5"/>
    <w:rsid w:val="00D87EB7"/>
    <w:rsid w:val="00D9012E"/>
    <w:rsid w:val="00D922F6"/>
    <w:rsid w:val="00D9296D"/>
    <w:rsid w:val="00D935C5"/>
    <w:rsid w:val="00D937A6"/>
    <w:rsid w:val="00D9431A"/>
    <w:rsid w:val="00D943A4"/>
    <w:rsid w:val="00D95505"/>
    <w:rsid w:val="00D95DA5"/>
    <w:rsid w:val="00D9697E"/>
    <w:rsid w:val="00D96BBA"/>
    <w:rsid w:val="00DA03E3"/>
    <w:rsid w:val="00DA0BD2"/>
    <w:rsid w:val="00DA1AC2"/>
    <w:rsid w:val="00DA1F54"/>
    <w:rsid w:val="00DA316F"/>
    <w:rsid w:val="00DA3A71"/>
    <w:rsid w:val="00DA45AF"/>
    <w:rsid w:val="00DA505E"/>
    <w:rsid w:val="00DA528E"/>
    <w:rsid w:val="00DA6130"/>
    <w:rsid w:val="00DA6551"/>
    <w:rsid w:val="00DB1B75"/>
    <w:rsid w:val="00DB222E"/>
    <w:rsid w:val="00DB26FB"/>
    <w:rsid w:val="00DB39BB"/>
    <w:rsid w:val="00DB5F75"/>
    <w:rsid w:val="00DB6336"/>
    <w:rsid w:val="00DB6C59"/>
    <w:rsid w:val="00DB774D"/>
    <w:rsid w:val="00DB7A45"/>
    <w:rsid w:val="00DC27F8"/>
    <w:rsid w:val="00DC3121"/>
    <w:rsid w:val="00DC33BA"/>
    <w:rsid w:val="00DC41BC"/>
    <w:rsid w:val="00DC46E9"/>
    <w:rsid w:val="00DC5FF3"/>
    <w:rsid w:val="00DC6CDC"/>
    <w:rsid w:val="00DC7633"/>
    <w:rsid w:val="00DC77C4"/>
    <w:rsid w:val="00DD06E3"/>
    <w:rsid w:val="00DD1503"/>
    <w:rsid w:val="00DD2028"/>
    <w:rsid w:val="00DD20AC"/>
    <w:rsid w:val="00DD23AC"/>
    <w:rsid w:val="00DD2646"/>
    <w:rsid w:val="00DD2CAC"/>
    <w:rsid w:val="00DD38F9"/>
    <w:rsid w:val="00DD483D"/>
    <w:rsid w:val="00DD4E9A"/>
    <w:rsid w:val="00DD665C"/>
    <w:rsid w:val="00DD7184"/>
    <w:rsid w:val="00DE0CF5"/>
    <w:rsid w:val="00DE0D84"/>
    <w:rsid w:val="00DE2693"/>
    <w:rsid w:val="00DE32C1"/>
    <w:rsid w:val="00DE407D"/>
    <w:rsid w:val="00DE56AF"/>
    <w:rsid w:val="00DE5A33"/>
    <w:rsid w:val="00DE65DE"/>
    <w:rsid w:val="00DE75C7"/>
    <w:rsid w:val="00DF0138"/>
    <w:rsid w:val="00DF1233"/>
    <w:rsid w:val="00DF124B"/>
    <w:rsid w:val="00DF1B7C"/>
    <w:rsid w:val="00DF2086"/>
    <w:rsid w:val="00DF2AE7"/>
    <w:rsid w:val="00DF3141"/>
    <w:rsid w:val="00DF367D"/>
    <w:rsid w:val="00DF3756"/>
    <w:rsid w:val="00DF497D"/>
    <w:rsid w:val="00DF58F2"/>
    <w:rsid w:val="00DF5D17"/>
    <w:rsid w:val="00DF67C2"/>
    <w:rsid w:val="00DF7F45"/>
    <w:rsid w:val="00E002EA"/>
    <w:rsid w:val="00E00453"/>
    <w:rsid w:val="00E007AD"/>
    <w:rsid w:val="00E007C2"/>
    <w:rsid w:val="00E01C61"/>
    <w:rsid w:val="00E023F4"/>
    <w:rsid w:val="00E02D82"/>
    <w:rsid w:val="00E03A32"/>
    <w:rsid w:val="00E03CE1"/>
    <w:rsid w:val="00E03DC3"/>
    <w:rsid w:val="00E0415D"/>
    <w:rsid w:val="00E05514"/>
    <w:rsid w:val="00E0566A"/>
    <w:rsid w:val="00E070DB"/>
    <w:rsid w:val="00E07B39"/>
    <w:rsid w:val="00E10322"/>
    <w:rsid w:val="00E10738"/>
    <w:rsid w:val="00E1155D"/>
    <w:rsid w:val="00E12FCA"/>
    <w:rsid w:val="00E13351"/>
    <w:rsid w:val="00E14268"/>
    <w:rsid w:val="00E15104"/>
    <w:rsid w:val="00E167A2"/>
    <w:rsid w:val="00E16C00"/>
    <w:rsid w:val="00E17BD1"/>
    <w:rsid w:val="00E20C29"/>
    <w:rsid w:val="00E21C74"/>
    <w:rsid w:val="00E226AD"/>
    <w:rsid w:val="00E229ED"/>
    <w:rsid w:val="00E2483B"/>
    <w:rsid w:val="00E24DF6"/>
    <w:rsid w:val="00E25360"/>
    <w:rsid w:val="00E2640D"/>
    <w:rsid w:val="00E26C3D"/>
    <w:rsid w:val="00E26F64"/>
    <w:rsid w:val="00E27659"/>
    <w:rsid w:val="00E30466"/>
    <w:rsid w:val="00E30AC9"/>
    <w:rsid w:val="00E31E1A"/>
    <w:rsid w:val="00E32546"/>
    <w:rsid w:val="00E32CC9"/>
    <w:rsid w:val="00E3347B"/>
    <w:rsid w:val="00E33496"/>
    <w:rsid w:val="00E33C6E"/>
    <w:rsid w:val="00E34A6A"/>
    <w:rsid w:val="00E34D54"/>
    <w:rsid w:val="00E35E08"/>
    <w:rsid w:val="00E35F32"/>
    <w:rsid w:val="00E3762E"/>
    <w:rsid w:val="00E377B5"/>
    <w:rsid w:val="00E40694"/>
    <w:rsid w:val="00E4144A"/>
    <w:rsid w:val="00E42337"/>
    <w:rsid w:val="00E427C2"/>
    <w:rsid w:val="00E437B9"/>
    <w:rsid w:val="00E437BC"/>
    <w:rsid w:val="00E43967"/>
    <w:rsid w:val="00E44068"/>
    <w:rsid w:val="00E445FE"/>
    <w:rsid w:val="00E4612D"/>
    <w:rsid w:val="00E46BDE"/>
    <w:rsid w:val="00E46F4C"/>
    <w:rsid w:val="00E47059"/>
    <w:rsid w:val="00E52667"/>
    <w:rsid w:val="00E55250"/>
    <w:rsid w:val="00E5561D"/>
    <w:rsid w:val="00E55A86"/>
    <w:rsid w:val="00E55AA1"/>
    <w:rsid w:val="00E5667C"/>
    <w:rsid w:val="00E57F9B"/>
    <w:rsid w:val="00E61D80"/>
    <w:rsid w:val="00E62028"/>
    <w:rsid w:val="00E62C53"/>
    <w:rsid w:val="00E62D4A"/>
    <w:rsid w:val="00E640B6"/>
    <w:rsid w:val="00E64CF1"/>
    <w:rsid w:val="00E6590A"/>
    <w:rsid w:val="00E6594E"/>
    <w:rsid w:val="00E66B8F"/>
    <w:rsid w:val="00E672D7"/>
    <w:rsid w:val="00E6738A"/>
    <w:rsid w:val="00E6744F"/>
    <w:rsid w:val="00E6754E"/>
    <w:rsid w:val="00E67BCB"/>
    <w:rsid w:val="00E700DB"/>
    <w:rsid w:val="00E70180"/>
    <w:rsid w:val="00E704FF"/>
    <w:rsid w:val="00E71406"/>
    <w:rsid w:val="00E73A50"/>
    <w:rsid w:val="00E7491F"/>
    <w:rsid w:val="00E74CFF"/>
    <w:rsid w:val="00E74FEA"/>
    <w:rsid w:val="00E76820"/>
    <w:rsid w:val="00E76E1C"/>
    <w:rsid w:val="00E770D8"/>
    <w:rsid w:val="00E77845"/>
    <w:rsid w:val="00E801CD"/>
    <w:rsid w:val="00E813CA"/>
    <w:rsid w:val="00E81750"/>
    <w:rsid w:val="00E81C4A"/>
    <w:rsid w:val="00E821D8"/>
    <w:rsid w:val="00E82979"/>
    <w:rsid w:val="00E832C7"/>
    <w:rsid w:val="00E834BD"/>
    <w:rsid w:val="00E83B02"/>
    <w:rsid w:val="00E847F9"/>
    <w:rsid w:val="00E85630"/>
    <w:rsid w:val="00E85C6D"/>
    <w:rsid w:val="00E85E48"/>
    <w:rsid w:val="00E86427"/>
    <w:rsid w:val="00E87030"/>
    <w:rsid w:val="00E87203"/>
    <w:rsid w:val="00E8765A"/>
    <w:rsid w:val="00E87CC7"/>
    <w:rsid w:val="00E918A9"/>
    <w:rsid w:val="00E91B5E"/>
    <w:rsid w:val="00E91FC4"/>
    <w:rsid w:val="00E92A04"/>
    <w:rsid w:val="00E94AE4"/>
    <w:rsid w:val="00E95219"/>
    <w:rsid w:val="00E96918"/>
    <w:rsid w:val="00E96C5C"/>
    <w:rsid w:val="00E97F8F"/>
    <w:rsid w:val="00EA0F77"/>
    <w:rsid w:val="00EA110A"/>
    <w:rsid w:val="00EA38E5"/>
    <w:rsid w:val="00EA43EF"/>
    <w:rsid w:val="00EA4502"/>
    <w:rsid w:val="00EA52BE"/>
    <w:rsid w:val="00EA5430"/>
    <w:rsid w:val="00EA5E56"/>
    <w:rsid w:val="00EA6405"/>
    <w:rsid w:val="00EA726B"/>
    <w:rsid w:val="00EA77A4"/>
    <w:rsid w:val="00EB4F93"/>
    <w:rsid w:val="00EB538D"/>
    <w:rsid w:val="00EB5AA1"/>
    <w:rsid w:val="00EB6F34"/>
    <w:rsid w:val="00EC1D84"/>
    <w:rsid w:val="00EC26A9"/>
    <w:rsid w:val="00EC2BCA"/>
    <w:rsid w:val="00EC2CFE"/>
    <w:rsid w:val="00EC39D5"/>
    <w:rsid w:val="00EC3A3C"/>
    <w:rsid w:val="00EC445E"/>
    <w:rsid w:val="00EC46AE"/>
    <w:rsid w:val="00EC5270"/>
    <w:rsid w:val="00EC709E"/>
    <w:rsid w:val="00EC78AE"/>
    <w:rsid w:val="00EC7A6E"/>
    <w:rsid w:val="00ED0CAA"/>
    <w:rsid w:val="00ED1C00"/>
    <w:rsid w:val="00ED2224"/>
    <w:rsid w:val="00ED24EC"/>
    <w:rsid w:val="00ED28CB"/>
    <w:rsid w:val="00ED4429"/>
    <w:rsid w:val="00ED7175"/>
    <w:rsid w:val="00ED784D"/>
    <w:rsid w:val="00EE00AE"/>
    <w:rsid w:val="00EE16A2"/>
    <w:rsid w:val="00EE1790"/>
    <w:rsid w:val="00EE1B47"/>
    <w:rsid w:val="00EE275A"/>
    <w:rsid w:val="00EE3D1B"/>
    <w:rsid w:val="00EE43F3"/>
    <w:rsid w:val="00EE47E6"/>
    <w:rsid w:val="00EE5A00"/>
    <w:rsid w:val="00EE5C46"/>
    <w:rsid w:val="00EE6E3D"/>
    <w:rsid w:val="00EE6F43"/>
    <w:rsid w:val="00EE70D6"/>
    <w:rsid w:val="00EF1FFF"/>
    <w:rsid w:val="00EF238A"/>
    <w:rsid w:val="00EF2E75"/>
    <w:rsid w:val="00EF3544"/>
    <w:rsid w:val="00EF478D"/>
    <w:rsid w:val="00EF4863"/>
    <w:rsid w:val="00EF4B1A"/>
    <w:rsid w:val="00EF4C0C"/>
    <w:rsid w:val="00EF5374"/>
    <w:rsid w:val="00EF6201"/>
    <w:rsid w:val="00EF6799"/>
    <w:rsid w:val="00EF69F4"/>
    <w:rsid w:val="00F00BE9"/>
    <w:rsid w:val="00F00F21"/>
    <w:rsid w:val="00F01313"/>
    <w:rsid w:val="00F01740"/>
    <w:rsid w:val="00F0195A"/>
    <w:rsid w:val="00F03FBF"/>
    <w:rsid w:val="00F0458B"/>
    <w:rsid w:val="00F05011"/>
    <w:rsid w:val="00F053AF"/>
    <w:rsid w:val="00F056BF"/>
    <w:rsid w:val="00F05AE4"/>
    <w:rsid w:val="00F06376"/>
    <w:rsid w:val="00F06BFC"/>
    <w:rsid w:val="00F07187"/>
    <w:rsid w:val="00F10305"/>
    <w:rsid w:val="00F10421"/>
    <w:rsid w:val="00F11316"/>
    <w:rsid w:val="00F118DF"/>
    <w:rsid w:val="00F127CF"/>
    <w:rsid w:val="00F14079"/>
    <w:rsid w:val="00F15E2D"/>
    <w:rsid w:val="00F160C9"/>
    <w:rsid w:val="00F16435"/>
    <w:rsid w:val="00F1743A"/>
    <w:rsid w:val="00F1750B"/>
    <w:rsid w:val="00F177A6"/>
    <w:rsid w:val="00F1789F"/>
    <w:rsid w:val="00F211E3"/>
    <w:rsid w:val="00F225FC"/>
    <w:rsid w:val="00F242A6"/>
    <w:rsid w:val="00F24572"/>
    <w:rsid w:val="00F249C0"/>
    <w:rsid w:val="00F25042"/>
    <w:rsid w:val="00F27259"/>
    <w:rsid w:val="00F30882"/>
    <w:rsid w:val="00F30C2C"/>
    <w:rsid w:val="00F31345"/>
    <w:rsid w:val="00F319FA"/>
    <w:rsid w:val="00F31C5A"/>
    <w:rsid w:val="00F31EF9"/>
    <w:rsid w:val="00F32562"/>
    <w:rsid w:val="00F3453D"/>
    <w:rsid w:val="00F36297"/>
    <w:rsid w:val="00F365B7"/>
    <w:rsid w:val="00F36709"/>
    <w:rsid w:val="00F37770"/>
    <w:rsid w:val="00F40384"/>
    <w:rsid w:val="00F419E9"/>
    <w:rsid w:val="00F42E61"/>
    <w:rsid w:val="00F442B7"/>
    <w:rsid w:val="00F45281"/>
    <w:rsid w:val="00F45D21"/>
    <w:rsid w:val="00F45DCB"/>
    <w:rsid w:val="00F46CD1"/>
    <w:rsid w:val="00F46D43"/>
    <w:rsid w:val="00F502C1"/>
    <w:rsid w:val="00F50DC9"/>
    <w:rsid w:val="00F512CD"/>
    <w:rsid w:val="00F52183"/>
    <w:rsid w:val="00F5223D"/>
    <w:rsid w:val="00F523EE"/>
    <w:rsid w:val="00F52877"/>
    <w:rsid w:val="00F54012"/>
    <w:rsid w:val="00F54F4C"/>
    <w:rsid w:val="00F5523D"/>
    <w:rsid w:val="00F55748"/>
    <w:rsid w:val="00F55B62"/>
    <w:rsid w:val="00F575A1"/>
    <w:rsid w:val="00F57B41"/>
    <w:rsid w:val="00F57C7E"/>
    <w:rsid w:val="00F614A9"/>
    <w:rsid w:val="00F615AC"/>
    <w:rsid w:val="00F61622"/>
    <w:rsid w:val="00F61629"/>
    <w:rsid w:val="00F616E4"/>
    <w:rsid w:val="00F61999"/>
    <w:rsid w:val="00F624F2"/>
    <w:rsid w:val="00F62C4D"/>
    <w:rsid w:val="00F63DD0"/>
    <w:rsid w:val="00F6463D"/>
    <w:rsid w:val="00F64CCF"/>
    <w:rsid w:val="00F65192"/>
    <w:rsid w:val="00F65CAC"/>
    <w:rsid w:val="00F65E31"/>
    <w:rsid w:val="00F66E05"/>
    <w:rsid w:val="00F707E4"/>
    <w:rsid w:val="00F70AF0"/>
    <w:rsid w:val="00F70FD0"/>
    <w:rsid w:val="00F71F41"/>
    <w:rsid w:val="00F72406"/>
    <w:rsid w:val="00F72504"/>
    <w:rsid w:val="00F72DB1"/>
    <w:rsid w:val="00F734CA"/>
    <w:rsid w:val="00F73558"/>
    <w:rsid w:val="00F742F2"/>
    <w:rsid w:val="00F748C8"/>
    <w:rsid w:val="00F749F8"/>
    <w:rsid w:val="00F77301"/>
    <w:rsid w:val="00F77445"/>
    <w:rsid w:val="00F77470"/>
    <w:rsid w:val="00F775B1"/>
    <w:rsid w:val="00F802B0"/>
    <w:rsid w:val="00F80F88"/>
    <w:rsid w:val="00F81922"/>
    <w:rsid w:val="00F83016"/>
    <w:rsid w:val="00F836C1"/>
    <w:rsid w:val="00F83DBA"/>
    <w:rsid w:val="00F83ED3"/>
    <w:rsid w:val="00F843E3"/>
    <w:rsid w:val="00F8474C"/>
    <w:rsid w:val="00F85138"/>
    <w:rsid w:val="00F8535A"/>
    <w:rsid w:val="00F86264"/>
    <w:rsid w:val="00F867E6"/>
    <w:rsid w:val="00F86EFF"/>
    <w:rsid w:val="00F87133"/>
    <w:rsid w:val="00F877E2"/>
    <w:rsid w:val="00F90B61"/>
    <w:rsid w:val="00F915F2"/>
    <w:rsid w:val="00F91DFB"/>
    <w:rsid w:val="00F926F2"/>
    <w:rsid w:val="00F92FA1"/>
    <w:rsid w:val="00F93536"/>
    <w:rsid w:val="00F94421"/>
    <w:rsid w:val="00F9448D"/>
    <w:rsid w:val="00F945CC"/>
    <w:rsid w:val="00F94940"/>
    <w:rsid w:val="00F94B5A"/>
    <w:rsid w:val="00F94DC7"/>
    <w:rsid w:val="00F95A7B"/>
    <w:rsid w:val="00F95DB5"/>
    <w:rsid w:val="00F95FD3"/>
    <w:rsid w:val="00F9680E"/>
    <w:rsid w:val="00F96D2C"/>
    <w:rsid w:val="00F97641"/>
    <w:rsid w:val="00FA0550"/>
    <w:rsid w:val="00FA0BA9"/>
    <w:rsid w:val="00FA17A8"/>
    <w:rsid w:val="00FA26D4"/>
    <w:rsid w:val="00FA2A74"/>
    <w:rsid w:val="00FA2DBE"/>
    <w:rsid w:val="00FA3953"/>
    <w:rsid w:val="00FA3ACE"/>
    <w:rsid w:val="00FA5954"/>
    <w:rsid w:val="00FA5C53"/>
    <w:rsid w:val="00FA60C1"/>
    <w:rsid w:val="00FA667F"/>
    <w:rsid w:val="00FA6872"/>
    <w:rsid w:val="00FA7AAC"/>
    <w:rsid w:val="00FA7CB5"/>
    <w:rsid w:val="00FB0B5A"/>
    <w:rsid w:val="00FB169C"/>
    <w:rsid w:val="00FB2B1F"/>
    <w:rsid w:val="00FB41EE"/>
    <w:rsid w:val="00FB654E"/>
    <w:rsid w:val="00FB6A23"/>
    <w:rsid w:val="00FC00F0"/>
    <w:rsid w:val="00FC0E80"/>
    <w:rsid w:val="00FC11D6"/>
    <w:rsid w:val="00FC178C"/>
    <w:rsid w:val="00FC1879"/>
    <w:rsid w:val="00FC231A"/>
    <w:rsid w:val="00FC2986"/>
    <w:rsid w:val="00FC45A3"/>
    <w:rsid w:val="00FC5343"/>
    <w:rsid w:val="00FC5389"/>
    <w:rsid w:val="00FC6890"/>
    <w:rsid w:val="00FD017D"/>
    <w:rsid w:val="00FD1B76"/>
    <w:rsid w:val="00FD1BB0"/>
    <w:rsid w:val="00FD3936"/>
    <w:rsid w:val="00FD414E"/>
    <w:rsid w:val="00FD4C93"/>
    <w:rsid w:val="00FD6423"/>
    <w:rsid w:val="00FD706D"/>
    <w:rsid w:val="00FE01D6"/>
    <w:rsid w:val="00FE080A"/>
    <w:rsid w:val="00FE122B"/>
    <w:rsid w:val="00FE1448"/>
    <w:rsid w:val="00FE2391"/>
    <w:rsid w:val="00FE2BAE"/>
    <w:rsid w:val="00FE46B6"/>
    <w:rsid w:val="00FE4A57"/>
    <w:rsid w:val="00FE5F41"/>
    <w:rsid w:val="00FE6779"/>
    <w:rsid w:val="00FE7550"/>
    <w:rsid w:val="00FE7AFE"/>
    <w:rsid w:val="00FF099E"/>
    <w:rsid w:val="00FF200B"/>
    <w:rsid w:val="00FF2522"/>
    <w:rsid w:val="00FF2846"/>
    <w:rsid w:val="00FF30C2"/>
    <w:rsid w:val="00FF33C8"/>
    <w:rsid w:val="00FF564A"/>
    <w:rsid w:val="00FF5E2C"/>
    <w:rsid w:val="00FF71F9"/>
    <w:rsid w:val="00FF7725"/>
    <w:rsid w:val="01447CF6"/>
    <w:rsid w:val="019B054D"/>
    <w:rsid w:val="01D71758"/>
    <w:rsid w:val="023677EB"/>
    <w:rsid w:val="02936485"/>
    <w:rsid w:val="02D9090E"/>
    <w:rsid w:val="02F745E2"/>
    <w:rsid w:val="030F31DF"/>
    <w:rsid w:val="03151B9E"/>
    <w:rsid w:val="0317303F"/>
    <w:rsid w:val="031E1852"/>
    <w:rsid w:val="035763F7"/>
    <w:rsid w:val="03646992"/>
    <w:rsid w:val="03853837"/>
    <w:rsid w:val="05EC43D9"/>
    <w:rsid w:val="06881949"/>
    <w:rsid w:val="0712616E"/>
    <w:rsid w:val="07170F82"/>
    <w:rsid w:val="08294B99"/>
    <w:rsid w:val="087F695B"/>
    <w:rsid w:val="08FF5C3B"/>
    <w:rsid w:val="09577B3D"/>
    <w:rsid w:val="097A3839"/>
    <w:rsid w:val="0A0C0135"/>
    <w:rsid w:val="0A702C09"/>
    <w:rsid w:val="0B3602D3"/>
    <w:rsid w:val="0B3D2E71"/>
    <w:rsid w:val="0B7D0CB6"/>
    <w:rsid w:val="0B9A5AF9"/>
    <w:rsid w:val="0D22318D"/>
    <w:rsid w:val="0D42213A"/>
    <w:rsid w:val="0D653876"/>
    <w:rsid w:val="0D95703C"/>
    <w:rsid w:val="0DA145A9"/>
    <w:rsid w:val="0DC73E72"/>
    <w:rsid w:val="0E460359"/>
    <w:rsid w:val="0E4C1B93"/>
    <w:rsid w:val="0E5A1297"/>
    <w:rsid w:val="0E5F7BD8"/>
    <w:rsid w:val="0E7C4AB7"/>
    <w:rsid w:val="0F05619E"/>
    <w:rsid w:val="0F0F7012"/>
    <w:rsid w:val="106F4D54"/>
    <w:rsid w:val="11F55104"/>
    <w:rsid w:val="1211049C"/>
    <w:rsid w:val="127F0C89"/>
    <w:rsid w:val="128C1ADD"/>
    <w:rsid w:val="13683E19"/>
    <w:rsid w:val="13AD2EE1"/>
    <w:rsid w:val="13BD03EC"/>
    <w:rsid w:val="141C3D20"/>
    <w:rsid w:val="147B6002"/>
    <w:rsid w:val="14EA10C9"/>
    <w:rsid w:val="153E3BE6"/>
    <w:rsid w:val="154F3229"/>
    <w:rsid w:val="155D62E5"/>
    <w:rsid w:val="155E6B26"/>
    <w:rsid w:val="158F0D35"/>
    <w:rsid w:val="16C443A9"/>
    <w:rsid w:val="16E107A4"/>
    <w:rsid w:val="17691B0B"/>
    <w:rsid w:val="17F33152"/>
    <w:rsid w:val="18D34C24"/>
    <w:rsid w:val="18F35B76"/>
    <w:rsid w:val="19373928"/>
    <w:rsid w:val="19625F80"/>
    <w:rsid w:val="19D95C81"/>
    <w:rsid w:val="1A080EB7"/>
    <w:rsid w:val="1A5A5F67"/>
    <w:rsid w:val="1A672B8A"/>
    <w:rsid w:val="1A8E66ED"/>
    <w:rsid w:val="1AB74DD0"/>
    <w:rsid w:val="1AE53E71"/>
    <w:rsid w:val="1B0B1F03"/>
    <w:rsid w:val="1B783870"/>
    <w:rsid w:val="1BE03B90"/>
    <w:rsid w:val="1D756372"/>
    <w:rsid w:val="1D980B41"/>
    <w:rsid w:val="1D986A90"/>
    <w:rsid w:val="1DBD148A"/>
    <w:rsid w:val="1DC63D3D"/>
    <w:rsid w:val="1DEA260F"/>
    <w:rsid w:val="1E2904E5"/>
    <w:rsid w:val="1F7346BB"/>
    <w:rsid w:val="1FC70955"/>
    <w:rsid w:val="20C31215"/>
    <w:rsid w:val="21AC74B1"/>
    <w:rsid w:val="21C218B7"/>
    <w:rsid w:val="21F24A64"/>
    <w:rsid w:val="220977D7"/>
    <w:rsid w:val="2231643F"/>
    <w:rsid w:val="22B37633"/>
    <w:rsid w:val="23C33146"/>
    <w:rsid w:val="23F812F7"/>
    <w:rsid w:val="24282726"/>
    <w:rsid w:val="24597EC0"/>
    <w:rsid w:val="24675653"/>
    <w:rsid w:val="24991977"/>
    <w:rsid w:val="24D96E4C"/>
    <w:rsid w:val="24F52370"/>
    <w:rsid w:val="254B2D1B"/>
    <w:rsid w:val="2589516C"/>
    <w:rsid w:val="25B279F0"/>
    <w:rsid w:val="25B77041"/>
    <w:rsid w:val="25D22404"/>
    <w:rsid w:val="25D52C7F"/>
    <w:rsid w:val="268F1319"/>
    <w:rsid w:val="26D434B5"/>
    <w:rsid w:val="2728090B"/>
    <w:rsid w:val="274729D7"/>
    <w:rsid w:val="277409CE"/>
    <w:rsid w:val="28106D2C"/>
    <w:rsid w:val="294023CE"/>
    <w:rsid w:val="29CF43C1"/>
    <w:rsid w:val="29E04413"/>
    <w:rsid w:val="2B555D80"/>
    <w:rsid w:val="2B8E2901"/>
    <w:rsid w:val="2B9673F5"/>
    <w:rsid w:val="2E2F322A"/>
    <w:rsid w:val="2E2F35C0"/>
    <w:rsid w:val="2E9C3BE4"/>
    <w:rsid w:val="2EF45937"/>
    <w:rsid w:val="2F177283"/>
    <w:rsid w:val="2F9E5E72"/>
    <w:rsid w:val="2FCD7F91"/>
    <w:rsid w:val="2FED2219"/>
    <w:rsid w:val="3021730B"/>
    <w:rsid w:val="30F23994"/>
    <w:rsid w:val="31553579"/>
    <w:rsid w:val="319A2901"/>
    <w:rsid w:val="31A733E1"/>
    <w:rsid w:val="31DD0E16"/>
    <w:rsid w:val="327309A2"/>
    <w:rsid w:val="32B87611"/>
    <w:rsid w:val="32C3283C"/>
    <w:rsid w:val="32E302AB"/>
    <w:rsid w:val="33020202"/>
    <w:rsid w:val="334C7602"/>
    <w:rsid w:val="3370454D"/>
    <w:rsid w:val="3381174F"/>
    <w:rsid w:val="33BB0075"/>
    <w:rsid w:val="34935E6F"/>
    <w:rsid w:val="34B362C2"/>
    <w:rsid w:val="34F477A5"/>
    <w:rsid w:val="357E0C3C"/>
    <w:rsid w:val="35D72A58"/>
    <w:rsid w:val="36116EFA"/>
    <w:rsid w:val="362B2FB5"/>
    <w:rsid w:val="36546BA1"/>
    <w:rsid w:val="36A72F83"/>
    <w:rsid w:val="36BA5D6D"/>
    <w:rsid w:val="37156992"/>
    <w:rsid w:val="373156C2"/>
    <w:rsid w:val="389B2D7C"/>
    <w:rsid w:val="38C81985"/>
    <w:rsid w:val="38D46609"/>
    <w:rsid w:val="38FF1409"/>
    <w:rsid w:val="39596AB3"/>
    <w:rsid w:val="3A222E7A"/>
    <w:rsid w:val="3A560F90"/>
    <w:rsid w:val="3AA73013"/>
    <w:rsid w:val="3BA877C4"/>
    <w:rsid w:val="3BC468B8"/>
    <w:rsid w:val="3BEB2D70"/>
    <w:rsid w:val="3BFF03F2"/>
    <w:rsid w:val="3C2B36FD"/>
    <w:rsid w:val="3C2F7BB4"/>
    <w:rsid w:val="3C386752"/>
    <w:rsid w:val="3C8641A5"/>
    <w:rsid w:val="3CB24B0A"/>
    <w:rsid w:val="3D3C27F0"/>
    <w:rsid w:val="3D76384A"/>
    <w:rsid w:val="3DFF227A"/>
    <w:rsid w:val="3E56553D"/>
    <w:rsid w:val="3F47172E"/>
    <w:rsid w:val="3F9D5A6F"/>
    <w:rsid w:val="3FA65553"/>
    <w:rsid w:val="401D1B40"/>
    <w:rsid w:val="40262536"/>
    <w:rsid w:val="40352366"/>
    <w:rsid w:val="403A4A6A"/>
    <w:rsid w:val="40CB6C05"/>
    <w:rsid w:val="419A10DA"/>
    <w:rsid w:val="420C1C2E"/>
    <w:rsid w:val="424A1C23"/>
    <w:rsid w:val="42763337"/>
    <w:rsid w:val="42CC24AC"/>
    <w:rsid w:val="43303E58"/>
    <w:rsid w:val="43532937"/>
    <w:rsid w:val="43532BB3"/>
    <w:rsid w:val="436450C3"/>
    <w:rsid w:val="43823660"/>
    <w:rsid w:val="43D66FFF"/>
    <w:rsid w:val="43FD5CBA"/>
    <w:rsid w:val="455225F4"/>
    <w:rsid w:val="45FC7A04"/>
    <w:rsid w:val="465E478A"/>
    <w:rsid w:val="46BC7227"/>
    <w:rsid w:val="47A35134"/>
    <w:rsid w:val="47A912AD"/>
    <w:rsid w:val="48F03496"/>
    <w:rsid w:val="48F87F1B"/>
    <w:rsid w:val="492944D3"/>
    <w:rsid w:val="49AE5388"/>
    <w:rsid w:val="49BC5343"/>
    <w:rsid w:val="4A702811"/>
    <w:rsid w:val="4A7F5C41"/>
    <w:rsid w:val="4AA0531D"/>
    <w:rsid w:val="4B8A5280"/>
    <w:rsid w:val="4C0B404B"/>
    <w:rsid w:val="4CAB0662"/>
    <w:rsid w:val="4CAB6041"/>
    <w:rsid w:val="4CFB27B7"/>
    <w:rsid w:val="4D045B61"/>
    <w:rsid w:val="4DA04D8F"/>
    <w:rsid w:val="4DB84F4C"/>
    <w:rsid w:val="4DD44207"/>
    <w:rsid w:val="4DE50C41"/>
    <w:rsid w:val="4EF71DCB"/>
    <w:rsid w:val="4FF043FE"/>
    <w:rsid w:val="50715C1B"/>
    <w:rsid w:val="50CB3DB8"/>
    <w:rsid w:val="5182044A"/>
    <w:rsid w:val="520B6E0C"/>
    <w:rsid w:val="52765B76"/>
    <w:rsid w:val="53B94FCA"/>
    <w:rsid w:val="53BB4451"/>
    <w:rsid w:val="547549BB"/>
    <w:rsid w:val="54766C03"/>
    <w:rsid w:val="55430E5B"/>
    <w:rsid w:val="554D6D31"/>
    <w:rsid w:val="55806E3D"/>
    <w:rsid w:val="55E823B7"/>
    <w:rsid w:val="565F36B6"/>
    <w:rsid w:val="5670097B"/>
    <w:rsid w:val="567F2459"/>
    <w:rsid w:val="5693657C"/>
    <w:rsid w:val="574035C2"/>
    <w:rsid w:val="57E34CFE"/>
    <w:rsid w:val="58011456"/>
    <w:rsid w:val="581574DA"/>
    <w:rsid w:val="58DC0512"/>
    <w:rsid w:val="58DC3CCF"/>
    <w:rsid w:val="59FA37EE"/>
    <w:rsid w:val="59FE1E90"/>
    <w:rsid w:val="5A2B7686"/>
    <w:rsid w:val="5B266886"/>
    <w:rsid w:val="5B6B2AE8"/>
    <w:rsid w:val="5BD41037"/>
    <w:rsid w:val="5C0135DC"/>
    <w:rsid w:val="5C662906"/>
    <w:rsid w:val="5C6D50B5"/>
    <w:rsid w:val="5CAD5DA9"/>
    <w:rsid w:val="5DA76CBE"/>
    <w:rsid w:val="5DA97A3B"/>
    <w:rsid w:val="5EE061D2"/>
    <w:rsid w:val="5F300764"/>
    <w:rsid w:val="5FDA32CA"/>
    <w:rsid w:val="5FF10152"/>
    <w:rsid w:val="60804E93"/>
    <w:rsid w:val="60F21EE9"/>
    <w:rsid w:val="614E4A2C"/>
    <w:rsid w:val="61F5125F"/>
    <w:rsid w:val="62144EAA"/>
    <w:rsid w:val="62392DCE"/>
    <w:rsid w:val="62397CE3"/>
    <w:rsid w:val="627529B2"/>
    <w:rsid w:val="63591198"/>
    <w:rsid w:val="63F22EAF"/>
    <w:rsid w:val="6478082E"/>
    <w:rsid w:val="66FB20C2"/>
    <w:rsid w:val="670E5050"/>
    <w:rsid w:val="67CF5D5B"/>
    <w:rsid w:val="68316DA4"/>
    <w:rsid w:val="68B2716D"/>
    <w:rsid w:val="691872FD"/>
    <w:rsid w:val="692A082B"/>
    <w:rsid w:val="69A24FA0"/>
    <w:rsid w:val="6A134DE5"/>
    <w:rsid w:val="6A3D7F56"/>
    <w:rsid w:val="6A920B35"/>
    <w:rsid w:val="6ACF5880"/>
    <w:rsid w:val="6BDF0795"/>
    <w:rsid w:val="6D0777A6"/>
    <w:rsid w:val="6D913484"/>
    <w:rsid w:val="6E1A3283"/>
    <w:rsid w:val="6E1F0346"/>
    <w:rsid w:val="6EF918C4"/>
    <w:rsid w:val="6F353388"/>
    <w:rsid w:val="6F8916C4"/>
    <w:rsid w:val="700B1CD2"/>
    <w:rsid w:val="70C74015"/>
    <w:rsid w:val="711A1E5D"/>
    <w:rsid w:val="71916B6F"/>
    <w:rsid w:val="72E27AA5"/>
    <w:rsid w:val="72E7513B"/>
    <w:rsid w:val="73203408"/>
    <w:rsid w:val="733E0263"/>
    <w:rsid w:val="73485EA3"/>
    <w:rsid w:val="73E87907"/>
    <w:rsid w:val="73F336ED"/>
    <w:rsid w:val="73F65E1F"/>
    <w:rsid w:val="74220105"/>
    <w:rsid w:val="744E0512"/>
    <w:rsid w:val="748A4AFF"/>
    <w:rsid w:val="74C51EDD"/>
    <w:rsid w:val="74E63628"/>
    <w:rsid w:val="75172BE8"/>
    <w:rsid w:val="75AE4F93"/>
    <w:rsid w:val="76EE6CE8"/>
    <w:rsid w:val="78541EB5"/>
    <w:rsid w:val="78FD4FC3"/>
    <w:rsid w:val="79270EA5"/>
    <w:rsid w:val="79334FEF"/>
    <w:rsid w:val="797D4FC7"/>
    <w:rsid w:val="7A026E1F"/>
    <w:rsid w:val="7A233B68"/>
    <w:rsid w:val="7A32540C"/>
    <w:rsid w:val="7A95290F"/>
    <w:rsid w:val="7B8404AE"/>
    <w:rsid w:val="7BF9515E"/>
    <w:rsid w:val="7BFA4620"/>
    <w:rsid w:val="7BFE5F2B"/>
    <w:rsid w:val="7C46473D"/>
    <w:rsid w:val="7C5F57A9"/>
    <w:rsid w:val="7CF364F4"/>
    <w:rsid w:val="7D4A53EE"/>
    <w:rsid w:val="7DC243C4"/>
    <w:rsid w:val="7DF404F2"/>
    <w:rsid w:val="7E3F7F4E"/>
    <w:rsid w:val="7EBF204E"/>
    <w:rsid w:val="7F791EC6"/>
    <w:rsid w:val="7F7922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67"/>
    <w:qFormat/>
    <w:uiPriority w:val="0"/>
    <w:pPr>
      <w:keepNext/>
      <w:keepLines/>
      <w:spacing w:line="560" w:lineRule="exact"/>
      <w:ind w:firstLine="0" w:firstLineChars="0"/>
      <w:jc w:val="center"/>
      <w:outlineLvl w:val="0"/>
    </w:pPr>
    <w:rPr>
      <w:b/>
      <w:bCs/>
      <w:kern w:val="44"/>
      <w:sz w:val="32"/>
      <w:szCs w:val="44"/>
    </w:rPr>
  </w:style>
  <w:style w:type="paragraph" w:styleId="4">
    <w:name w:val="heading 2"/>
    <w:basedOn w:val="1"/>
    <w:next w:val="1"/>
    <w:link w:val="70"/>
    <w:qFormat/>
    <w:uiPriority w:val="0"/>
    <w:pPr>
      <w:keepNext/>
      <w:keepLines/>
      <w:spacing w:line="560" w:lineRule="exact"/>
      <w:ind w:firstLine="0" w:firstLineChars="0"/>
      <w:outlineLvl w:val="1"/>
    </w:pPr>
    <w:rPr>
      <w:b/>
      <w:bCs/>
      <w:sz w:val="30"/>
      <w:szCs w:val="32"/>
    </w:rPr>
  </w:style>
  <w:style w:type="paragraph" w:styleId="5">
    <w:name w:val="heading 3"/>
    <w:basedOn w:val="1"/>
    <w:next w:val="1"/>
    <w:link w:val="73"/>
    <w:qFormat/>
    <w:uiPriority w:val="0"/>
    <w:pPr>
      <w:keepNext/>
      <w:keepLines/>
      <w:spacing w:line="520" w:lineRule="exact"/>
      <w:ind w:firstLine="0" w:firstLineChars="0"/>
      <w:outlineLvl w:val="2"/>
    </w:pPr>
    <w:rPr>
      <w:b/>
      <w:bCs/>
      <w:sz w:val="28"/>
      <w:szCs w:val="32"/>
    </w:rPr>
  </w:style>
  <w:style w:type="paragraph" w:styleId="6">
    <w:name w:val="heading 4"/>
    <w:basedOn w:val="1"/>
    <w:next w:val="1"/>
    <w:link w:val="52"/>
    <w:qFormat/>
    <w:uiPriority w:val="0"/>
    <w:pPr>
      <w:keepNext/>
      <w:keepLines/>
      <w:spacing w:line="520" w:lineRule="exact"/>
      <w:ind w:firstLine="0" w:firstLineChars="0"/>
      <w:outlineLvl w:val="3"/>
    </w:pPr>
    <w:rPr>
      <w:b/>
      <w:bCs/>
      <w:szCs w:val="28"/>
    </w:rPr>
  </w:style>
  <w:style w:type="paragraph" w:styleId="7">
    <w:name w:val="heading 5"/>
    <w:basedOn w:val="1"/>
    <w:next w:val="1"/>
    <w:link w:val="89"/>
    <w:semiHidden/>
    <w:unhideWhenUsed/>
    <w:qFormat/>
    <w:uiPriority w:val="0"/>
    <w:pPr>
      <w:keepNext/>
      <w:keepLines/>
      <w:spacing w:before="280" w:after="290" w:line="376" w:lineRule="auto"/>
      <w:outlineLvl w:val="4"/>
    </w:pPr>
    <w:rPr>
      <w:b/>
      <w:bCs/>
      <w:sz w:val="28"/>
      <w:szCs w:val="28"/>
    </w:rPr>
  </w:style>
  <w:style w:type="paragraph" w:styleId="8">
    <w:name w:val="heading 7"/>
    <w:basedOn w:val="1"/>
    <w:next w:val="1"/>
    <w:link w:val="94"/>
    <w:semiHidden/>
    <w:unhideWhenUsed/>
    <w:qFormat/>
    <w:uiPriority w:val="0"/>
    <w:pPr>
      <w:keepNext/>
      <w:keepLines/>
      <w:spacing w:before="240" w:after="64" w:line="320" w:lineRule="auto"/>
      <w:outlineLvl w:val="6"/>
    </w:pPr>
    <w:rPr>
      <w:b/>
      <w:bCs/>
      <w:szCs w:val="24"/>
    </w:rPr>
  </w:style>
  <w:style w:type="paragraph" w:styleId="9">
    <w:name w:val="heading 8"/>
    <w:basedOn w:val="1"/>
    <w:next w:val="1"/>
    <w:link w:val="132"/>
    <w:semiHidden/>
    <w:unhideWhenUsed/>
    <w:qFormat/>
    <w:uiPriority w:val="0"/>
    <w:pPr>
      <w:keepNext/>
      <w:keepLines/>
      <w:spacing w:before="240" w:after="64" w:line="320" w:lineRule="auto"/>
      <w:outlineLvl w:val="7"/>
    </w:pPr>
    <w:rPr>
      <w:rFonts w:asciiTheme="majorHAnsi" w:hAnsiTheme="majorHAnsi" w:eastAsiaTheme="majorEastAsia" w:cstheme="majorBidi"/>
      <w:szCs w:val="24"/>
    </w:rPr>
  </w:style>
  <w:style w:type="character" w:default="1" w:styleId="30">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pacing w:line="240" w:lineRule="auto"/>
      <w:jc w:val="center"/>
    </w:pPr>
    <w:rPr>
      <w:kern w:val="0"/>
      <w:sz w:val="18"/>
      <w:szCs w:val="18"/>
    </w:rPr>
  </w:style>
  <w:style w:type="paragraph" w:styleId="10">
    <w:name w:val="Normal Indent"/>
    <w:basedOn w:val="1"/>
    <w:qFormat/>
    <w:uiPriority w:val="0"/>
    <w:pPr>
      <w:ind w:firstLine="420"/>
    </w:pPr>
  </w:style>
  <w:style w:type="paragraph" w:styleId="11">
    <w:name w:val="caption"/>
    <w:basedOn w:val="1"/>
    <w:next w:val="12"/>
    <w:qFormat/>
    <w:uiPriority w:val="0"/>
    <w:pPr>
      <w:keepNext/>
      <w:widowControl/>
      <w:ind w:firstLine="0" w:firstLineChars="0"/>
      <w:jc w:val="center"/>
    </w:pPr>
    <w:rPr>
      <w:rFonts w:ascii="Arial Unicode MS" w:hAnsi="Arial Unicode MS" w:eastAsia="黑体"/>
      <w:b/>
      <w:sz w:val="21"/>
      <w:szCs w:val="21"/>
    </w:rPr>
  </w:style>
  <w:style w:type="paragraph" w:customStyle="1" w:styleId="12">
    <w:name w:val="默认段落"/>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13">
    <w:name w:val="Document Map"/>
    <w:basedOn w:val="1"/>
    <w:link w:val="36"/>
    <w:qFormat/>
    <w:uiPriority w:val="0"/>
    <w:rPr>
      <w:rFonts w:ascii="宋体"/>
      <w:sz w:val="18"/>
      <w:szCs w:val="18"/>
    </w:rPr>
  </w:style>
  <w:style w:type="paragraph" w:styleId="14">
    <w:name w:val="annotation text"/>
    <w:basedOn w:val="1"/>
    <w:qFormat/>
    <w:uiPriority w:val="0"/>
    <w:pPr>
      <w:jc w:val="left"/>
    </w:pPr>
  </w:style>
  <w:style w:type="paragraph" w:styleId="15">
    <w:name w:val="Body Text"/>
    <w:basedOn w:val="1"/>
    <w:link w:val="106"/>
    <w:qFormat/>
    <w:uiPriority w:val="0"/>
    <w:pPr>
      <w:spacing w:after="120"/>
    </w:pPr>
  </w:style>
  <w:style w:type="paragraph" w:styleId="16">
    <w:name w:val="Body Text Indent"/>
    <w:basedOn w:val="1"/>
    <w:link w:val="96"/>
    <w:qFormat/>
    <w:uiPriority w:val="0"/>
    <w:pPr>
      <w:spacing w:after="120"/>
      <w:ind w:left="420" w:leftChars="200"/>
    </w:pPr>
  </w:style>
  <w:style w:type="paragraph" w:styleId="17">
    <w:name w:val="toc 5"/>
    <w:basedOn w:val="1"/>
    <w:next w:val="1"/>
    <w:qFormat/>
    <w:uiPriority w:val="0"/>
    <w:pPr>
      <w:ind w:left="1680" w:leftChars="800"/>
    </w:pPr>
  </w:style>
  <w:style w:type="paragraph" w:styleId="18">
    <w:name w:val="Plain Text"/>
    <w:basedOn w:val="1"/>
    <w:link w:val="108"/>
    <w:qFormat/>
    <w:uiPriority w:val="99"/>
    <w:pPr>
      <w:adjustRightInd/>
      <w:snapToGrid/>
      <w:spacing w:line="240" w:lineRule="auto"/>
      <w:ind w:firstLine="0" w:firstLineChars="0"/>
    </w:pPr>
    <w:rPr>
      <w:rFonts w:ascii="宋体" w:hAnsi="Courier New"/>
      <w:kern w:val="0"/>
      <w:sz w:val="20"/>
      <w:szCs w:val="21"/>
    </w:rPr>
  </w:style>
  <w:style w:type="paragraph" w:styleId="19">
    <w:name w:val="Date"/>
    <w:basedOn w:val="1"/>
    <w:next w:val="1"/>
    <w:link w:val="125"/>
    <w:qFormat/>
    <w:uiPriority w:val="0"/>
    <w:pPr>
      <w:ind w:left="100" w:leftChars="2500"/>
    </w:pPr>
  </w:style>
  <w:style w:type="paragraph" w:styleId="20">
    <w:name w:val="Balloon Text"/>
    <w:basedOn w:val="1"/>
    <w:link w:val="38"/>
    <w:qFormat/>
    <w:uiPriority w:val="0"/>
    <w:pPr>
      <w:spacing w:line="240" w:lineRule="auto"/>
    </w:pPr>
    <w:rPr>
      <w:sz w:val="18"/>
      <w:szCs w:val="18"/>
    </w:rPr>
  </w:style>
  <w:style w:type="paragraph" w:styleId="21">
    <w:name w:val="footer"/>
    <w:basedOn w:val="1"/>
    <w:link w:val="37"/>
    <w:qFormat/>
    <w:uiPriority w:val="99"/>
    <w:pPr>
      <w:tabs>
        <w:tab w:val="center" w:pos="4153"/>
        <w:tab w:val="right" w:pos="8306"/>
      </w:tabs>
      <w:spacing w:line="240" w:lineRule="auto"/>
      <w:jc w:val="left"/>
    </w:pPr>
    <w:rPr>
      <w:kern w:val="0"/>
      <w:sz w:val="18"/>
      <w:szCs w:val="18"/>
    </w:rPr>
  </w:style>
  <w:style w:type="paragraph" w:styleId="22">
    <w:name w:val="toc 1"/>
    <w:basedOn w:val="1"/>
    <w:next w:val="1"/>
    <w:qFormat/>
    <w:uiPriority w:val="39"/>
    <w:pPr>
      <w:ind w:firstLine="0" w:firstLineChars="0"/>
    </w:pPr>
    <w:rPr>
      <w:b/>
      <w:sz w:val="28"/>
    </w:rPr>
  </w:style>
  <w:style w:type="paragraph" w:styleId="23">
    <w:name w:val="toc 2"/>
    <w:basedOn w:val="1"/>
    <w:next w:val="1"/>
    <w:qFormat/>
    <w:uiPriority w:val="39"/>
  </w:style>
  <w:style w:type="paragraph" w:styleId="24">
    <w:name w:val="Normal (Web)"/>
    <w:basedOn w:val="1"/>
    <w:qFormat/>
    <w:uiPriority w:val="0"/>
  </w:style>
  <w:style w:type="paragraph" w:styleId="25">
    <w:name w:val="Body Text First Indent"/>
    <w:basedOn w:val="15"/>
    <w:link w:val="107"/>
    <w:qFormat/>
    <w:uiPriority w:val="0"/>
    <w:pPr>
      <w:ind w:firstLine="420" w:firstLineChars="100"/>
    </w:pPr>
  </w:style>
  <w:style w:type="paragraph" w:styleId="26">
    <w:name w:val="Body Text First Indent 2"/>
    <w:basedOn w:val="16"/>
    <w:link w:val="95"/>
    <w:unhideWhenUsed/>
    <w:qFormat/>
    <w:uiPriority w:val="99"/>
    <w:pPr>
      <w:widowControl/>
      <w:adjustRightInd/>
      <w:snapToGrid/>
      <w:spacing w:after="0"/>
      <w:ind w:left="0" w:leftChars="0" w:firstLine="480"/>
    </w:pPr>
    <w:rPr>
      <w:kern w:val="0"/>
      <w:szCs w:val="24"/>
      <w:lang w:eastAsia="en-US" w:bidi="en-US"/>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9">
    <w:name w:val="Table Grid 5"/>
    <w:basedOn w:val="27"/>
    <w:qFormat/>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blStylePr>
    <w:tblStylePr w:type="lastCol">
      <w:rPr>
        <w:b/>
        <w:bCs/>
      </w:rPr>
      <w:tbl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1">
    <w:name w:val="Strong"/>
    <w:basedOn w:val="30"/>
    <w:qFormat/>
    <w:uiPriority w:val="22"/>
    <w:rPr>
      <w:b/>
      <w:bCs/>
    </w:rPr>
  </w:style>
  <w:style w:type="character" w:styleId="32">
    <w:name w:val="page number"/>
    <w:basedOn w:val="30"/>
    <w:qFormat/>
    <w:uiPriority w:val="0"/>
  </w:style>
  <w:style w:type="character" w:styleId="33">
    <w:name w:val="Emphasis"/>
    <w:basedOn w:val="30"/>
    <w:qFormat/>
    <w:uiPriority w:val="20"/>
    <w:rPr>
      <w:i/>
      <w:iCs/>
    </w:rPr>
  </w:style>
  <w:style w:type="character" w:styleId="34">
    <w:name w:val="Hyperlink"/>
    <w:qFormat/>
    <w:uiPriority w:val="99"/>
    <w:rPr>
      <w:color w:val="0000FF"/>
      <w:u w:val="single"/>
    </w:rPr>
  </w:style>
  <w:style w:type="character" w:styleId="35">
    <w:name w:val="annotation reference"/>
    <w:qFormat/>
    <w:uiPriority w:val="0"/>
    <w:rPr>
      <w:sz w:val="21"/>
      <w:szCs w:val="21"/>
    </w:rPr>
  </w:style>
  <w:style w:type="character" w:customStyle="1" w:styleId="36">
    <w:name w:val="文档结构图 Char"/>
    <w:basedOn w:val="30"/>
    <w:link w:val="13"/>
    <w:qFormat/>
    <w:uiPriority w:val="0"/>
    <w:rPr>
      <w:rFonts w:ascii="宋体" w:hAnsi="Times New Roman" w:eastAsia="宋体"/>
      <w:kern w:val="2"/>
      <w:sz w:val="18"/>
      <w:szCs w:val="18"/>
    </w:rPr>
  </w:style>
  <w:style w:type="character" w:customStyle="1" w:styleId="37">
    <w:name w:val="页脚 Char"/>
    <w:basedOn w:val="30"/>
    <w:link w:val="21"/>
    <w:qFormat/>
    <w:uiPriority w:val="99"/>
    <w:rPr>
      <w:rFonts w:ascii="Times New Roman" w:hAnsi="Times New Roman"/>
      <w:sz w:val="18"/>
      <w:szCs w:val="18"/>
    </w:rPr>
  </w:style>
  <w:style w:type="character" w:customStyle="1" w:styleId="38">
    <w:name w:val="批注框文本 Char"/>
    <w:basedOn w:val="30"/>
    <w:link w:val="20"/>
    <w:qFormat/>
    <w:uiPriority w:val="0"/>
    <w:rPr>
      <w:rFonts w:ascii="Times New Roman" w:hAnsi="Times New Roman"/>
      <w:kern w:val="2"/>
      <w:sz w:val="18"/>
      <w:szCs w:val="18"/>
    </w:rPr>
  </w:style>
  <w:style w:type="character" w:customStyle="1" w:styleId="39">
    <w:name w:val="表格 Char"/>
    <w:basedOn w:val="30"/>
    <w:qFormat/>
    <w:uiPriority w:val="0"/>
    <w:rPr>
      <w:kern w:val="2"/>
      <w:sz w:val="21"/>
      <w:szCs w:val="21"/>
    </w:rPr>
  </w:style>
  <w:style w:type="character" w:customStyle="1" w:styleId="40">
    <w:name w:val="font51"/>
    <w:basedOn w:val="30"/>
    <w:qFormat/>
    <w:uiPriority w:val="0"/>
    <w:rPr>
      <w:rFonts w:hint="eastAsia" w:ascii="宋体" w:hAnsi="宋体" w:eastAsia="宋体" w:cs="宋体"/>
      <w:color w:val="FF0000"/>
      <w:sz w:val="20"/>
      <w:szCs w:val="20"/>
      <w:u w:val="none"/>
    </w:rPr>
  </w:style>
  <w:style w:type="character" w:customStyle="1" w:styleId="41">
    <w:name w:val="font61"/>
    <w:basedOn w:val="30"/>
    <w:qFormat/>
    <w:uiPriority w:val="0"/>
    <w:rPr>
      <w:rFonts w:hint="default" w:ascii="Times New Roman" w:hAnsi="Times New Roman" w:cs="Times New Roman"/>
      <w:color w:val="FF0000"/>
      <w:sz w:val="20"/>
      <w:szCs w:val="20"/>
      <w:u w:val="none"/>
    </w:rPr>
  </w:style>
  <w:style w:type="character" w:customStyle="1" w:styleId="42">
    <w:name w:val="font01"/>
    <w:basedOn w:val="30"/>
    <w:qFormat/>
    <w:uiPriority w:val="0"/>
    <w:rPr>
      <w:rFonts w:hint="default" w:ascii="Times New Roman" w:hAnsi="Times New Roman" w:cs="Times New Roman"/>
      <w:color w:val="FF0000"/>
      <w:sz w:val="21"/>
      <w:szCs w:val="21"/>
      <w:u w:val="none"/>
    </w:rPr>
  </w:style>
  <w:style w:type="character" w:customStyle="1" w:styleId="43">
    <w:name w:val="font91"/>
    <w:basedOn w:val="30"/>
    <w:qFormat/>
    <w:uiPriority w:val="0"/>
    <w:rPr>
      <w:rFonts w:hint="default" w:ascii="Times New Roman" w:hAnsi="Times New Roman" w:cs="Times New Roman"/>
      <w:color w:val="000000"/>
      <w:sz w:val="24"/>
      <w:szCs w:val="24"/>
      <w:u w:val="none"/>
    </w:rPr>
  </w:style>
  <w:style w:type="character" w:customStyle="1" w:styleId="44">
    <w:name w:val="font31"/>
    <w:basedOn w:val="30"/>
    <w:qFormat/>
    <w:uiPriority w:val="0"/>
    <w:rPr>
      <w:rFonts w:hint="eastAsia" w:ascii="宋体" w:hAnsi="宋体" w:eastAsia="宋体" w:cs="宋体"/>
      <w:color w:val="000000"/>
      <w:sz w:val="21"/>
      <w:szCs w:val="21"/>
      <w:u w:val="none"/>
    </w:rPr>
  </w:style>
  <w:style w:type="character" w:customStyle="1" w:styleId="45">
    <w:name w:val="font71"/>
    <w:basedOn w:val="30"/>
    <w:qFormat/>
    <w:uiPriority w:val="0"/>
    <w:rPr>
      <w:rFonts w:hint="eastAsia" w:ascii="宋体" w:hAnsi="宋体" w:eastAsia="宋体" w:cs="宋体"/>
      <w:color w:val="FF0000"/>
      <w:sz w:val="20"/>
      <w:szCs w:val="20"/>
      <w:u w:val="none"/>
    </w:rPr>
  </w:style>
  <w:style w:type="character" w:customStyle="1" w:styleId="46">
    <w:name w:val="font121"/>
    <w:basedOn w:val="30"/>
    <w:qFormat/>
    <w:uiPriority w:val="0"/>
    <w:rPr>
      <w:rFonts w:hint="default" w:ascii="Times New Roman" w:hAnsi="Times New Roman" w:cs="Times New Roman"/>
      <w:color w:val="000000"/>
      <w:sz w:val="20"/>
      <w:szCs w:val="20"/>
      <w:u w:val="none"/>
      <w:vertAlign w:val="superscript"/>
    </w:rPr>
  </w:style>
  <w:style w:type="character" w:customStyle="1" w:styleId="47">
    <w:name w:val="font111"/>
    <w:basedOn w:val="30"/>
    <w:qFormat/>
    <w:uiPriority w:val="0"/>
    <w:rPr>
      <w:rFonts w:hint="default" w:ascii="Times New Roman" w:hAnsi="Times New Roman" w:cs="Times New Roman"/>
      <w:color w:val="000000"/>
      <w:sz w:val="21"/>
      <w:szCs w:val="21"/>
      <w:u w:val="none"/>
      <w:vertAlign w:val="superscript"/>
    </w:rPr>
  </w:style>
  <w:style w:type="character" w:customStyle="1" w:styleId="48">
    <w:name w:val="font11"/>
    <w:basedOn w:val="30"/>
    <w:qFormat/>
    <w:uiPriority w:val="0"/>
    <w:rPr>
      <w:rFonts w:hint="default" w:ascii="Times New Roman" w:hAnsi="Times New Roman" w:cs="Times New Roman"/>
      <w:color w:val="000000"/>
      <w:sz w:val="21"/>
      <w:szCs w:val="21"/>
      <w:u w:val="none"/>
      <w:vertAlign w:val="superscript"/>
    </w:rPr>
  </w:style>
  <w:style w:type="character" w:customStyle="1" w:styleId="49">
    <w:name w:val="font81"/>
    <w:basedOn w:val="30"/>
    <w:qFormat/>
    <w:uiPriority w:val="0"/>
    <w:rPr>
      <w:rFonts w:hint="eastAsia" w:ascii="宋体" w:hAnsi="宋体" w:eastAsia="宋体" w:cs="宋体"/>
      <w:color w:val="000000"/>
      <w:sz w:val="24"/>
      <w:szCs w:val="24"/>
      <w:u w:val="none"/>
    </w:rPr>
  </w:style>
  <w:style w:type="character" w:customStyle="1" w:styleId="50">
    <w:name w:val="font41"/>
    <w:basedOn w:val="30"/>
    <w:qFormat/>
    <w:uiPriority w:val="0"/>
    <w:rPr>
      <w:rFonts w:hint="eastAsia" w:ascii="宋体" w:hAnsi="宋体" w:eastAsia="宋体" w:cs="宋体"/>
      <w:color w:val="000000"/>
      <w:sz w:val="21"/>
      <w:szCs w:val="21"/>
      <w:u w:val="none"/>
    </w:rPr>
  </w:style>
  <w:style w:type="character" w:customStyle="1" w:styleId="51">
    <w:name w:val="font112"/>
    <w:basedOn w:val="30"/>
    <w:qFormat/>
    <w:uiPriority w:val="0"/>
    <w:rPr>
      <w:rFonts w:hint="default" w:ascii="Times New Roman" w:hAnsi="Times New Roman" w:cs="Times New Roman"/>
      <w:color w:val="000000"/>
      <w:sz w:val="20"/>
      <w:szCs w:val="20"/>
      <w:u w:val="none"/>
    </w:rPr>
  </w:style>
  <w:style w:type="character" w:customStyle="1" w:styleId="52">
    <w:name w:val="标题 4 Char"/>
    <w:basedOn w:val="30"/>
    <w:link w:val="6"/>
    <w:qFormat/>
    <w:uiPriority w:val="0"/>
    <w:rPr>
      <w:rFonts w:eastAsia="宋体"/>
      <w:b/>
      <w:sz w:val="24"/>
      <w:szCs w:val="28"/>
    </w:rPr>
  </w:style>
  <w:style w:type="character" w:customStyle="1" w:styleId="53">
    <w:name w:val="font21"/>
    <w:basedOn w:val="30"/>
    <w:qFormat/>
    <w:uiPriority w:val="0"/>
    <w:rPr>
      <w:rFonts w:hint="default" w:ascii="Times New Roman" w:hAnsi="Times New Roman" w:cs="Times New Roman"/>
      <w:color w:val="000000"/>
      <w:sz w:val="21"/>
      <w:szCs w:val="21"/>
      <w:u w:val="none"/>
    </w:rPr>
  </w:style>
  <w:style w:type="character" w:customStyle="1" w:styleId="54">
    <w:name w:val="font101"/>
    <w:basedOn w:val="30"/>
    <w:qFormat/>
    <w:uiPriority w:val="0"/>
    <w:rPr>
      <w:rFonts w:hint="default" w:ascii="Times New Roman" w:hAnsi="Times New Roman" w:cs="Times New Roman"/>
      <w:color w:val="000000"/>
      <w:sz w:val="21"/>
      <w:szCs w:val="21"/>
      <w:u w:val="none"/>
      <w:vertAlign w:val="superscript"/>
    </w:rPr>
  </w:style>
  <w:style w:type="paragraph" w:customStyle="1" w:styleId="55">
    <w:name w:val="报告书正文"/>
    <w:basedOn w:val="1"/>
    <w:qFormat/>
    <w:uiPriority w:val="0"/>
    <w:pPr>
      <w:spacing w:line="300" w:lineRule="auto"/>
      <w:ind w:firstLine="480"/>
    </w:pPr>
    <w:rPr>
      <w:szCs w:val="20"/>
    </w:rPr>
  </w:style>
  <w:style w:type="paragraph" w:customStyle="1" w:styleId="56">
    <w:name w:val="方案正文"/>
    <w:basedOn w:val="1"/>
    <w:link w:val="123"/>
    <w:qFormat/>
    <w:uiPriority w:val="0"/>
    <w:pPr>
      <w:widowControl/>
    </w:pPr>
    <w:rPr>
      <w:rFonts w:eastAsia="仿宋_GB2312"/>
      <w:snapToGrid w:val="0"/>
      <w:kern w:val="24"/>
      <w:szCs w:val="24"/>
    </w:rPr>
  </w:style>
  <w:style w:type="paragraph" w:customStyle="1" w:styleId="57">
    <w:name w:val="表格"/>
    <w:next w:val="1"/>
    <w:link w:val="83"/>
    <w:qFormat/>
    <w:uiPriority w:val="0"/>
    <w:pPr>
      <w:widowControl w:val="0"/>
      <w:adjustRightInd w:val="0"/>
      <w:snapToGrid w:val="0"/>
      <w:jc w:val="center"/>
    </w:pPr>
    <w:rPr>
      <w:rFonts w:ascii="Times New Roman" w:hAnsi="Times New Roman" w:eastAsia="宋体" w:cs="Times New Roman"/>
      <w:spacing w:val="-2"/>
      <w:sz w:val="21"/>
      <w:szCs w:val="21"/>
      <w:lang w:val="en-US" w:eastAsia="zh-CN" w:bidi="ar-SA"/>
    </w:rPr>
  </w:style>
  <w:style w:type="paragraph" w:customStyle="1" w:styleId="58">
    <w:name w:val="5级 （ 1）"/>
    <w:basedOn w:val="1"/>
    <w:link w:val="59"/>
    <w:qFormat/>
    <w:uiPriority w:val="0"/>
    <w:pPr>
      <w:suppressAutoHyphens/>
      <w:ind w:firstLine="480"/>
      <w:jc w:val="left"/>
      <w:outlineLvl w:val="4"/>
    </w:pPr>
    <w:rPr>
      <w:szCs w:val="24"/>
    </w:rPr>
  </w:style>
  <w:style w:type="character" w:customStyle="1" w:styleId="59">
    <w:name w:val="5级 （ 1） Char"/>
    <w:link w:val="58"/>
    <w:qFormat/>
    <w:uiPriority w:val="0"/>
    <w:rPr>
      <w:kern w:val="2"/>
      <w:sz w:val="24"/>
      <w:szCs w:val="24"/>
    </w:rPr>
  </w:style>
  <w:style w:type="paragraph" w:customStyle="1" w:styleId="60">
    <w:name w:val="p0"/>
    <w:basedOn w:val="1"/>
    <w:qFormat/>
    <w:uiPriority w:val="0"/>
    <w:pPr>
      <w:widowControl/>
      <w:ind w:firstLine="420" w:firstLineChars="0"/>
    </w:pPr>
    <w:rPr>
      <w:rFonts w:ascii="宋体" w:hAnsi="宋体" w:cs="宋体"/>
      <w:kern w:val="0"/>
      <w:szCs w:val="24"/>
    </w:rPr>
  </w:style>
  <w:style w:type="paragraph" w:customStyle="1" w:styleId="61">
    <w:name w:val="表格五号修"/>
    <w:basedOn w:val="1"/>
    <w:qFormat/>
    <w:uiPriority w:val="0"/>
    <w:pPr>
      <w:spacing w:line="360" w:lineRule="exact"/>
      <w:ind w:firstLine="0" w:firstLineChars="0"/>
    </w:pPr>
    <w:rPr>
      <w:color w:val="000000"/>
      <w:sz w:val="21"/>
      <w:szCs w:val="24"/>
    </w:rPr>
  </w:style>
  <w:style w:type="paragraph" w:customStyle="1" w:styleId="62">
    <w:name w:val="my"/>
    <w:basedOn w:val="1"/>
    <w:link w:val="63"/>
    <w:qFormat/>
    <w:uiPriority w:val="0"/>
    <w:pPr>
      <w:widowControl/>
      <w:tabs>
        <w:tab w:val="left" w:pos="0"/>
      </w:tabs>
      <w:spacing w:line="560" w:lineRule="exact"/>
    </w:pPr>
    <w:rPr>
      <w:rFonts w:eastAsia="华文楷体"/>
      <w:snapToGrid w:val="0"/>
      <w:kern w:val="0"/>
      <w:sz w:val="28"/>
      <w:szCs w:val="28"/>
    </w:rPr>
  </w:style>
  <w:style w:type="character" w:customStyle="1" w:styleId="63">
    <w:name w:val="my Char Char"/>
    <w:link w:val="62"/>
    <w:qFormat/>
    <w:uiPriority w:val="0"/>
    <w:rPr>
      <w:rFonts w:eastAsia="华文楷体"/>
      <w:snapToGrid w:val="0"/>
      <w:sz w:val="28"/>
      <w:szCs w:val="28"/>
    </w:rPr>
  </w:style>
  <w:style w:type="paragraph" w:customStyle="1" w:styleId="64">
    <w:name w:val="xl31"/>
    <w:basedOn w:val="1"/>
    <w:qFormat/>
    <w:uiPriority w:val="0"/>
    <w:pPr>
      <w:widowControl/>
      <w:spacing w:before="100" w:beforeAutospacing="1" w:after="100" w:afterAutospacing="1" w:line="240" w:lineRule="auto"/>
      <w:ind w:firstLine="0" w:firstLineChars="0"/>
      <w:jc w:val="center"/>
      <w:textAlignment w:val="center"/>
    </w:pPr>
    <w:rPr>
      <w:rFonts w:ascii="宋体" w:hAnsi="宋体"/>
      <w:kern w:val="0"/>
      <w:szCs w:val="24"/>
    </w:rPr>
  </w:style>
  <w:style w:type="paragraph" w:customStyle="1" w:styleId="65">
    <w:name w:val="1级标题"/>
    <w:basedOn w:val="3"/>
    <w:link w:val="68"/>
    <w:qFormat/>
    <w:uiPriority w:val="0"/>
    <w:pPr>
      <w:spacing w:line="360" w:lineRule="auto"/>
    </w:pPr>
    <w:rPr>
      <w:rFonts w:eastAsia="仿宋_GB2312"/>
    </w:rPr>
  </w:style>
  <w:style w:type="paragraph" w:customStyle="1" w:styleId="66">
    <w:name w:val="二级标题"/>
    <w:basedOn w:val="4"/>
    <w:link w:val="71"/>
    <w:qFormat/>
    <w:uiPriority w:val="0"/>
    <w:pPr>
      <w:spacing w:line="360" w:lineRule="auto"/>
    </w:pPr>
    <w:rPr>
      <w:rFonts w:eastAsia="仿宋_GB2312"/>
    </w:rPr>
  </w:style>
  <w:style w:type="character" w:customStyle="1" w:styleId="67">
    <w:name w:val="标题 1 Char"/>
    <w:basedOn w:val="30"/>
    <w:link w:val="3"/>
    <w:qFormat/>
    <w:uiPriority w:val="0"/>
    <w:rPr>
      <w:b/>
      <w:bCs/>
      <w:kern w:val="44"/>
      <w:sz w:val="32"/>
      <w:szCs w:val="44"/>
    </w:rPr>
  </w:style>
  <w:style w:type="character" w:customStyle="1" w:styleId="68">
    <w:name w:val="1级标题 Char"/>
    <w:basedOn w:val="67"/>
    <w:link w:val="65"/>
    <w:qFormat/>
    <w:uiPriority w:val="0"/>
    <w:rPr>
      <w:rFonts w:eastAsia="仿宋_GB2312"/>
      <w:kern w:val="44"/>
      <w:sz w:val="32"/>
      <w:szCs w:val="44"/>
    </w:rPr>
  </w:style>
  <w:style w:type="paragraph" w:customStyle="1" w:styleId="69">
    <w:name w:val="三级标题"/>
    <w:basedOn w:val="5"/>
    <w:link w:val="74"/>
    <w:qFormat/>
    <w:uiPriority w:val="0"/>
    <w:pPr>
      <w:spacing w:line="360" w:lineRule="auto"/>
      <w:ind w:firstLine="170"/>
    </w:pPr>
    <w:rPr>
      <w:rFonts w:eastAsia="仿宋_GB2312"/>
    </w:rPr>
  </w:style>
  <w:style w:type="character" w:customStyle="1" w:styleId="70">
    <w:name w:val="标题 2 Char"/>
    <w:basedOn w:val="30"/>
    <w:link w:val="4"/>
    <w:qFormat/>
    <w:uiPriority w:val="0"/>
    <w:rPr>
      <w:b/>
      <w:bCs/>
      <w:kern w:val="2"/>
      <w:sz w:val="30"/>
      <w:szCs w:val="32"/>
    </w:rPr>
  </w:style>
  <w:style w:type="character" w:customStyle="1" w:styleId="71">
    <w:name w:val="二级标题 Char"/>
    <w:basedOn w:val="70"/>
    <w:link w:val="66"/>
    <w:qFormat/>
    <w:uiPriority w:val="0"/>
    <w:rPr>
      <w:rFonts w:eastAsia="仿宋_GB2312"/>
      <w:kern w:val="2"/>
      <w:sz w:val="30"/>
      <w:szCs w:val="32"/>
    </w:rPr>
  </w:style>
  <w:style w:type="paragraph" w:customStyle="1" w:styleId="72">
    <w:name w:val="四级标题"/>
    <w:basedOn w:val="6"/>
    <w:link w:val="76"/>
    <w:qFormat/>
    <w:uiPriority w:val="0"/>
    <w:pPr>
      <w:spacing w:line="360" w:lineRule="auto"/>
      <w:ind w:firstLine="284"/>
    </w:pPr>
    <w:rPr>
      <w:rFonts w:eastAsia="仿宋_GB2312"/>
    </w:rPr>
  </w:style>
  <w:style w:type="character" w:customStyle="1" w:styleId="73">
    <w:name w:val="标题 3 Char"/>
    <w:basedOn w:val="30"/>
    <w:link w:val="5"/>
    <w:qFormat/>
    <w:uiPriority w:val="0"/>
    <w:rPr>
      <w:b/>
      <w:bCs/>
      <w:kern w:val="2"/>
      <w:sz w:val="28"/>
      <w:szCs w:val="32"/>
    </w:rPr>
  </w:style>
  <w:style w:type="character" w:customStyle="1" w:styleId="74">
    <w:name w:val="三级标题 Char"/>
    <w:basedOn w:val="73"/>
    <w:link w:val="69"/>
    <w:qFormat/>
    <w:uiPriority w:val="0"/>
    <w:rPr>
      <w:rFonts w:eastAsia="仿宋_GB2312"/>
      <w:kern w:val="2"/>
      <w:sz w:val="28"/>
      <w:szCs w:val="32"/>
    </w:rPr>
  </w:style>
  <w:style w:type="paragraph" w:customStyle="1" w:styleId="75">
    <w:name w:val="表头"/>
    <w:basedOn w:val="1"/>
    <w:link w:val="78"/>
    <w:qFormat/>
    <w:uiPriority w:val="0"/>
    <w:pPr>
      <w:widowControl/>
      <w:spacing w:line="240" w:lineRule="auto"/>
      <w:ind w:firstLine="0" w:firstLineChars="0"/>
      <w:jc w:val="center"/>
      <w:outlineLvl w:val="6"/>
    </w:pPr>
    <w:rPr>
      <w:rFonts w:eastAsia="仿宋_GB2312"/>
      <w:b/>
      <w:bCs/>
      <w:kern w:val="0"/>
      <w:szCs w:val="21"/>
    </w:rPr>
  </w:style>
  <w:style w:type="character" w:customStyle="1" w:styleId="76">
    <w:name w:val="四级标题 Char"/>
    <w:basedOn w:val="52"/>
    <w:link w:val="72"/>
    <w:qFormat/>
    <w:uiPriority w:val="0"/>
    <w:rPr>
      <w:rFonts w:eastAsia="仿宋_GB2312"/>
      <w:bCs/>
      <w:kern w:val="2"/>
      <w:sz w:val="24"/>
      <w:szCs w:val="28"/>
    </w:rPr>
  </w:style>
  <w:style w:type="paragraph" w:customStyle="1" w:styleId="77">
    <w:name w:val="正文1"/>
    <w:basedOn w:val="1"/>
    <w:link w:val="80"/>
    <w:qFormat/>
    <w:uiPriority w:val="0"/>
    <w:pPr>
      <w:ind w:firstLine="480"/>
    </w:pPr>
  </w:style>
  <w:style w:type="character" w:customStyle="1" w:styleId="78">
    <w:name w:val="表头 Char"/>
    <w:basedOn w:val="30"/>
    <w:link w:val="75"/>
    <w:qFormat/>
    <w:uiPriority w:val="0"/>
    <w:rPr>
      <w:rFonts w:eastAsia="仿宋_GB2312"/>
      <w:b/>
      <w:bCs/>
      <w:sz w:val="24"/>
      <w:szCs w:val="21"/>
    </w:rPr>
  </w:style>
  <w:style w:type="paragraph" w:customStyle="1" w:styleId="79">
    <w:name w:val="正文2"/>
    <w:basedOn w:val="1"/>
    <w:link w:val="82"/>
    <w:qFormat/>
    <w:uiPriority w:val="0"/>
    <w:pPr>
      <w:ind w:firstLine="480"/>
    </w:pPr>
  </w:style>
  <w:style w:type="character" w:customStyle="1" w:styleId="80">
    <w:name w:val="正文 Char"/>
    <w:basedOn w:val="30"/>
    <w:link w:val="77"/>
    <w:qFormat/>
    <w:uiPriority w:val="0"/>
    <w:rPr>
      <w:kern w:val="2"/>
      <w:sz w:val="24"/>
      <w:szCs w:val="22"/>
    </w:rPr>
  </w:style>
  <w:style w:type="paragraph" w:customStyle="1" w:styleId="81">
    <w:name w:val="正文3"/>
    <w:basedOn w:val="24"/>
    <w:qFormat/>
    <w:uiPriority w:val="0"/>
    <w:pPr>
      <w:widowControl/>
    </w:pPr>
    <w:rPr>
      <w:lang w:val="zh-CN"/>
    </w:rPr>
  </w:style>
  <w:style w:type="character" w:customStyle="1" w:styleId="82">
    <w:name w:val="正文 Char1"/>
    <w:basedOn w:val="30"/>
    <w:link w:val="79"/>
    <w:qFormat/>
    <w:uiPriority w:val="0"/>
    <w:rPr>
      <w:kern w:val="2"/>
      <w:sz w:val="24"/>
      <w:szCs w:val="22"/>
    </w:rPr>
  </w:style>
  <w:style w:type="character" w:customStyle="1" w:styleId="83">
    <w:name w:val="表格 Char1"/>
    <w:basedOn w:val="30"/>
    <w:link w:val="57"/>
    <w:qFormat/>
    <w:uiPriority w:val="0"/>
    <w:rPr>
      <w:spacing w:val="-2"/>
      <w:sz w:val="21"/>
      <w:szCs w:val="21"/>
    </w:rPr>
  </w:style>
  <w:style w:type="paragraph" w:customStyle="1" w:styleId="84">
    <w:name w:val="表格内容2"/>
    <w:basedOn w:val="1"/>
    <w:link w:val="85"/>
    <w:qFormat/>
    <w:uiPriority w:val="0"/>
    <w:pPr>
      <w:autoSpaceDE w:val="0"/>
      <w:autoSpaceDN w:val="0"/>
      <w:snapToGrid/>
      <w:spacing w:line="240" w:lineRule="auto"/>
      <w:ind w:firstLine="0" w:firstLineChars="0"/>
      <w:jc w:val="center"/>
    </w:pPr>
    <w:rPr>
      <w:rFonts w:eastAsia="仿宋_GB2312"/>
      <w:spacing w:val="-2"/>
      <w:kern w:val="0"/>
      <w:sz w:val="21"/>
      <w:szCs w:val="21"/>
    </w:rPr>
  </w:style>
  <w:style w:type="character" w:customStyle="1" w:styleId="85">
    <w:name w:val="表格内容2 Char"/>
    <w:link w:val="84"/>
    <w:qFormat/>
    <w:uiPriority w:val="0"/>
    <w:rPr>
      <w:rFonts w:eastAsia="仿宋_GB2312"/>
      <w:spacing w:val="-2"/>
      <w:sz w:val="21"/>
      <w:szCs w:val="21"/>
    </w:rPr>
  </w:style>
  <w:style w:type="character" w:customStyle="1" w:styleId="86">
    <w:name w:val="表头 Char Char"/>
    <w:qFormat/>
    <w:uiPriority w:val="0"/>
    <w:rPr>
      <w:b/>
      <w:kern w:val="2"/>
      <w:sz w:val="24"/>
      <w:szCs w:val="24"/>
    </w:rPr>
  </w:style>
  <w:style w:type="character" w:customStyle="1" w:styleId="87">
    <w:name w:val="表格 Char Char"/>
    <w:qFormat/>
    <w:uiPriority w:val="0"/>
    <w:rPr>
      <w:kern w:val="2"/>
      <w:sz w:val="21"/>
      <w:szCs w:val="21"/>
    </w:rPr>
  </w:style>
  <w:style w:type="paragraph" w:customStyle="1" w:styleId="88">
    <w:name w:val="4HZ正文"/>
    <w:basedOn w:val="1"/>
    <w:qFormat/>
    <w:uiPriority w:val="0"/>
    <w:pPr>
      <w:adjustRightInd/>
      <w:snapToGrid/>
      <w:spacing w:line="240" w:lineRule="auto"/>
    </w:pPr>
    <w:rPr>
      <w:rFonts w:ascii="宋体" w:hAnsi="Calibri"/>
      <w:kern w:val="0"/>
      <w:sz w:val="28"/>
      <w:szCs w:val="21"/>
    </w:rPr>
  </w:style>
  <w:style w:type="character" w:customStyle="1" w:styleId="89">
    <w:name w:val="标题 5 Char"/>
    <w:basedOn w:val="30"/>
    <w:link w:val="7"/>
    <w:semiHidden/>
    <w:qFormat/>
    <w:uiPriority w:val="0"/>
    <w:rPr>
      <w:b/>
      <w:bCs/>
      <w:kern w:val="2"/>
      <w:sz w:val="28"/>
      <w:szCs w:val="28"/>
    </w:rPr>
  </w:style>
  <w:style w:type="paragraph" w:styleId="90">
    <w:name w:val="List Paragraph"/>
    <w:basedOn w:val="1"/>
    <w:qFormat/>
    <w:uiPriority w:val="34"/>
    <w:pPr>
      <w:ind w:firstLine="420"/>
    </w:pPr>
  </w:style>
  <w:style w:type="paragraph" w:customStyle="1" w:styleId="91">
    <w:name w:val="表格内容c"/>
    <w:basedOn w:val="1"/>
    <w:link w:val="92"/>
    <w:qFormat/>
    <w:uiPriority w:val="0"/>
    <w:pPr>
      <w:adjustRightInd/>
      <w:snapToGrid/>
      <w:spacing w:line="240" w:lineRule="auto"/>
      <w:ind w:firstLine="0" w:firstLineChars="0"/>
      <w:jc w:val="center"/>
    </w:pPr>
    <w:rPr>
      <w:sz w:val="21"/>
      <w:szCs w:val="21"/>
    </w:rPr>
  </w:style>
  <w:style w:type="character" w:customStyle="1" w:styleId="92">
    <w:name w:val="表格内容c Char"/>
    <w:link w:val="91"/>
    <w:qFormat/>
    <w:uiPriority w:val="0"/>
    <w:rPr>
      <w:kern w:val="2"/>
      <w:sz w:val="21"/>
      <w:szCs w:val="21"/>
    </w:rPr>
  </w:style>
  <w:style w:type="paragraph" w:customStyle="1" w:styleId="93">
    <w:name w:val="CM3"/>
    <w:basedOn w:val="1"/>
    <w:next w:val="1"/>
    <w:qFormat/>
    <w:uiPriority w:val="99"/>
    <w:pPr>
      <w:autoSpaceDE w:val="0"/>
      <w:autoSpaceDN w:val="0"/>
      <w:snapToGrid/>
      <w:spacing w:line="460" w:lineRule="atLeast"/>
      <w:ind w:firstLine="0" w:firstLineChars="0"/>
      <w:jc w:val="left"/>
    </w:pPr>
    <w:rPr>
      <w:kern w:val="0"/>
      <w:szCs w:val="24"/>
    </w:rPr>
  </w:style>
  <w:style w:type="character" w:customStyle="1" w:styleId="94">
    <w:name w:val="标题 7 Char"/>
    <w:basedOn w:val="30"/>
    <w:link w:val="8"/>
    <w:qFormat/>
    <w:uiPriority w:val="0"/>
    <w:rPr>
      <w:b/>
      <w:bCs/>
      <w:kern w:val="2"/>
      <w:sz w:val="24"/>
      <w:szCs w:val="24"/>
    </w:rPr>
  </w:style>
  <w:style w:type="character" w:customStyle="1" w:styleId="95">
    <w:name w:val="正文首行缩进 2 Char"/>
    <w:basedOn w:val="96"/>
    <w:link w:val="26"/>
    <w:qFormat/>
    <w:uiPriority w:val="99"/>
    <w:rPr>
      <w:kern w:val="2"/>
      <w:sz w:val="24"/>
      <w:szCs w:val="24"/>
      <w:lang w:eastAsia="en-US" w:bidi="en-US"/>
    </w:rPr>
  </w:style>
  <w:style w:type="character" w:customStyle="1" w:styleId="96">
    <w:name w:val="正文文本缩进 Char"/>
    <w:basedOn w:val="30"/>
    <w:link w:val="16"/>
    <w:qFormat/>
    <w:uiPriority w:val="0"/>
    <w:rPr>
      <w:kern w:val="2"/>
      <w:sz w:val="24"/>
      <w:szCs w:val="22"/>
    </w:rPr>
  </w:style>
  <w:style w:type="character" w:customStyle="1" w:styleId="97">
    <w:name w:val="正文首行缩进 2 Char1"/>
    <w:basedOn w:val="96"/>
    <w:qFormat/>
    <w:uiPriority w:val="0"/>
    <w:rPr>
      <w:kern w:val="2"/>
      <w:sz w:val="24"/>
      <w:szCs w:val="22"/>
    </w:rPr>
  </w:style>
  <w:style w:type="character" w:customStyle="1" w:styleId="98">
    <w:name w:val="样式 正文 +"/>
    <w:qFormat/>
    <w:uiPriority w:val="0"/>
    <w:rPr>
      <w:rFonts w:ascii="Times New Roman" w:hAnsi="Times New Roman" w:cs="Times New Roman"/>
      <w:kern w:val="0"/>
      <w:sz w:val="18"/>
      <w:szCs w:val="18"/>
    </w:rPr>
  </w:style>
  <w:style w:type="paragraph" w:customStyle="1" w:styleId="99">
    <w:name w:val="正文+缩进 Char Char Char"/>
    <w:basedOn w:val="1"/>
    <w:link w:val="116"/>
    <w:qFormat/>
    <w:uiPriority w:val="0"/>
    <w:rPr>
      <w:bCs/>
      <w:szCs w:val="24"/>
    </w:rPr>
  </w:style>
  <w:style w:type="character" w:customStyle="1" w:styleId="100">
    <w:name w:val="本文正文 Char"/>
    <w:link w:val="101"/>
    <w:qFormat/>
    <w:uiPriority w:val="0"/>
    <w:rPr>
      <w:sz w:val="24"/>
      <w:szCs w:val="44"/>
    </w:rPr>
  </w:style>
  <w:style w:type="paragraph" w:customStyle="1" w:styleId="101">
    <w:name w:val="本文正文"/>
    <w:basedOn w:val="1"/>
    <w:link w:val="100"/>
    <w:qFormat/>
    <w:uiPriority w:val="0"/>
    <w:pPr>
      <w:tabs>
        <w:tab w:val="left" w:pos="4500"/>
      </w:tabs>
      <w:adjustRightInd/>
      <w:snapToGrid/>
    </w:pPr>
    <w:rPr>
      <w:kern w:val="0"/>
      <w:szCs w:val="44"/>
    </w:rPr>
  </w:style>
  <w:style w:type="character" w:customStyle="1" w:styleId="102">
    <w:name w:val="报告图题 Char"/>
    <w:link w:val="103"/>
    <w:qFormat/>
    <w:uiPriority w:val="0"/>
    <w:rPr>
      <w:rFonts w:ascii="黑体" w:eastAsia="黑体"/>
    </w:rPr>
  </w:style>
  <w:style w:type="paragraph" w:customStyle="1" w:styleId="103">
    <w:name w:val="报告图题"/>
    <w:basedOn w:val="1"/>
    <w:next w:val="1"/>
    <w:link w:val="102"/>
    <w:qFormat/>
    <w:uiPriority w:val="0"/>
    <w:pPr>
      <w:adjustRightInd/>
      <w:snapToGrid/>
      <w:spacing w:before="120" w:after="120" w:line="400" w:lineRule="exact"/>
      <w:ind w:firstLine="0" w:firstLineChars="0"/>
      <w:jc w:val="center"/>
    </w:pPr>
    <w:rPr>
      <w:rFonts w:ascii="黑体" w:eastAsia="黑体"/>
      <w:kern w:val="0"/>
      <w:sz w:val="20"/>
      <w:szCs w:val="20"/>
    </w:rPr>
  </w:style>
  <w:style w:type="character" w:customStyle="1" w:styleId="104">
    <w:name w:val="表右 Char"/>
    <w:link w:val="105"/>
    <w:qFormat/>
    <w:uiPriority w:val="0"/>
    <w:rPr>
      <w:kern w:val="2"/>
      <w:sz w:val="21"/>
      <w:szCs w:val="24"/>
    </w:rPr>
  </w:style>
  <w:style w:type="paragraph" w:customStyle="1" w:styleId="105">
    <w:name w:val="表右"/>
    <w:next w:val="1"/>
    <w:link w:val="104"/>
    <w:qFormat/>
    <w:uiPriority w:val="0"/>
    <w:pPr>
      <w:jc w:val="right"/>
    </w:pPr>
    <w:rPr>
      <w:rFonts w:ascii="Times New Roman" w:hAnsi="Times New Roman" w:eastAsia="宋体" w:cs="Times New Roman"/>
      <w:kern w:val="2"/>
      <w:sz w:val="21"/>
      <w:szCs w:val="24"/>
      <w:lang w:val="en-US" w:eastAsia="zh-CN" w:bidi="ar-SA"/>
    </w:rPr>
  </w:style>
  <w:style w:type="character" w:customStyle="1" w:styleId="106">
    <w:name w:val="正文文本 Char"/>
    <w:basedOn w:val="30"/>
    <w:link w:val="15"/>
    <w:qFormat/>
    <w:uiPriority w:val="0"/>
    <w:rPr>
      <w:kern w:val="2"/>
      <w:sz w:val="24"/>
      <w:szCs w:val="22"/>
    </w:rPr>
  </w:style>
  <w:style w:type="character" w:customStyle="1" w:styleId="107">
    <w:name w:val="正文首行缩进 Char"/>
    <w:basedOn w:val="106"/>
    <w:link w:val="25"/>
    <w:qFormat/>
    <w:uiPriority w:val="0"/>
    <w:rPr>
      <w:kern w:val="2"/>
      <w:sz w:val="24"/>
      <w:szCs w:val="22"/>
    </w:rPr>
  </w:style>
  <w:style w:type="character" w:customStyle="1" w:styleId="108">
    <w:name w:val="纯文本 Char"/>
    <w:basedOn w:val="30"/>
    <w:link w:val="18"/>
    <w:qFormat/>
    <w:uiPriority w:val="99"/>
    <w:rPr>
      <w:rFonts w:ascii="宋体" w:hAnsi="Courier New"/>
      <w:szCs w:val="21"/>
    </w:rPr>
  </w:style>
  <w:style w:type="character" w:customStyle="1" w:styleId="109">
    <w:name w:val="正文文本_"/>
    <w:basedOn w:val="30"/>
    <w:link w:val="110"/>
    <w:qFormat/>
    <w:locked/>
    <w:uiPriority w:val="99"/>
    <w:rPr>
      <w:rFonts w:ascii="MingLiU" w:hAnsi="MingLiU" w:eastAsia="MingLiU" w:cs="MingLiU"/>
      <w:spacing w:val="30"/>
      <w:sz w:val="22"/>
      <w:shd w:val="clear" w:color="auto" w:fill="FFFFFF"/>
    </w:rPr>
  </w:style>
  <w:style w:type="paragraph" w:customStyle="1" w:styleId="110">
    <w:name w:val="正文文本1"/>
    <w:basedOn w:val="1"/>
    <w:link w:val="109"/>
    <w:qFormat/>
    <w:uiPriority w:val="99"/>
    <w:pPr>
      <w:shd w:val="clear" w:color="auto" w:fill="FFFFFF"/>
      <w:adjustRightInd/>
      <w:snapToGrid/>
      <w:spacing w:line="456" w:lineRule="exact"/>
      <w:ind w:firstLine="0" w:firstLineChars="0"/>
      <w:jc w:val="distribute"/>
    </w:pPr>
    <w:rPr>
      <w:rFonts w:ascii="MingLiU" w:hAnsi="MingLiU" w:eastAsia="MingLiU" w:cs="MingLiU"/>
      <w:spacing w:val="30"/>
      <w:kern w:val="0"/>
      <w:sz w:val="22"/>
      <w:szCs w:val="20"/>
    </w:rPr>
  </w:style>
  <w:style w:type="character" w:customStyle="1" w:styleId="111">
    <w:name w:val="表内文字 Char"/>
    <w:link w:val="112"/>
    <w:qFormat/>
    <w:locked/>
    <w:uiPriority w:val="0"/>
    <w:rPr>
      <w:sz w:val="18"/>
    </w:rPr>
  </w:style>
  <w:style w:type="paragraph" w:customStyle="1" w:styleId="112">
    <w:name w:val="表内文字"/>
    <w:basedOn w:val="1"/>
    <w:link w:val="111"/>
    <w:qFormat/>
    <w:uiPriority w:val="0"/>
    <w:pPr>
      <w:adjustRightInd/>
      <w:snapToGrid/>
      <w:spacing w:line="240" w:lineRule="atLeast"/>
      <w:ind w:left="-20" w:leftChars="-20" w:right="-20" w:rightChars="-20" w:firstLine="0" w:firstLineChars="0"/>
      <w:jc w:val="center"/>
    </w:pPr>
    <w:rPr>
      <w:kern w:val="0"/>
      <w:sz w:val="18"/>
      <w:szCs w:val="20"/>
    </w:rPr>
  </w:style>
  <w:style w:type="character" w:customStyle="1" w:styleId="113">
    <w:name w:val="庆平高速正文 Char"/>
    <w:link w:val="114"/>
    <w:qFormat/>
    <w:uiPriority w:val="0"/>
    <w:rPr>
      <w:bCs/>
      <w:sz w:val="24"/>
      <w:szCs w:val="24"/>
    </w:rPr>
  </w:style>
  <w:style w:type="paragraph" w:customStyle="1" w:styleId="114">
    <w:name w:val="庆平高速正文"/>
    <w:basedOn w:val="1"/>
    <w:link w:val="113"/>
    <w:qFormat/>
    <w:uiPriority w:val="0"/>
    <w:pPr>
      <w:autoSpaceDE w:val="0"/>
      <w:autoSpaceDN w:val="0"/>
      <w:ind w:firstLine="480"/>
      <w:jc w:val="left"/>
    </w:pPr>
    <w:rPr>
      <w:bCs/>
      <w:kern w:val="0"/>
      <w:szCs w:val="24"/>
    </w:rPr>
  </w:style>
  <w:style w:type="character" w:customStyle="1" w:styleId="115">
    <w:name w:val="标题 4 Char Char"/>
    <w:qFormat/>
    <w:uiPriority w:val="0"/>
    <w:rPr>
      <w:rFonts w:eastAsia="宋体"/>
      <w:b/>
      <w:bCs/>
      <w:kern w:val="2"/>
      <w:sz w:val="24"/>
      <w:szCs w:val="24"/>
      <w:lang w:val="en-US" w:eastAsia="zh-CN" w:bidi="ar-SA"/>
    </w:rPr>
  </w:style>
  <w:style w:type="character" w:customStyle="1" w:styleId="116">
    <w:name w:val="正文+缩进 Char Char Char Char Char"/>
    <w:link w:val="99"/>
    <w:qFormat/>
    <w:uiPriority w:val="0"/>
    <w:rPr>
      <w:bCs/>
      <w:kern w:val="2"/>
      <w:sz w:val="24"/>
      <w:szCs w:val="24"/>
    </w:rPr>
  </w:style>
  <w:style w:type="paragraph" w:customStyle="1" w:styleId="117">
    <w:name w:val="样式 (符号) 宋体 加粗"/>
    <w:basedOn w:val="1"/>
    <w:qFormat/>
    <w:uiPriority w:val="0"/>
    <w:pPr>
      <w:widowControl/>
      <w:adjustRightInd/>
      <w:snapToGrid/>
      <w:ind w:left="567" w:hanging="567" w:firstLineChars="0"/>
      <w:outlineLvl w:val="3"/>
    </w:pPr>
    <w:rPr>
      <w:b/>
      <w:kern w:val="0"/>
      <w:szCs w:val="24"/>
    </w:rPr>
  </w:style>
  <w:style w:type="paragraph" w:customStyle="1" w:styleId="118">
    <w:name w:val="样式 标题 3 + 宋体 非全部大写"/>
    <w:basedOn w:val="5"/>
    <w:qFormat/>
    <w:uiPriority w:val="0"/>
    <w:pPr>
      <w:tabs>
        <w:tab w:val="left" w:pos="720"/>
      </w:tabs>
      <w:adjustRightInd/>
      <w:snapToGrid/>
      <w:spacing w:line="360" w:lineRule="auto"/>
      <w:ind w:left="720" w:hanging="720"/>
    </w:pPr>
    <w:rPr>
      <w:bCs w:val="0"/>
      <w:szCs w:val="24"/>
    </w:rPr>
  </w:style>
  <w:style w:type="paragraph" w:customStyle="1" w:styleId="119">
    <w:name w:val="标题4-c"/>
    <w:basedOn w:val="117"/>
    <w:link w:val="120"/>
    <w:qFormat/>
    <w:uiPriority w:val="0"/>
    <w:pPr>
      <w:ind w:left="567" w:hanging="567"/>
    </w:pPr>
  </w:style>
  <w:style w:type="character" w:customStyle="1" w:styleId="120">
    <w:name w:val="标题4-c Char"/>
    <w:basedOn w:val="30"/>
    <w:link w:val="119"/>
    <w:qFormat/>
    <w:uiPriority w:val="0"/>
    <w:rPr>
      <w:b/>
      <w:sz w:val="24"/>
      <w:szCs w:val="24"/>
    </w:rPr>
  </w:style>
  <w:style w:type="character" w:customStyle="1" w:styleId="121">
    <w:name w:val="fontstyle01"/>
    <w:basedOn w:val="30"/>
    <w:qFormat/>
    <w:uiPriority w:val="0"/>
    <w:rPr>
      <w:rFonts w:hint="eastAsia" w:ascii="宋体" w:hAnsi="宋体" w:eastAsia="宋体"/>
      <w:color w:val="000000"/>
      <w:sz w:val="24"/>
      <w:szCs w:val="24"/>
    </w:rPr>
  </w:style>
  <w:style w:type="character" w:customStyle="1" w:styleId="122">
    <w:name w:val="fontstyle21"/>
    <w:basedOn w:val="30"/>
    <w:qFormat/>
    <w:uiPriority w:val="0"/>
    <w:rPr>
      <w:rFonts w:hint="default" w:ascii="TimesNewRomanPSMT" w:hAnsi="TimesNewRomanPSMT"/>
      <w:color w:val="000000"/>
      <w:sz w:val="24"/>
      <w:szCs w:val="24"/>
    </w:rPr>
  </w:style>
  <w:style w:type="character" w:customStyle="1" w:styleId="123">
    <w:name w:val="方案正文 Char"/>
    <w:link w:val="56"/>
    <w:qFormat/>
    <w:uiPriority w:val="0"/>
    <w:rPr>
      <w:rFonts w:eastAsia="仿宋_GB2312"/>
      <w:snapToGrid w:val="0"/>
      <w:kern w:val="24"/>
      <w:sz w:val="24"/>
      <w:szCs w:val="24"/>
    </w:rPr>
  </w:style>
  <w:style w:type="character" w:customStyle="1" w:styleId="124">
    <w:name w:val="apple-converted-space"/>
    <w:basedOn w:val="30"/>
    <w:qFormat/>
    <w:uiPriority w:val="0"/>
  </w:style>
  <w:style w:type="character" w:customStyle="1" w:styleId="125">
    <w:name w:val="日期 Char"/>
    <w:basedOn w:val="30"/>
    <w:link w:val="19"/>
    <w:qFormat/>
    <w:uiPriority w:val="0"/>
    <w:rPr>
      <w:kern w:val="2"/>
      <w:sz w:val="24"/>
      <w:szCs w:val="22"/>
    </w:rPr>
  </w:style>
  <w:style w:type="character" w:customStyle="1" w:styleId="126">
    <w:name w:val="ask-title"/>
    <w:basedOn w:val="30"/>
    <w:qFormat/>
    <w:uiPriority w:val="0"/>
  </w:style>
  <w:style w:type="paragraph" w:customStyle="1" w:styleId="127">
    <w:name w:val="列出段落1"/>
    <w:basedOn w:val="1"/>
    <w:qFormat/>
    <w:uiPriority w:val="0"/>
    <w:pPr>
      <w:ind w:firstLine="420"/>
    </w:pPr>
    <w:rPr>
      <w:szCs w:val="24"/>
    </w:rPr>
  </w:style>
  <w:style w:type="paragraph" w:customStyle="1" w:styleId="128">
    <w:name w:val="列出段落2"/>
    <w:basedOn w:val="1"/>
    <w:qFormat/>
    <w:uiPriority w:val="34"/>
    <w:pPr>
      <w:topLinePunct/>
      <w:ind w:firstLine="420"/>
    </w:pPr>
    <w:rPr>
      <w:kern w:val="0"/>
      <w:szCs w:val="24"/>
    </w:rPr>
  </w:style>
  <w:style w:type="paragraph" w:customStyle="1" w:styleId="129">
    <w:name w:val="5级标题"/>
    <w:basedOn w:val="56"/>
    <w:link w:val="130"/>
    <w:qFormat/>
    <w:uiPriority w:val="0"/>
    <w:pPr>
      <w:ind w:firstLine="480"/>
      <w:outlineLvl w:val="4"/>
    </w:pPr>
  </w:style>
  <w:style w:type="character" w:customStyle="1" w:styleId="130">
    <w:name w:val="5级标题 Char"/>
    <w:basedOn w:val="123"/>
    <w:link w:val="129"/>
    <w:qFormat/>
    <w:uiPriority w:val="0"/>
    <w:rPr>
      <w:rFonts w:eastAsia="仿宋_GB2312"/>
      <w:snapToGrid w:val="0"/>
      <w:kern w:val="24"/>
      <w:sz w:val="24"/>
      <w:szCs w:val="24"/>
    </w:rPr>
  </w:style>
  <w:style w:type="paragraph" w:customStyle="1" w:styleId="131">
    <w:name w:val="列出段落3"/>
    <w:basedOn w:val="1"/>
    <w:qFormat/>
    <w:uiPriority w:val="99"/>
    <w:pPr>
      <w:topLinePunct/>
      <w:ind w:firstLine="420"/>
    </w:pPr>
    <w:rPr>
      <w:rFonts w:eastAsia="楷体_GB2312"/>
      <w:kern w:val="0"/>
      <w:szCs w:val="24"/>
    </w:rPr>
  </w:style>
  <w:style w:type="character" w:customStyle="1" w:styleId="132">
    <w:name w:val="标题 8 Char"/>
    <w:basedOn w:val="30"/>
    <w:link w:val="9"/>
    <w:qFormat/>
    <w:uiPriority w:val="0"/>
    <w:rPr>
      <w:rFonts w:asciiTheme="majorHAnsi" w:hAnsiTheme="majorHAnsi" w:eastAsiaTheme="majorEastAsia" w:cstheme="majorBidi"/>
      <w:kern w:val="2"/>
      <w:sz w:val="24"/>
      <w:szCs w:val="24"/>
    </w:rPr>
  </w:style>
  <w:style w:type="paragraph" w:customStyle="1" w:styleId="133">
    <w:name w:val="表格内容1"/>
    <w:basedOn w:val="1"/>
    <w:qFormat/>
    <w:uiPriority w:val="0"/>
    <w:pPr>
      <w:widowControl/>
      <w:topLinePunct/>
      <w:spacing w:line="240" w:lineRule="auto"/>
      <w:ind w:firstLine="0" w:firstLineChars="0"/>
      <w:jc w:val="center"/>
    </w:pPr>
    <w:rPr>
      <w:rFonts w:eastAsia="仿宋_GB2312"/>
      <w:kern w:val="0"/>
      <w:sz w:val="21"/>
      <w:szCs w:val="21"/>
    </w:rPr>
  </w:style>
  <w:style w:type="paragraph" w:customStyle="1" w:styleId="134">
    <w:name w:val="四级标题+"/>
    <w:basedOn w:val="1"/>
    <w:link w:val="135"/>
    <w:qFormat/>
    <w:uiPriority w:val="0"/>
    <w:pPr>
      <w:topLinePunct/>
      <w:ind w:firstLine="0" w:firstLineChars="0"/>
      <w:outlineLvl w:val="3"/>
    </w:pPr>
    <w:rPr>
      <w:rFonts w:eastAsia="仿宋_GB2312"/>
      <w:b/>
      <w:kern w:val="0"/>
      <w:szCs w:val="24"/>
    </w:rPr>
  </w:style>
  <w:style w:type="character" w:customStyle="1" w:styleId="135">
    <w:name w:val="四级标题+ Char"/>
    <w:basedOn w:val="30"/>
    <w:link w:val="134"/>
    <w:qFormat/>
    <w:uiPriority w:val="0"/>
    <w:rPr>
      <w:rFonts w:eastAsia="仿宋_GB2312"/>
      <w:b/>
      <w:sz w:val="24"/>
      <w:szCs w:val="24"/>
    </w:rPr>
  </w:style>
  <w:style w:type="character" w:customStyle="1" w:styleId="136">
    <w:name w:val="表格标题 Char"/>
    <w:link w:val="137"/>
    <w:qFormat/>
    <w:uiPriority w:val="0"/>
    <w:rPr>
      <w:rFonts w:eastAsia="仿宋_GB2312"/>
      <w:b/>
      <w:spacing w:val="15"/>
      <w:kern w:val="2"/>
      <w:sz w:val="21"/>
      <w:szCs w:val="24"/>
    </w:rPr>
  </w:style>
  <w:style w:type="paragraph" w:customStyle="1" w:styleId="137">
    <w:name w:val="表格标题"/>
    <w:basedOn w:val="1"/>
    <w:link w:val="136"/>
    <w:qFormat/>
    <w:uiPriority w:val="0"/>
    <w:pPr>
      <w:ind w:firstLine="0" w:firstLineChars="0"/>
      <w:jc w:val="center"/>
      <w:outlineLvl w:val="4"/>
    </w:pPr>
    <w:rPr>
      <w:rFonts w:eastAsia="仿宋_GB2312"/>
      <w:b/>
      <w:spacing w:val="15"/>
      <w:sz w:val="21"/>
      <w:szCs w:val="24"/>
    </w:rPr>
  </w:style>
  <w:style w:type="paragraph" w:customStyle="1" w:styleId="138">
    <w:name w:val="表格文字"/>
    <w:basedOn w:val="1"/>
    <w:link w:val="139"/>
    <w:qFormat/>
    <w:uiPriority w:val="0"/>
    <w:pPr>
      <w:adjustRightInd/>
      <w:snapToGrid/>
      <w:spacing w:line="240" w:lineRule="exact"/>
      <w:ind w:firstLine="0" w:firstLineChars="0"/>
      <w:jc w:val="center"/>
    </w:pPr>
    <w:rPr>
      <w:rFonts w:ascii="宋体" w:hAnsi="宋体"/>
      <w:sz w:val="21"/>
      <w:szCs w:val="24"/>
    </w:rPr>
  </w:style>
  <w:style w:type="character" w:customStyle="1" w:styleId="139">
    <w:name w:val="表格文字 Char"/>
    <w:basedOn w:val="30"/>
    <w:link w:val="138"/>
    <w:qFormat/>
    <w:uiPriority w:val="0"/>
    <w:rPr>
      <w:rFonts w:ascii="宋体" w:hAnsi="宋体"/>
      <w:kern w:val="2"/>
      <w:sz w:val="21"/>
      <w:szCs w:val="24"/>
    </w:rPr>
  </w:style>
  <w:style w:type="paragraph" w:customStyle="1" w:styleId="140">
    <w:name w:val="Table Paragraph"/>
    <w:basedOn w:val="1"/>
    <w:qFormat/>
    <w:uiPriority w:val="1"/>
  </w:style>
  <w:style w:type="character" w:customStyle="1" w:styleId="141">
    <w:name w:val="number"/>
    <w:basedOn w:val="30"/>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3.png"/><Relationship Id="rId40" Type="http://schemas.openxmlformats.org/officeDocument/2006/relationships/image" Target="media/image12.emf"/><Relationship Id="rId4" Type="http://schemas.openxmlformats.org/officeDocument/2006/relationships/header" Target="header2.xml"/><Relationship Id="rId39" Type="http://schemas.openxmlformats.org/officeDocument/2006/relationships/oleObject" Target="embeddings/oleObject2.bin"/><Relationship Id="rId38" Type="http://schemas.openxmlformats.org/officeDocument/2006/relationships/image" Target="media/image11.jpeg"/><Relationship Id="rId37" Type="http://schemas.openxmlformats.org/officeDocument/2006/relationships/image" Target="media/image10.png"/><Relationship Id="rId36" Type="http://schemas.openxmlformats.org/officeDocument/2006/relationships/image" Target="media/image9.emf"/><Relationship Id="rId35" Type="http://schemas.openxmlformats.org/officeDocument/2006/relationships/oleObject" Target="embeddings/oleObject1.bin"/><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header" Target="header1.xml"/><Relationship Id="rId29" Type="http://schemas.openxmlformats.org/officeDocument/2006/relationships/image" Target="media/image3.jpeg"/><Relationship Id="rId28" Type="http://schemas.openxmlformats.org/officeDocument/2006/relationships/image" Target="media/image2.pn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407025-F6EA-4B87-A8EB-A5FFA096203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82</Pages>
  <Words>48878</Words>
  <Characters>15487</Characters>
  <Lines>129</Lines>
  <Paragraphs>128</Paragraphs>
  <TotalTime>2</TotalTime>
  <ScaleCrop>false</ScaleCrop>
  <LinksUpToDate>false</LinksUpToDate>
  <CharactersWithSpaces>64237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2018-10-24T01:37:00Z</dcterms:created>
  <dc:creator>Administrator</dc:creator>
  <cp:lastModifiedBy>A</cp:lastModifiedBy>
  <cp:lastPrinted>2020-10-12T02:19:00Z</cp:lastPrinted>
  <dcterms:modified xsi:type="dcterms:W3CDTF">2020-12-09T13:58:25Z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